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9547" w14:textId="15780298" w:rsidR="00CA5D83" w:rsidRPr="00F1016F" w:rsidRDefault="00F4592A" w:rsidP="00F4592A">
      <w:pPr>
        <w:spacing w:after="60"/>
        <w:jc w:val="center"/>
        <w:rPr>
          <w:rFonts w:ascii="Arial" w:hAnsi="Arial" w:cs="Arial"/>
          <w:b/>
          <w:sz w:val="22"/>
          <w:szCs w:val="22"/>
          <w:lang w:val="sr-Cyrl-RS"/>
        </w:rPr>
      </w:pPr>
      <w:r>
        <w:rPr>
          <w:noProof/>
          <w:lang w:val="sr-Latn-RS" w:eastAsia="sr-Latn-RS"/>
        </w:rPr>
        <w:drawing>
          <wp:inline distT="0" distB="0" distL="0" distR="0" wp14:anchorId="6CD02E96" wp14:editId="25DAAB93">
            <wp:extent cx="2658520" cy="276435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597" cy="2800831"/>
                    </a:xfrm>
                    <a:prstGeom prst="rect">
                      <a:avLst/>
                    </a:prstGeom>
                    <a:noFill/>
                    <a:ln>
                      <a:noFill/>
                    </a:ln>
                  </pic:spPr>
                </pic:pic>
              </a:graphicData>
            </a:graphic>
          </wp:inline>
        </w:drawing>
      </w:r>
    </w:p>
    <w:p w14:paraId="12378862" w14:textId="77777777" w:rsidR="00CA5D83" w:rsidRPr="008D586C" w:rsidRDefault="00CA5D83" w:rsidP="003D12F3">
      <w:pPr>
        <w:spacing w:after="60"/>
        <w:rPr>
          <w:rFonts w:ascii="Arial" w:hAnsi="Arial" w:cs="Arial"/>
          <w:b/>
          <w:sz w:val="22"/>
          <w:szCs w:val="22"/>
          <w:lang w:val="sr-Cyrl-CS"/>
        </w:rPr>
      </w:pPr>
    </w:p>
    <w:p w14:paraId="7777C4EE" w14:textId="77777777" w:rsidR="00CA5D83" w:rsidRPr="008D586C" w:rsidRDefault="00CA5D83" w:rsidP="003D12F3">
      <w:pPr>
        <w:spacing w:after="60"/>
        <w:rPr>
          <w:rFonts w:ascii="Arial" w:hAnsi="Arial" w:cs="Arial"/>
          <w:b/>
          <w:sz w:val="22"/>
          <w:szCs w:val="22"/>
          <w:lang w:val="sr-Cyrl-CS"/>
        </w:rPr>
      </w:pPr>
    </w:p>
    <w:p w14:paraId="5B3C3831" w14:textId="77777777" w:rsidR="008D586C" w:rsidRPr="008D586C" w:rsidRDefault="008D586C" w:rsidP="003D12F3">
      <w:pPr>
        <w:spacing w:after="60"/>
        <w:rPr>
          <w:b/>
          <w:sz w:val="22"/>
          <w:szCs w:val="22"/>
          <w:lang w:val="en-US"/>
        </w:rPr>
      </w:pPr>
    </w:p>
    <w:p w14:paraId="30449089" w14:textId="77777777" w:rsidR="008D586C" w:rsidRPr="008D586C" w:rsidRDefault="008D586C" w:rsidP="003D12F3">
      <w:pPr>
        <w:spacing w:after="60"/>
        <w:rPr>
          <w:b/>
          <w:sz w:val="22"/>
          <w:szCs w:val="22"/>
          <w:lang w:val="en-US"/>
        </w:rPr>
      </w:pPr>
    </w:p>
    <w:p w14:paraId="51699E5A" w14:textId="77777777" w:rsidR="008D586C" w:rsidRPr="008D586C" w:rsidRDefault="008D586C" w:rsidP="003D12F3">
      <w:pPr>
        <w:spacing w:after="60"/>
        <w:rPr>
          <w:b/>
          <w:sz w:val="22"/>
          <w:szCs w:val="22"/>
          <w:lang w:val="en-US"/>
        </w:rPr>
      </w:pPr>
    </w:p>
    <w:p w14:paraId="5BECC094" w14:textId="77777777" w:rsidR="00CA5D83" w:rsidRPr="008D586C" w:rsidRDefault="00CA5D83" w:rsidP="003D12F3">
      <w:pPr>
        <w:spacing w:after="60"/>
        <w:rPr>
          <w:b/>
          <w:sz w:val="22"/>
          <w:szCs w:val="22"/>
          <w:lang w:val="en-US"/>
        </w:rPr>
      </w:pPr>
    </w:p>
    <w:p w14:paraId="24A4DE76" w14:textId="77777777" w:rsidR="008D586C" w:rsidRPr="008D586C" w:rsidRDefault="008D586C" w:rsidP="003D12F3">
      <w:pPr>
        <w:spacing w:after="60"/>
        <w:rPr>
          <w:b/>
          <w:sz w:val="22"/>
          <w:szCs w:val="22"/>
          <w:lang w:val="en-US"/>
        </w:rPr>
      </w:pPr>
    </w:p>
    <w:p w14:paraId="63F70F89" w14:textId="77777777" w:rsidR="00CA5D83" w:rsidRDefault="005F5B2B" w:rsidP="003D12F3">
      <w:pPr>
        <w:spacing w:after="60"/>
        <w:jc w:val="center"/>
        <w:rPr>
          <w:b/>
          <w:sz w:val="28"/>
          <w:szCs w:val="22"/>
          <w:lang w:val="sr-Cyrl-CS"/>
        </w:rPr>
      </w:pPr>
      <w:r>
        <w:rPr>
          <w:b/>
          <w:sz w:val="28"/>
          <w:szCs w:val="22"/>
          <w:lang w:val="sr-Cyrl-CS"/>
        </w:rPr>
        <w:t>А</w:t>
      </w:r>
      <w:r w:rsidR="00304E40" w:rsidRPr="008D586C">
        <w:rPr>
          <w:b/>
          <w:sz w:val="28"/>
          <w:szCs w:val="22"/>
          <w:lang w:val="sr-Cyrl-CS"/>
        </w:rPr>
        <w:t xml:space="preserve"> </w:t>
      </w:r>
      <w:r>
        <w:rPr>
          <w:b/>
          <w:sz w:val="28"/>
          <w:szCs w:val="22"/>
          <w:lang w:val="sr-Cyrl-CS"/>
        </w:rPr>
        <w:t>Н</w:t>
      </w:r>
      <w:r w:rsidR="00304E40" w:rsidRPr="008D586C">
        <w:rPr>
          <w:b/>
          <w:sz w:val="28"/>
          <w:szCs w:val="22"/>
          <w:lang w:val="sr-Cyrl-CS"/>
        </w:rPr>
        <w:t xml:space="preserve"> </w:t>
      </w:r>
      <w:r>
        <w:rPr>
          <w:b/>
          <w:sz w:val="28"/>
          <w:szCs w:val="22"/>
          <w:lang w:val="sr-Cyrl-CS"/>
        </w:rPr>
        <w:t>А</w:t>
      </w:r>
      <w:r w:rsidR="00304E40" w:rsidRPr="008D586C">
        <w:rPr>
          <w:b/>
          <w:sz w:val="28"/>
          <w:szCs w:val="22"/>
          <w:lang w:val="sr-Cyrl-CS"/>
        </w:rPr>
        <w:t xml:space="preserve"> </w:t>
      </w:r>
      <w:r>
        <w:rPr>
          <w:b/>
          <w:sz w:val="28"/>
          <w:szCs w:val="22"/>
          <w:lang w:val="sr-Cyrl-CS"/>
        </w:rPr>
        <w:t>Л</w:t>
      </w:r>
      <w:r w:rsidR="00304E40" w:rsidRPr="008D586C">
        <w:rPr>
          <w:b/>
          <w:sz w:val="28"/>
          <w:szCs w:val="22"/>
          <w:lang w:val="sr-Cyrl-CS"/>
        </w:rPr>
        <w:t xml:space="preserve"> </w:t>
      </w:r>
      <w:r>
        <w:rPr>
          <w:b/>
          <w:sz w:val="28"/>
          <w:szCs w:val="22"/>
          <w:lang w:val="sr-Cyrl-CS"/>
        </w:rPr>
        <w:t>И</w:t>
      </w:r>
      <w:r w:rsidR="00304E40" w:rsidRPr="008D586C">
        <w:rPr>
          <w:b/>
          <w:sz w:val="28"/>
          <w:szCs w:val="22"/>
          <w:lang w:val="sr-Cyrl-CS"/>
        </w:rPr>
        <w:t xml:space="preserve"> </w:t>
      </w:r>
      <w:r>
        <w:rPr>
          <w:b/>
          <w:sz w:val="28"/>
          <w:szCs w:val="22"/>
          <w:lang w:val="sr-Cyrl-CS"/>
        </w:rPr>
        <w:t>З</w:t>
      </w:r>
      <w:r w:rsidR="00304E40" w:rsidRPr="008D586C">
        <w:rPr>
          <w:b/>
          <w:sz w:val="28"/>
          <w:szCs w:val="22"/>
          <w:lang w:val="sr-Cyrl-CS"/>
        </w:rPr>
        <w:t xml:space="preserve"> </w:t>
      </w:r>
      <w:r>
        <w:rPr>
          <w:b/>
          <w:sz w:val="28"/>
          <w:szCs w:val="22"/>
          <w:lang w:val="sr-Cyrl-CS"/>
        </w:rPr>
        <w:t>А</w:t>
      </w:r>
    </w:p>
    <w:p w14:paraId="181BDD3A" w14:textId="77777777" w:rsidR="00200C29" w:rsidRPr="008D586C" w:rsidRDefault="00200C29" w:rsidP="003D12F3">
      <w:pPr>
        <w:spacing w:after="60"/>
        <w:jc w:val="center"/>
        <w:rPr>
          <w:b/>
          <w:sz w:val="28"/>
          <w:szCs w:val="22"/>
          <w:lang w:val="sr-Cyrl-CS"/>
        </w:rPr>
      </w:pPr>
    </w:p>
    <w:p w14:paraId="0002C77A" w14:textId="77777777" w:rsidR="00CA5D83" w:rsidRDefault="00231FEF" w:rsidP="008D6ABD">
      <w:pPr>
        <w:jc w:val="center"/>
        <w:rPr>
          <w:sz w:val="28"/>
          <w:szCs w:val="22"/>
          <w:lang w:val="sr-Cyrl-RS"/>
        </w:rPr>
      </w:pPr>
      <w:r>
        <w:rPr>
          <w:sz w:val="28"/>
          <w:szCs w:val="22"/>
          <w:lang w:val="sr-Cyrl-CS"/>
        </w:rPr>
        <w:t>ПРОВЕДЕНИХ МЈЕРА У ЈЕДИН</w:t>
      </w:r>
      <w:r>
        <w:rPr>
          <w:sz w:val="28"/>
          <w:szCs w:val="22"/>
          <w:lang w:val="sr-Cyrl-RS"/>
        </w:rPr>
        <w:t>И</w:t>
      </w:r>
      <w:r w:rsidR="005F5B2B">
        <w:rPr>
          <w:sz w:val="28"/>
          <w:szCs w:val="22"/>
          <w:lang w:val="sr-Cyrl-CS"/>
        </w:rPr>
        <w:t xml:space="preserve">ЦАМА ЛОКАЛНЕ САМОУПРАВЕ У РЕПУБЛИЦИ СРПСКОЈ ЗА ВРИЈЕМЕ КРИЗЕ ИЗАЗВАНЕ </w:t>
      </w:r>
      <w:r w:rsidR="005F5B2B">
        <w:rPr>
          <w:sz w:val="28"/>
          <w:szCs w:val="22"/>
          <w:lang w:val="en-US"/>
        </w:rPr>
        <w:t>COVID -19</w:t>
      </w:r>
    </w:p>
    <w:p w14:paraId="05AB38CA" w14:textId="77777777" w:rsidR="005F5B2B" w:rsidRPr="005F5B2B" w:rsidRDefault="005F5B2B" w:rsidP="008D6ABD">
      <w:pPr>
        <w:jc w:val="center"/>
        <w:rPr>
          <w:b/>
          <w:sz w:val="22"/>
          <w:szCs w:val="22"/>
          <w:lang w:val="sr-Cyrl-RS"/>
        </w:rPr>
      </w:pPr>
      <w:r>
        <w:rPr>
          <w:sz w:val="28"/>
          <w:szCs w:val="22"/>
          <w:lang w:val="sr-Cyrl-RS"/>
        </w:rPr>
        <w:t>И ПРЕПОРУКЕ ЗА УПРАВЉАЊЕ ЛОКАЛНИМ ФИНАНСИЈАМА</w:t>
      </w:r>
    </w:p>
    <w:p w14:paraId="14AE49F8" w14:textId="77777777" w:rsidR="00CA5D83" w:rsidRPr="008D586C" w:rsidRDefault="00CA5D83" w:rsidP="005F5B2B">
      <w:pPr>
        <w:spacing w:after="60"/>
        <w:jc w:val="center"/>
        <w:rPr>
          <w:b/>
          <w:sz w:val="22"/>
          <w:szCs w:val="22"/>
        </w:rPr>
      </w:pPr>
    </w:p>
    <w:p w14:paraId="454D1BC8" w14:textId="77777777" w:rsidR="008D586C" w:rsidRPr="008D586C" w:rsidRDefault="008D586C" w:rsidP="00D66814">
      <w:pPr>
        <w:spacing w:after="60"/>
        <w:rPr>
          <w:b/>
          <w:sz w:val="22"/>
          <w:szCs w:val="22"/>
        </w:rPr>
      </w:pPr>
    </w:p>
    <w:p w14:paraId="3A2F9F66" w14:textId="77777777" w:rsidR="00CA5D83" w:rsidRPr="008D586C" w:rsidRDefault="00CA5D83" w:rsidP="003D12F3">
      <w:pPr>
        <w:spacing w:after="60"/>
        <w:jc w:val="center"/>
        <w:rPr>
          <w:b/>
          <w:sz w:val="22"/>
          <w:szCs w:val="22"/>
        </w:rPr>
      </w:pPr>
    </w:p>
    <w:p w14:paraId="5002DA6E" w14:textId="77777777" w:rsidR="00CA5D83" w:rsidRPr="008D586C" w:rsidRDefault="00CA5D83" w:rsidP="003D12F3">
      <w:pPr>
        <w:spacing w:after="60"/>
        <w:jc w:val="center"/>
        <w:rPr>
          <w:b/>
          <w:sz w:val="22"/>
          <w:szCs w:val="22"/>
        </w:rPr>
      </w:pPr>
    </w:p>
    <w:p w14:paraId="188287A7" w14:textId="77777777" w:rsidR="00CA5D83" w:rsidRDefault="00CA5D83" w:rsidP="003D12F3">
      <w:pPr>
        <w:spacing w:after="60"/>
        <w:jc w:val="center"/>
        <w:rPr>
          <w:b/>
          <w:sz w:val="22"/>
          <w:szCs w:val="22"/>
        </w:rPr>
      </w:pPr>
    </w:p>
    <w:p w14:paraId="629AD567" w14:textId="77777777" w:rsidR="00CA07A9" w:rsidRDefault="00CA07A9" w:rsidP="003D12F3">
      <w:pPr>
        <w:spacing w:after="60"/>
        <w:jc w:val="center"/>
        <w:rPr>
          <w:b/>
          <w:sz w:val="22"/>
          <w:szCs w:val="22"/>
        </w:rPr>
      </w:pPr>
    </w:p>
    <w:p w14:paraId="68F9B20C" w14:textId="77777777" w:rsidR="00CA07A9" w:rsidRDefault="00CA07A9" w:rsidP="003D12F3">
      <w:pPr>
        <w:spacing w:after="60"/>
        <w:jc w:val="center"/>
        <w:rPr>
          <w:b/>
          <w:sz w:val="22"/>
          <w:szCs w:val="22"/>
        </w:rPr>
      </w:pPr>
    </w:p>
    <w:p w14:paraId="4E306A33" w14:textId="77777777" w:rsidR="00CA07A9" w:rsidRDefault="00CA07A9" w:rsidP="003D12F3">
      <w:pPr>
        <w:spacing w:after="60"/>
        <w:jc w:val="center"/>
        <w:rPr>
          <w:b/>
          <w:sz w:val="22"/>
          <w:szCs w:val="22"/>
        </w:rPr>
      </w:pPr>
    </w:p>
    <w:p w14:paraId="3266F953" w14:textId="77777777" w:rsidR="00CA07A9" w:rsidRDefault="00CA07A9" w:rsidP="003D12F3">
      <w:pPr>
        <w:spacing w:after="60"/>
        <w:jc w:val="center"/>
        <w:rPr>
          <w:b/>
          <w:sz w:val="22"/>
          <w:szCs w:val="22"/>
        </w:rPr>
      </w:pPr>
    </w:p>
    <w:p w14:paraId="3377B3FA" w14:textId="77777777" w:rsidR="00CA07A9" w:rsidRDefault="00CA07A9" w:rsidP="003D12F3">
      <w:pPr>
        <w:spacing w:after="60"/>
        <w:jc w:val="center"/>
        <w:rPr>
          <w:b/>
          <w:sz w:val="22"/>
          <w:szCs w:val="22"/>
        </w:rPr>
      </w:pPr>
    </w:p>
    <w:p w14:paraId="12405AF6" w14:textId="77777777" w:rsidR="00CA07A9" w:rsidRDefault="00CA07A9" w:rsidP="003D12F3">
      <w:pPr>
        <w:spacing w:after="60"/>
        <w:jc w:val="center"/>
        <w:rPr>
          <w:b/>
          <w:sz w:val="22"/>
          <w:szCs w:val="22"/>
        </w:rPr>
      </w:pPr>
    </w:p>
    <w:p w14:paraId="49EE3A60" w14:textId="77777777" w:rsidR="00CA07A9" w:rsidRDefault="00CA07A9" w:rsidP="003D12F3">
      <w:pPr>
        <w:spacing w:after="60"/>
        <w:jc w:val="center"/>
        <w:rPr>
          <w:b/>
          <w:sz w:val="22"/>
          <w:szCs w:val="22"/>
        </w:rPr>
      </w:pPr>
    </w:p>
    <w:p w14:paraId="3353C2D3" w14:textId="77777777" w:rsidR="00CA07A9" w:rsidRDefault="00CA07A9" w:rsidP="00D66814">
      <w:pPr>
        <w:spacing w:after="60"/>
        <w:rPr>
          <w:b/>
          <w:sz w:val="22"/>
          <w:szCs w:val="22"/>
        </w:rPr>
      </w:pPr>
    </w:p>
    <w:p w14:paraId="2F65E2E8" w14:textId="77777777" w:rsidR="00200C29" w:rsidRDefault="00200C29" w:rsidP="003D12F3">
      <w:pPr>
        <w:spacing w:after="60"/>
        <w:jc w:val="center"/>
        <w:rPr>
          <w:b/>
          <w:sz w:val="22"/>
          <w:szCs w:val="22"/>
        </w:rPr>
      </w:pPr>
    </w:p>
    <w:p w14:paraId="72BEB858" w14:textId="77777777" w:rsidR="00200C29" w:rsidRDefault="00200C29" w:rsidP="003D12F3">
      <w:pPr>
        <w:spacing w:after="60"/>
        <w:jc w:val="center"/>
        <w:rPr>
          <w:b/>
          <w:sz w:val="22"/>
          <w:szCs w:val="22"/>
        </w:rPr>
      </w:pPr>
    </w:p>
    <w:p w14:paraId="19B2EE8C" w14:textId="77777777" w:rsidR="00200C29" w:rsidRDefault="00200C29" w:rsidP="003D12F3">
      <w:pPr>
        <w:spacing w:after="60"/>
        <w:jc w:val="center"/>
        <w:rPr>
          <w:b/>
          <w:sz w:val="22"/>
          <w:szCs w:val="22"/>
        </w:rPr>
      </w:pPr>
    </w:p>
    <w:p w14:paraId="00763DF7" w14:textId="77777777" w:rsidR="00200C29" w:rsidRDefault="00200C29" w:rsidP="003D12F3">
      <w:pPr>
        <w:spacing w:after="60"/>
        <w:jc w:val="center"/>
        <w:rPr>
          <w:b/>
          <w:sz w:val="22"/>
          <w:szCs w:val="22"/>
        </w:rPr>
      </w:pPr>
    </w:p>
    <w:p w14:paraId="5333DCAF" w14:textId="77777777" w:rsidR="00200C29" w:rsidRDefault="00200C29" w:rsidP="003D12F3">
      <w:pPr>
        <w:spacing w:after="60"/>
        <w:jc w:val="center"/>
        <w:rPr>
          <w:b/>
          <w:sz w:val="22"/>
          <w:szCs w:val="22"/>
        </w:rPr>
      </w:pPr>
    </w:p>
    <w:p w14:paraId="07A60902" w14:textId="77777777" w:rsidR="00200C29" w:rsidRDefault="00200C29" w:rsidP="003D12F3">
      <w:pPr>
        <w:spacing w:after="60"/>
        <w:jc w:val="center"/>
        <w:rPr>
          <w:b/>
          <w:sz w:val="22"/>
          <w:szCs w:val="22"/>
        </w:rPr>
      </w:pPr>
    </w:p>
    <w:p w14:paraId="10ED1C89" w14:textId="06C8480D" w:rsidR="00F4592A" w:rsidRPr="008D586C" w:rsidRDefault="00F4592A" w:rsidP="00F4592A">
      <w:pPr>
        <w:spacing w:after="60"/>
        <w:jc w:val="center"/>
        <w:rPr>
          <w:sz w:val="22"/>
          <w:szCs w:val="22"/>
          <w:lang w:val="sr-Cyrl-CS"/>
        </w:rPr>
      </w:pPr>
      <w:r w:rsidRPr="008D586C">
        <w:rPr>
          <w:sz w:val="22"/>
          <w:szCs w:val="22"/>
          <w:lang w:val="sr-Cyrl-CS"/>
        </w:rPr>
        <w:t>Б</w:t>
      </w:r>
      <w:proofErr w:type="spellStart"/>
      <w:r>
        <w:rPr>
          <w:sz w:val="22"/>
          <w:szCs w:val="22"/>
          <w:lang w:val="sr-Cyrl-RS"/>
        </w:rPr>
        <w:t>ијељина</w:t>
      </w:r>
      <w:proofErr w:type="spellEnd"/>
      <w:r w:rsidRPr="008D586C">
        <w:rPr>
          <w:sz w:val="22"/>
          <w:szCs w:val="22"/>
          <w:lang w:val="sr-Cyrl-CS"/>
        </w:rPr>
        <w:t xml:space="preserve">, </w:t>
      </w:r>
      <w:r>
        <w:rPr>
          <w:sz w:val="22"/>
          <w:szCs w:val="22"/>
          <w:lang w:val="sr-Cyrl-RS"/>
        </w:rPr>
        <w:t xml:space="preserve">октобар </w:t>
      </w:r>
      <w:r>
        <w:rPr>
          <w:sz w:val="22"/>
          <w:szCs w:val="22"/>
          <w:lang w:val="sr-Cyrl-BA"/>
        </w:rPr>
        <w:t>2</w:t>
      </w:r>
      <w:r>
        <w:rPr>
          <w:sz w:val="22"/>
          <w:szCs w:val="22"/>
          <w:lang w:val="sr-Cyrl-CS"/>
        </w:rPr>
        <w:t>020</w:t>
      </w:r>
      <w:r w:rsidRPr="008D586C">
        <w:rPr>
          <w:sz w:val="22"/>
          <w:szCs w:val="22"/>
          <w:lang w:val="sr-Cyrl-CS"/>
        </w:rPr>
        <w:t>. године</w:t>
      </w:r>
    </w:p>
    <w:p w14:paraId="07B45218" w14:textId="270FD2DF" w:rsidR="00200C29" w:rsidRDefault="00200C29" w:rsidP="003D12F3">
      <w:pPr>
        <w:spacing w:after="60"/>
        <w:jc w:val="center"/>
        <w:rPr>
          <w:b/>
          <w:sz w:val="22"/>
          <w:szCs w:val="22"/>
        </w:rPr>
      </w:pPr>
    </w:p>
    <w:p w14:paraId="251970E2" w14:textId="5C0C4699" w:rsidR="00F4592A" w:rsidRDefault="00F4592A" w:rsidP="003D12F3">
      <w:pPr>
        <w:spacing w:after="60"/>
        <w:jc w:val="center"/>
        <w:rPr>
          <w:b/>
          <w:sz w:val="22"/>
          <w:szCs w:val="22"/>
        </w:rPr>
      </w:pPr>
    </w:p>
    <w:p w14:paraId="5DFD33C5" w14:textId="55B804C0" w:rsidR="00F4592A" w:rsidRDefault="00F4592A" w:rsidP="003D12F3">
      <w:pPr>
        <w:spacing w:after="60"/>
        <w:jc w:val="center"/>
        <w:rPr>
          <w:b/>
          <w:sz w:val="22"/>
          <w:szCs w:val="22"/>
        </w:rPr>
      </w:pPr>
    </w:p>
    <w:p w14:paraId="0F9B2114" w14:textId="4D50C240" w:rsidR="00F4592A" w:rsidRDefault="00F4592A" w:rsidP="003D12F3">
      <w:pPr>
        <w:spacing w:after="60"/>
        <w:jc w:val="center"/>
        <w:rPr>
          <w:b/>
          <w:sz w:val="22"/>
          <w:szCs w:val="22"/>
        </w:rPr>
      </w:pPr>
    </w:p>
    <w:p w14:paraId="2E38DDC1" w14:textId="569FFA0C" w:rsidR="00F4592A" w:rsidRDefault="00F4592A" w:rsidP="003D12F3">
      <w:pPr>
        <w:spacing w:after="60"/>
        <w:jc w:val="center"/>
        <w:rPr>
          <w:b/>
          <w:sz w:val="22"/>
          <w:szCs w:val="22"/>
        </w:rPr>
      </w:pPr>
    </w:p>
    <w:p w14:paraId="52487C65" w14:textId="41D906F5" w:rsidR="00F4592A" w:rsidRDefault="00F4592A" w:rsidP="003D12F3">
      <w:pPr>
        <w:spacing w:after="60"/>
        <w:jc w:val="center"/>
        <w:rPr>
          <w:b/>
          <w:sz w:val="22"/>
          <w:szCs w:val="22"/>
        </w:rPr>
      </w:pPr>
    </w:p>
    <w:p w14:paraId="3DECBDCB" w14:textId="3E39F7F4" w:rsidR="00F4592A" w:rsidRDefault="00F4592A" w:rsidP="003D12F3">
      <w:pPr>
        <w:spacing w:after="60"/>
        <w:jc w:val="center"/>
        <w:rPr>
          <w:b/>
          <w:sz w:val="22"/>
          <w:szCs w:val="22"/>
        </w:rPr>
      </w:pPr>
    </w:p>
    <w:p w14:paraId="50EA11FF" w14:textId="3EC152FB" w:rsidR="00F4592A" w:rsidRDefault="00F4592A" w:rsidP="003D12F3">
      <w:pPr>
        <w:spacing w:after="60"/>
        <w:jc w:val="center"/>
        <w:rPr>
          <w:b/>
          <w:sz w:val="22"/>
          <w:szCs w:val="22"/>
        </w:rPr>
      </w:pPr>
    </w:p>
    <w:p w14:paraId="19993DE1" w14:textId="26E79A49" w:rsidR="00F4592A" w:rsidRDefault="00F4592A" w:rsidP="003D12F3">
      <w:pPr>
        <w:spacing w:after="60"/>
        <w:jc w:val="center"/>
        <w:rPr>
          <w:b/>
          <w:sz w:val="22"/>
          <w:szCs w:val="22"/>
        </w:rPr>
      </w:pPr>
    </w:p>
    <w:p w14:paraId="1E16A92E" w14:textId="66650833" w:rsidR="00F4592A" w:rsidRDefault="00F4592A" w:rsidP="003D12F3">
      <w:pPr>
        <w:spacing w:after="60"/>
        <w:jc w:val="center"/>
        <w:rPr>
          <w:b/>
          <w:sz w:val="22"/>
          <w:szCs w:val="22"/>
        </w:rPr>
      </w:pPr>
    </w:p>
    <w:p w14:paraId="4CF87919" w14:textId="734A957C" w:rsidR="00F4592A" w:rsidRDefault="00F4592A" w:rsidP="003D12F3">
      <w:pPr>
        <w:spacing w:after="60"/>
        <w:jc w:val="center"/>
        <w:rPr>
          <w:b/>
          <w:sz w:val="22"/>
          <w:szCs w:val="22"/>
        </w:rPr>
      </w:pPr>
    </w:p>
    <w:p w14:paraId="0F55BB59" w14:textId="6700FE33" w:rsidR="00F4592A" w:rsidRDefault="00F4592A" w:rsidP="003D12F3">
      <w:pPr>
        <w:spacing w:after="60"/>
        <w:jc w:val="center"/>
        <w:rPr>
          <w:b/>
          <w:sz w:val="22"/>
          <w:szCs w:val="22"/>
        </w:rPr>
      </w:pPr>
    </w:p>
    <w:p w14:paraId="2C24E590" w14:textId="1E878288" w:rsidR="00F4592A" w:rsidRDefault="00F4592A" w:rsidP="003D12F3">
      <w:pPr>
        <w:spacing w:after="60"/>
        <w:jc w:val="center"/>
        <w:rPr>
          <w:b/>
          <w:sz w:val="22"/>
          <w:szCs w:val="22"/>
        </w:rPr>
      </w:pPr>
    </w:p>
    <w:p w14:paraId="4FA75E3E" w14:textId="62D74B43" w:rsidR="00F4592A" w:rsidRDefault="00F4592A" w:rsidP="003D12F3">
      <w:pPr>
        <w:spacing w:after="60"/>
        <w:jc w:val="center"/>
        <w:rPr>
          <w:b/>
          <w:sz w:val="22"/>
          <w:szCs w:val="22"/>
        </w:rPr>
      </w:pPr>
    </w:p>
    <w:p w14:paraId="786F21E7" w14:textId="5A748F94" w:rsidR="00F4592A" w:rsidRDefault="00F4592A" w:rsidP="003D12F3">
      <w:pPr>
        <w:spacing w:after="60"/>
        <w:jc w:val="center"/>
        <w:rPr>
          <w:b/>
          <w:sz w:val="22"/>
          <w:szCs w:val="22"/>
        </w:rPr>
      </w:pPr>
    </w:p>
    <w:p w14:paraId="44B519ED" w14:textId="72B067EB" w:rsidR="00F4592A" w:rsidRDefault="00F4592A" w:rsidP="003D12F3">
      <w:pPr>
        <w:spacing w:after="60"/>
        <w:jc w:val="center"/>
        <w:rPr>
          <w:b/>
          <w:sz w:val="22"/>
          <w:szCs w:val="22"/>
        </w:rPr>
      </w:pPr>
    </w:p>
    <w:p w14:paraId="748FA5DE" w14:textId="45DB2D75" w:rsidR="00F4592A" w:rsidRDefault="00F4592A" w:rsidP="003D12F3">
      <w:pPr>
        <w:spacing w:after="60"/>
        <w:jc w:val="center"/>
        <w:rPr>
          <w:b/>
          <w:sz w:val="22"/>
          <w:szCs w:val="22"/>
        </w:rPr>
      </w:pPr>
    </w:p>
    <w:p w14:paraId="046BCC6E" w14:textId="368E5328" w:rsidR="00F4592A" w:rsidRDefault="00F4592A" w:rsidP="003D12F3">
      <w:pPr>
        <w:spacing w:after="60"/>
        <w:jc w:val="center"/>
        <w:rPr>
          <w:b/>
          <w:sz w:val="22"/>
          <w:szCs w:val="22"/>
        </w:rPr>
      </w:pPr>
    </w:p>
    <w:p w14:paraId="0D18EC0B" w14:textId="1024128E" w:rsidR="00F4592A" w:rsidRDefault="00F4592A" w:rsidP="003D12F3">
      <w:pPr>
        <w:spacing w:after="60"/>
        <w:jc w:val="center"/>
        <w:rPr>
          <w:b/>
          <w:sz w:val="22"/>
          <w:szCs w:val="22"/>
        </w:rPr>
      </w:pPr>
    </w:p>
    <w:p w14:paraId="52E879AC" w14:textId="3B909C24" w:rsidR="00F4592A" w:rsidRDefault="00F4592A" w:rsidP="003D12F3">
      <w:pPr>
        <w:spacing w:after="60"/>
        <w:jc w:val="center"/>
        <w:rPr>
          <w:b/>
          <w:sz w:val="22"/>
          <w:szCs w:val="22"/>
        </w:rPr>
      </w:pPr>
    </w:p>
    <w:p w14:paraId="35C2F70E" w14:textId="138CB618" w:rsidR="00F4592A" w:rsidRDefault="00F4592A" w:rsidP="003D12F3">
      <w:pPr>
        <w:spacing w:after="60"/>
        <w:jc w:val="center"/>
        <w:rPr>
          <w:b/>
          <w:sz w:val="22"/>
          <w:szCs w:val="22"/>
        </w:rPr>
      </w:pPr>
    </w:p>
    <w:p w14:paraId="183280AD" w14:textId="647F2B09" w:rsidR="00F4592A" w:rsidRDefault="00F4592A" w:rsidP="003D12F3">
      <w:pPr>
        <w:spacing w:after="60"/>
        <w:jc w:val="center"/>
        <w:rPr>
          <w:b/>
          <w:sz w:val="22"/>
          <w:szCs w:val="22"/>
        </w:rPr>
      </w:pPr>
    </w:p>
    <w:p w14:paraId="7DA2EF54" w14:textId="6EC45B67" w:rsidR="00F4592A" w:rsidRDefault="00F4592A" w:rsidP="003D12F3">
      <w:pPr>
        <w:spacing w:after="60"/>
        <w:jc w:val="center"/>
        <w:rPr>
          <w:b/>
          <w:sz w:val="22"/>
          <w:szCs w:val="22"/>
        </w:rPr>
      </w:pPr>
    </w:p>
    <w:p w14:paraId="7DF38237" w14:textId="01D7654E" w:rsidR="00F4592A" w:rsidRDefault="00F4592A" w:rsidP="003D12F3">
      <w:pPr>
        <w:spacing w:after="60"/>
        <w:jc w:val="center"/>
        <w:rPr>
          <w:b/>
          <w:sz w:val="22"/>
          <w:szCs w:val="22"/>
        </w:rPr>
      </w:pPr>
    </w:p>
    <w:p w14:paraId="3F561569" w14:textId="64804033" w:rsidR="00F4592A" w:rsidRDefault="00F4592A" w:rsidP="003D12F3">
      <w:pPr>
        <w:spacing w:after="60"/>
        <w:jc w:val="center"/>
        <w:rPr>
          <w:b/>
          <w:sz w:val="22"/>
          <w:szCs w:val="22"/>
        </w:rPr>
      </w:pPr>
    </w:p>
    <w:p w14:paraId="272BDA51" w14:textId="58631D95" w:rsidR="00F4592A" w:rsidRDefault="00F4592A" w:rsidP="003D12F3">
      <w:pPr>
        <w:spacing w:after="60"/>
        <w:jc w:val="center"/>
        <w:rPr>
          <w:b/>
          <w:sz w:val="22"/>
          <w:szCs w:val="22"/>
        </w:rPr>
      </w:pPr>
    </w:p>
    <w:p w14:paraId="6D72B3E5" w14:textId="646C3F11" w:rsidR="00F4592A" w:rsidRDefault="00F4592A" w:rsidP="003D12F3">
      <w:pPr>
        <w:spacing w:after="60"/>
        <w:jc w:val="center"/>
        <w:rPr>
          <w:b/>
          <w:sz w:val="22"/>
          <w:szCs w:val="22"/>
        </w:rPr>
      </w:pPr>
    </w:p>
    <w:p w14:paraId="27BC5827" w14:textId="7F8E95FF" w:rsidR="00F4592A" w:rsidRDefault="00F4592A" w:rsidP="003D12F3">
      <w:pPr>
        <w:spacing w:after="60"/>
        <w:jc w:val="center"/>
        <w:rPr>
          <w:b/>
          <w:sz w:val="22"/>
          <w:szCs w:val="22"/>
        </w:rPr>
      </w:pPr>
    </w:p>
    <w:p w14:paraId="1C1D62EE" w14:textId="2E6911B7" w:rsidR="00F4592A" w:rsidRDefault="00F4592A" w:rsidP="003D12F3">
      <w:pPr>
        <w:spacing w:after="60"/>
        <w:jc w:val="center"/>
        <w:rPr>
          <w:b/>
          <w:sz w:val="22"/>
          <w:szCs w:val="22"/>
        </w:rPr>
      </w:pPr>
    </w:p>
    <w:p w14:paraId="0FD95760" w14:textId="1FF9B2B4" w:rsidR="00F4592A" w:rsidRDefault="00F4592A" w:rsidP="003D12F3">
      <w:pPr>
        <w:spacing w:after="60"/>
        <w:jc w:val="center"/>
        <w:rPr>
          <w:b/>
          <w:sz w:val="22"/>
          <w:szCs w:val="22"/>
        </w:rPr>
      </w:pPr>
    </w:p>
    <w:p w14:paraId="4949590A" w14:textId="1DE9B092" w:rsidR="00F4592A" w:rsidRDefault="00F4592A" w:rsidP="003D12F3">
      <w:pPr>
        <w:spacing w:after="60"/>
        <w:jc w:val="center"/>
        <w:rPr>
          <w:b/>
          <w:sz w:val="22"/>
          <w:szCs w:val="22"/>
        </w:rPr>
      </w:pPr>
    </w:p>
    <w:p w14:paraId="2927A602" w14:textId="711873D0" w:rsidR="00F4592A" w:rsidRDefault="00F4592A" w:rsidP="003D12F3">
      <w:pPr>
        <w:spacing w:after="60"/>
        <w:jc w:val="center"/>
        <w:rPr>
          <w:b/>
          <w:sz w:val="22"/>
          <w:szCs w:val="22"/>
        </w:rPr>
      </w:pPr>
    </w:p>
    <w:p w14:paraId="521FF1A4" w14:textId="2CDFE3B9" w:rsidR="00F4592A" w:rsidRDefault="00F4592A" w:rsidP="003D12F3">
      <w:pPr>
        <w:spacing w:after="60"/>
        <w:jc w:val="center"/>
        <w:rPr>
          <w:b/>
          <w:sz w:val="22"/>
          <w:szCs w:val="22"/>
        </w:rPr>
      </w:pPr>
    </w:p>
    <w:p w14:paraId="7936AEFE" w14:textId="41E438B0" w:rsidR="004A3B70" w:rsidRDefault="004A3B70" w:rsidP="003D12F3">
      <w:pPr>
        <w:spacing w:after="60"/>
        <w:jc w:val="center"/>
        <w:rPr>
          <w:b/>
          <w:sz w:val="22"/>
          <w:szCs w:val="22"/>
        </w:rPr>
      </w:pPr>
    </w:p>
    <w:p w14:paraId="3C0C6051" w14:textId="77777777" w:rsidR="004A3B70" w:rsidRDefault="004A3B70" w:rsidP="003D12F3">
      <w:pPr>
        <w:spacing w:after="60"/>
        <w:jc w:val="center"/>
        <w:rPr>
          <w:b/>
          <w:sz w:val="22"/>
          <w:szCs w:val="22"/>
        </w:rPr>
      </w:pPr>
    </w:p>
    <w:p w14:paraId="3DAA5AB9" w14:textId="1BF3A810" w:rsidR="00F4592A" w:rsidRDefault="004A3B70" w:rsidP="00790A22">
      <w:pPr>
        <w:spacing w:line="276" w:lineRule="auto"/>
        <w:jc w:val="both"/>
        <w:rPr>
          <w:b/>
          <w:sz w:val="22"/>
          <w:szCs w:val="22"/>
        </w:rPr>
      </w:pPr>
      <w:r w:rsidRPr="00586202">
        <w:rPr>
          <w:sz w:val="22"/>
          <w:lang w:val="sr-Cyrl-RS"/>
        </w:rPr>
        <w:t xml:space="preserve">Ова анализа се проводи  у оквиру пројекта „Јачање капацитета савеза </w:t>
      </w:r>
      <w:proofErr w:type="spellStart"/>
      <w:r w:rsidRPr="00586202">
        <w:rPr>
          <w:sz w:val="22"/>
          <w:lang w:val="sr-Cyrl-RS"/>
        </w:rPr>
        <w:t>оштина</w:t>
      </w:r>
      <w:proofErr w:type="spellEnd"/>
      <w:r w:rsidRPr="00586202">
        <w:rPr>
          <w:sz w:val="22"/>
          <w:lang w:val="sr-Cyrl-RS"/>
        </w:rPr>
        <w:t xml:space="preserve"> и градова у БиХ“, које финансирају Влада Краљевине Шведске и Влада Швајцарске, а уз техничку подршку Шведске асоцијације локалних власти </w:t>
      </w:r>
      <w:r w:rsidRPr="00586202">
        <w:rPr>
          <w:sz w:val="22"/>
          <w:lang w:val="en-US"/>
        </w:rPr>
        <w:t>SALAR</w:t>
      </w:r>
      <w:r w:rsidRPr="00586202">
        <w:rPr>
          <w:sz w:val="22"/>
          <w:lang w:val="sr-Cyrl-RS"/>
        </w:rPr>
        <w:t>.</w:t>
      </w:r>
    </w:p>
    <w:p w14:paraId="29DE541A" w14:textId="21D7D1FB" w:rsidR="004A3B70" w:rsidRDefault="004A3B70" w:rsidP="006E3BFD">
      <w:pPr>
        <w:spacing w:line="276" w:lineRule="auto"/>
        <w:jc w:val="both"/>
        <w:rPr>
          <w:sz w:val="22"/>
          <w:lang w:val="sr-Cyrl-RS"/>
        </w:rPr>
      </w:pPr>
      <w:r w:rsidRPr="00200C29">
        <w:rPr>
          <w:sz w:val="22"/>
          <w:lang w:val="sr-Cyrl-RS"/>
        </w:rPr>
        <w:t>Ставови изнесени у овој анализи, представљају мишљење аутора и резултат су добијених података из упитника које су попуниле изабране јединиц</w:t>
      </w:r>
      <w:r>
        <w:rPr>
          <w:sz w:val="22"/>
          <w:lang w:val="sr-Cyrl-RS"/>
        </w:rPr>
        <w:t>е</w:t>
      </w:r>
      <w:r w:rsidRPr="00200C29">
        <w:rPr>
          <w:sz w:val="22"/>
          <w:lang w:val="sr-Cyrl-RS"/>
        </w:rPr>
        <w:t xml:space="preserve"> локалне самоуправе.</w:t>
      </w:r>
      <w:r w:rsidRPr="00C93E64">
        <w:rPr>
          <w:sz w:val="22"/>
          <w:szCs w:val="22"/>
          <w:lang w:val="sr-Cyrl-RS"/>
        </w:rPr>
        <w:t xml:space="preserve"> </w:t>
      </w:r>
      <w:proofErr w:type="spellStart"/>
      <w:r w:rsidR="00C93E64" w:rsidRPr="00C93E64">
        <w:rPr>
          <w:color w:val="201F1E"/>
          <w:sz w:val="22"/>
          <w:szCs w:val="22"/>
          <w:shd w:val="clear" w:color="auto" w:fill="FFFFFF"/>
        </w:rPr>
        <w:t>Садржај</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овог</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документа</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не</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представља</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становиште</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донатора</w:t>
      </w:r>
      <w:proofErr w:type="spellEnd"/>
      <w:r w:rsidR="00C93E64" w:rsidRPr="00C93E64">
        <w:rPr>
          <w:color w:val="201F1E"/>
          <w:sz w:val="22"/>
          <w:szCs w:val="22"/>
          <w:shd w:val="clear" w:color="auto" w:fill="FFFFFF"/>
        </w:rPr>
        <w:t xml:space="preserve"> и </w:t>
      </w:r>
      <w:proofErr w:type="spellStart"/>
      <w:r w:rsidR="00C93E64" w:rsidRPr="00C93E64">
        <w:rPr>
          <w:color w:val="201F1E"/>
          <w:sz w:val="22"/>
          <w:szCs w:val="22"/>
          <w:shd w:val="clear" w:color="auto" w:fill="FFFFFF"/>
        </w:rPr>
        <w:t>искључива</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је</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одговорност</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Савеза</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општина</w:t>
      </w:r>
      <w:proofErr w:type="spellEnd"/>
      <w:r w:rsidR="00C93E64" w:rsidRPr="00C93E64">
        <w:rPr>
          <w:color w:val="201F1E"/>
          <w:sz w:val="22"/>
          <w:szCs w:val="22"/>
          <w:shd w:val="clear" w:color="auto" w:fill="FFFFFF"/>
        </w:rPr>
        <w:t xml:space="preserve"> и </w:t>
      </w:r>
      <w:proofErr w:type="spellStart"/>
      <w:r w:rsidR="00C93E64" w:rsidRPr="00C93E64">
        <w:rPr>
          <w:color w:val="201F1E"/>
          <w:sz w:val="22"/>
          <w:szCs w:val="22"/>
          <w:shd w:val="clear" w:color="auto" w:fill="FFFFFF"/>
        </w:rPr>
        <w:t>градова</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Републике</w:t>
      </w:r>
      <w:proofErr w:type="spellEnd"/>
      <w:r w:rsidR="00C93E64" w:rsidRPr="00C93E64">
        <w:rPr>
          <w:color w:val="201F1E"/>
          <w:sz w:val="22"/>
          <w:szCs w:val="22"/>
          <w:shd w:val="clear" w:color="auto" w:fill="FFFFFF"/>
        </w:rPr>
        <w:t xml:space="preserve"> </w:t>
      </w:r>
      <w:proofErr w:type="spellStart"/>
      <w:r w:rsidR="00C93E64" w:rsidRPr="00C93E64">
        <w:rPr>
          <w:color w:val="201F1E"/>
          <w:sz w:val="22"/>
          <w:szCs w:val="22"/>
          <w:shd w:val="clear" w:color="auto" w:fill="FFFFFF"/>
        </w:rPr>
        <w:t>Српске</w:t>
      </w:r>
      <w:proofErr w:type="spellEnd"/>
      <w:r w:rsidR="00C93E64" w:rsidRPr="00C93E64">
        <w:rPr>
          <w:color w:val="201F1E"/>
          <w:sz w:val="22"/>
          <w:szCs w:val="22"/>
          <w:shd w:val="clear" w:color="auto" w:fill="FFFFFF"/>
        </w:rPr>
        <w:t>.</w:t>
      </w:r>
    </w:p>
    <w:p w14:paraId="0F7BCE52" w14:textId="77777777" w:rsidR="004A3B70" w:rsidRDefault="004A3B70" w:rsidP="004A3B70">
      <w:pPr>
        <w:spacing w:line="276" w:lineRule="auto"/>
        <w:jc w:val="both"/>
        <w:rPr>
          <w:sz w:val="22"/>
          <w:lang w:val="sr-Cyrl-RS"/>
        </w:rPr>
      </w:pPr>
    </w:p>
    <w:p w14:paraId="38799F45" w14:textId="0A1DA6E6" w:rsidR="004A3B70" w:rsidRDefault="004A3B70" w:rsidP="004A3B70">
      <w:pPr>
        <w:spacing w:after="60"/>
        <w:jc w:val="center"/>
        <w:rPr>
          <w:sz w:val="22"/>
          <w:lang w:val="sr-Cyrl-RS"/>
        </w:rPr>
      </w:pPr>
      <w:r w:rsidRPr="00200C29">
        <w:rPr>
          <w:sz w:val="22"/>
          <w:lang w:val="sr-Cyrl-RS"/>
        </w:rPr>
        <w:t>Аутор</w:t>
      </w:r>
      <w:r>
        <w:rPr>
          <w:sz w:val="22"/>
          <w:lang w:val="sr-Cyrl-RS"/>
        </w:rPr>
        <w:t>и</w:t>
      </w:r>
      <w:r w:rsidRPr="00200C29">
        <w:rPr>
          <w:sz w:val="22"/>
          <w:lang w:val="sr-Cyrl-RS"/>
        </w:rPr>
        <w:t>: Божана Шљивар</w:t>
      </w:r>
      <w:r>
        <w:rPr>
          <w:sz w:val="22"/>
          <w:lang w:val="sr-Cyrl-RS"/>
        </w:rPr>
        <w:t xml:space="preserve"> и </w:t>
      </w:r>
      <w:r w:rsidRPr="00200C29">
        <w:rPr>
          <w:sz w:val="22"/>
          <w:lang w:val="sr-Cyrl-RS"/>
        </w:rPr>
        <w:t>Дејан Вујић</w:t>
      </w:r>
    </w:p>
    <w:p w14:paraId="62C576E3" w14:textId="77777777" w:rsidR="00C93E64" w:rsidRPr="008D586C" w:rsidRDefault="00C93E64" w:rsidP="004A3B70">
      <w:pPr>
        <w:spacing w:after="60"/>
        <w:jc w:val="center"/>
        <w:rPr>
          <w:b/>
          <w:sz w:val="22"/>
          <w:szCs w:val="22"/>
        </w:rPr>
      </w:pPr>
    </w:p>
    <w:p w14:paraId="144587BA" w14:textId="77777777" w:rsidR="00F4592A" w:rsidRDefault="00F4592A" w:rsidP="00861426">
      <w:pPr>
        <w:spacing w:line="276" w:lineRule="auto"/>
        <w:jc w:val="center"/>
        <w:rPr>
          <w:b/>
          <w:szCs w:val="22"/>
          <w:lang w:val="sr-Cyrl-CS"/>
        </w:rPr>
      </w:pPr>
    </w:p>
    <w:p w14:paraId="062460EA" w14:textId="2CA5B4AA" w:rsidR="00861426" w:rsidRDefault="00861426" w:rsidP="00861426">
      <w:pPr>
        <w:spacing w:line="276" w:lineRule="auto"/>
        <w:jc w:val="center"/>
        <w:rPr>
          <w:b/>
          <w:sz w:val="22"/>
          <w:szCs w:val="22"/>
          <w:lang w:val="sr-Cyrl-CS"/>
        </w:rPr>
      </w:pPr>
      <w:r w:rsidRPr="006F1778">
        <w:rPr>
          <w:b/>
          <w:szCs w:val="22"/>
          <w:lang w:val="sr-Cyrl-CS"/>
        </w:rPr>
        <w:t>С А Д Р Ж А Ј</w:t>
      </w:r>
      <w:r w:rsidR="00F4592A">
        <w:rPr>
          <w:b/>
          <w:sz w:val="22"/>
          <w:szCs w:val="22"/>
          <w:lang w:val="sr-Cyrl-CS"/>
        </w:rPr>
        <w:t>:</w:t>
      </w:r>
    </w:p>
    <w:p w14:paraId="3CA6B618" w14:textId="77777777" w:rsidR="00861426" w:rsidRPr="008D586C" w:rsidRDefault="00861426" w:rsidP="00861426">
      <w:pPr>
        <w:spacing w:line="276" w:lineRule="auto"/>
        <w:jc w:val="center"/>
        <w:rPr>
          <w:b/>
          <w:sz w:val="22"/>
          <w:szCs w:val="22"/>
          <w:lang w:val="sr-Cyrl-CS"/>
        </w:rPr>
      </w:pPr>
    </w:p>
    <w:sdt>
      <w:sdtPr>
        <w:rPr>
          <w:noProof w:val="0"/>
          <w:sz w:val="24"/>
          <w:lang w:val="sr-Latn-CS"/>
        </w:rPr>
        <w:id w:val="1291257506"/>
        <w:docPartObj>
          <w:docPartGallery w:val="Table of Contents"/>
          <w:docPartUnique/>
        </w:docPartObj>
      </w:sdtPr>
      <w:sdtEndPr>
        <w:rPr>
          <w:szCs w:val="22"/>
        </w:rPr>
      </w:sdtEndPr>
      <w:sdtContent>
        <w:p w14:paraId="62A47C53" w14:textId="77777777" w:rsidR="00665699" w:rsidRPr="00F66D0A" w:rsidRDefault="00665699" w:rsidP="00652B74">
          <w:pPr>
            <w:pStyle w:val="TOC1"/>
          </w:pPr>
        </w:p>
        <w:p w14:paraId="4DF1EB4F" w14:textId="496B8C97" w:rsidR="006432D1" w:rsidRDefault="00665699">
          <w:pPr>
            <w:pStyle w:val="TOC1"/>
            <w:rPr>
              <w:rFonts w:asciiTheme="minorHAnsi" w:eastAsiaTheme="minorEastAsia" w:hAnsiTheme="minorHAnsi" w:cstheme="minorBidi"/>
              <w:szCs w:val="22"/>
              <w:lang w:val="sr-Latn-RS" w:eastAsia="sr-Latn-RS"/>
            </w:rPr>
          </w:pPr>
          <w:r w:rsidRPr="00F66D0A">
            <w:rPr>
              <w:szCs w:val="22"/>
            </w:rPr>
            <w:fldChar w:fldCharType="begin"/>
          </w:r>
          <w:r w:rsidRPr="00F66D0A">
            <w:rPr>
              <w:szCs w:val="22"/>
            </w:rPr>
            <w:instrText xml:space="preserve"> TOC \o "1-3" \h \z \u </w:instrText>
          </w:r>
          <w:r w:rsidRPr="00F66D0A">
            <w:rPr>
              <w:szCs w:val="22"/>
            </w:rPr>
            <w:fldChar w:fldCharType="separate"/>
          </w:r>
          <w:hyperlink w:anchor="_Toc59550004" w:history="1">
            <w:r w:rsidR="006432D1" w:rsidRPr="00C92D7C">
              <w:rPr>
                <w:rStyle w:val="Hyperlink"/>
              </w:rPr>
              <w:t>1.  САЖЕТАК И ОСНОВНЕ ПРЕПОРУКЕ</w:t>
            </w:r>
            <w:r w:rsidR="006432D1">
              <w:rPr>
                <w:webHidden/>
              </w:rPr>
              <w:tab/>
            </w:r>
            <w:r w:rsidR="006432D1">
              <w:rPr>
                <w:webHidden/>
              </w:rPr>
              <w:fldChar w:fldCharType="begin"/>
            </w:r>
            <w:r w:rsidR="006432D1">
              <w:rPr>
                <w:webHidden/>
              </w:rPr>
              <w:instrText xml:space="preserve"> PAGEREF _Toc59550004 \h </w:instrText>
            </w:r>
            <w:r w:rsidR="006432D1">
              <w:rPr>
                <w:webHidden/>
              </w:rPr>
            </w:r>
            <w:r w:rsidR="006432D1">
              <w:rPr>
                <w:webHidden/>
              </w:rPr>
              <w:fldChar w:fldCharType="separate"/>
            </w:r>
            <w:r w:rsidR="00E3669D">
              <w:rPr>
                <w:webHidden/>
              </w:rPr>
              <w:t>5</w:t>
            </w:r>
            <w:r w:rsidR="006432D1">
              <w:rPr>
                <w:webHidden/>
              </w:rPr>
              <w:fldChar w:fldCharType="end"/>
            </w:r>
          </w:hyperlink>
        </w:p>
        <w:p w14:paraId="54DD1DC6" w14:textId="3A0E9EE1" w:rsidR="006432D1" w:rsidRDefault="00CE11CD">
          <w:pPr>
            <w:pStyle w:val="TOC1"/>
            <w:rPr>
              <w:rFonts w:asciiTheme="minorHAnsi" w:eastAsiaTheme="minorEastAsia" w:hAnsiTheme="minorHAnsi" w:cstheme="minorBidi"/>
              <w:szCs w:val="22"/>
              <w:lang w:val="sr-Latn-RS" w:eastAsia="sr-Latn-RS"/>
            </w:rPr>
          </w:pPr>
          <w:hyperlink w:anchor="_Toc59550005" w:history="1">
            <w:r w:rsidR="006432D1" w:rsidRPr="00C92D7C">
              <w:rPr>
                <w:rStyle w:val="Hyperlink"/>
              </w:rPr>
              <w:t xml:space="preserve">2. </w:t>
            </w:r>
            <w:r w:rsidR="006432D1" w:rsidRPr="00C92D7C">
              <w:rPr>
                <w:rStyle w:val="Hyperlink"/>
                <w:lang w:val="sr-Cyrl-RS"/>
              </w:rPr>
              <w:t>ОПШТИ ЕКОНОМСКИ ОКВИР У 2020. ГОДИНИ</w:t>
            </w:r>
            <w:r w:rsidR="006432D1">
              <w:rPr>
                <w:webHidden/>
              </w:rPr>
              <w:tab/>
            </w:r>
            <w:r w:rsidR="006432D1">
              <w:rPr>
                <w:webHidden/>
              </w:rPr>
              <w:fldChar w:fldCharType="begin"/>
            </w:r>
            <w:r w:rsidR="006432D1">
              <w:rPr>
                <w:webHidden/>
              </w:rPr>
              <w:instrText xml:space="preserve"> PAGEREF _Toc59550005 \h </w:instrText>
            </w:r>
            <w:r w:rsidR="006432D1">
              <w:rPr>
                <w:webHidden/>
              </w:rPr>
            </w:r>
            <w:r w:rsidR="006432D1">
              <w:rPr>
                <w:webHidden/>
              </w:rPr>
              <w:fldChar w:fldCharType="separate"/>
            </w:r>
            <w:r w:rsidR="00E3669D">
              <w:rPr>
                <w:webHidden/>
              </w:rPr>
              <w:t>7</w:t>
            </w:r>
            <w:r w:rsidR="006432D1">
              <w:rPr>
                <w:webHidden/>
              </w:rPr>
              <w:fldChar w:fldCharType="end"/>
            </w:r>
          </w:hyperlink>
        </w:p>
        <w:p w14:paraId="41CC1A3C" w14:textId="27FB6BB2" w:rsidR="006432D1" w:rsidRDefault="00CE11CD">
          <w:pPr>
            <w:pStyle w:val="TOC1"/>
            <w:rPr>
              <w:rFonts w:asciiTheme="minorHAnsi" w:eastAsiaTheme="minorEastAsia" w:hAnsiTheme="minorHAnsi" w:cstheme="minorBidi"/>
              <w:szCs w:val="22"/>
              <w:lang w:val="sr-Latn-RS" w:eastAsia="sr-Latn-RS"/>
            </w:rPr>
          </w:pPr>
          <w:hyperlink w:anchor="_Toc59550006" w:history="1">
            <w:r w:rsidR="006432D1" w:rsidRPr="00C92D7C">
              <w:rPr>
                <w:rStyle w:val="Hyperlink"/>
              </w:rPr>
              <w:t>2.1. Макроекономска кретања у међународном окружењу</w:t>
            </w:r>
            <w:r w:rsidR="006432D1">
              <w:rPr>
                <w:webHidden/>
              </w:rPr>
              <w:tab/>
            </w:r>
            <w:r w:rsidR="006432D1">
              <w:rPr>
                <w:webHidden/>
              </w:rPr>
              <w:fldChar w:fldCharType="begin"/>
            </w:r>
            <w:r w:rsidR="006432D1">
              <w:rPr>
                <w:webHidden/>
              </w:rPr>
              <w:instrText xml:space="preserve"> PAGEREF _Toc59550006 \h </w:instrText>
            </w:r>
            <w:r w:rsidR="006432D1">
              <w:rPr>
                <w:webHidden/>
              </w:rPr>
            </w:r>
            <w:r w:rsidR="006432D1">
              <w:rPr>
                <w:webHidden/>
              </w:rPr>
              <w:fldChar w:fldCharType="separate"/>
            </w:r>
            <w:r w:rsidR="00E3669D">
              <w:rPr>
                <w:webHidden/>
              </w:rPr>
              <w:t>7</w:t>
            </w:r>
            <w:r w:rsidR="006432D1">
              <w:rPr>
                <w:webHidden/>
              </w:rPr>
              <w:fldChar w:fldCharType="end"/>
            </w:r>
          </w:hyperlink>
        </w:p>
        <w:p w14:paraId="4E173973" w14:textId="2C4A689C" w:rsidR="006432D1" w:rsidRDefault="00CE11CD">
          <w:pPr>
            <w:pStyle w:val="TOC1"/>
            <w:rPr>
              <w:rFonts w:asciiTheme="minorHAnsi" w:eastAsiaTheme="minorEastAsia" w:hAnsiTheme="minorHAnsi" w:cstheme="minorBidi"/>
              <w:szCs w:val="22"/>
              <w:lang w:val="sr-Latn-RS" w:eastAsia="sr-Latn-RS"/>
            </w:rPr>
          </w:pPr>
          <w:hyperlink w:anchor="_Toc59550007" w:history="1">
            <w:r w:rsidR="006432D1" w:rsidRPr="00C92D7C">
              <w:rPr>
                <w:rStyle w:val="Hyperlink"/>
                <w:lang w:val="en-US"/>
              </w:rPr>
              <w:t xml:space="preserve">2.2. </w:t>
            </w:r>
            <w:r w:rsidR="006432D1" w:rsidRPr="00C92D7C">
              <w:rPr>
                <w:rStyle w:val="Hyperlink"/>
              </w:rPr>
              <w:t>Макроекономска кретања</w:t>
            </w:r>
            <w:r w:rsidR="006432D1" w:rsidRPr="00C92D7C">
              <w:rPr>
                <w:rStyle w:val="Hyperlink"/>
                <w:lang w:val="sr-Cyrl-RS"/>
              </w:rPr>
              <w:t xml:space="preserve"> у БиХ</w:t>
            </w:r>
            <w:r w:rsidR="006432D1">
              <w:rPr>
                <w:webHidden/>
              </w:rPr>
              <w:tab/>
            </w:r>
            <w:r w:rsidR="006432D1">
              <w:rPr>
                <w:webHidden/>
              </w:rPr>
              <w:fldChar w:fldCharType="begin"/>
            </w:r>
            <w:r w:rsidR="006432D1">
              <w:rPr>
                <w:webHidden/>
              </w:rPr>
              <w:instrText xml:space="preserve"> PAGEREF _Toc59550007 \h </w:instrText>
            </w:r>
            <w:r w:rsidR="006432D1">
              <w:rPr>
                <w:webHidden/>
              </w:rPr>
            </w:r>
            <w:r w:rsidR="006432D1">
              <w:rPr>
                <w:webHidden/>
              </w:rPr>
              <w:fldChar w:fldCharType="separate"/>
            </w:r>
            <w:r w:rsidR="00E3669D">
              <w:rPr>
                <w:webHidden/>
              </w:rPr>
              <w:t>9</w:t>
            </w:r>
            <w:r w:rsidR="006432D1">
              <w:rPr>
                <w:webHidden/>
              </w:rPr>
              <w:fldChar w:fldCharType="end"/>
            </w:r>
          </w:hyperlink>
        </w:p>
        <w:p w14:paraId="6C03DFD2" w14:textId="20566419" w:rsidR="006432D1" w:rsidRDefault="00CE11CD">
          <w:pPr>
            <w:pStyle w:val="TOC1"/>
            <w:rPr>
              <w:rFonts w:asciiTheme="minorHAnsi" w:eastAsiaTheme="minorEastAsia" w:hAnsiTheme="minorHAnsi" w:cstheme="minorBidi"/>
              <w:szCs w:val="22"/>
              <w:lang w:val="sr-Latn-RS" w:eastAsia="sr-Latn-RS"/>
            </w:rPr>
          </w:pPr>
          <w:hyperlink w:anchor="_Toc59550008" w:history="1">
            <w:r w:rsidR="006432D1" w:rsidRPr="00C92D7C">
              <w:rPr>
                <w:rStyle w:val="Hyperlink"/>
                <w:lang w:val="sr-Latn-RS"/>
              </w:rPr>
              <w:t>2.</w:t>
            </w:r>
            <w:r w:rsidR="006432D1" w:rsidRPr="00C92D7C">
              <w:rPr>
                <w:rStyle w:val="Hyperlink"/>
                <w:lang w:val="bs-Cyrl-BA"/>
              </w:rPr>
              <w:t>3</w:t>
            </w:r>
            <w:r w:rsidR="006432D1" w:rsidRPr="00C92D7C">
              <w:rPr>
                <w:rStyle w:val="Hyperlink"/>
                <w:lang w:val="sr-Latn-RS"/>
              </w:rPr>
              <w:t xml:space="preserve">. </w:t>
            </w:r>
            <w:r w:rsidR="006432D1" w:rsidRPr="00C92D7C">
              <w:rPr>
                <w:rStyle w:val="Hyperlink"/>
              </w:rPr>
              <w:t xml:space="preserve">Макроекономске процјене и пројекције </w:t>
            </w:r>
            <w:r w:rsidR="006432D1" w:rsidRPr="00C92D7C">
              <w:rPr>
                <w:rStyle w:val="Hyperlink"/>
                <w:lang w:val="sr-Cyrl-RS"/>
              </w:rPr>
              <w:t xml:space="preserve">у Републици Српској </w:t>
            </w:r>
            <w:r w:rsidR="006432D1" w:rsidRPr="00C92D7C">
              <w:rPr>
                <w:rStyle w:val="Hyperlink"/>
              </w:rPr>
              <w:t>за период 2020-2023.г.</w:t>
            </w:r>
            <w:r w:rsidR="006432D1">
              <w:rPr>
                <w:webHidden/>
              </w:rPr>
              <w:tab/>
            </w:r>
            <w:r w:rsidR="006432D1">
              <w:rPr>
                <w:webHidden/>
              </w:rPr>
              <w:fldChar w:fldCharType="begin"/>
            </w:r>
            <w:r w:rsidR="006432D1">
              <w:rPr>
                <w:webHidden/>
              </w:rPr>
              <w:instrText xml:space="preserve"> PAGEREF _Toc59550008 \h </w:instrText>
            </w:r>
            <w:r w:rsidR="006432D1">
              <w:rPr>
                <w:webHidden/>
              </w:rPr>
            </w:r>
            <w:r w:rsidR="006432D1">
              <w:rPr>
                <w:webHidden/>
              </w:rPr>
              <w:fldChar w:fldCharType="separate"/>
            </w:r>
            <w:r w:rsidR="00E3669D">
              <w:rPr>
                <w:webHidden/>
              </w:rPr>
              <w:t>10</w:t>
            </w:r>
            <w:r w:rsidR="006432D1">
              <w:rPr>
                <w:webHidden/>
              </w:rPr>
              <w:fldChar w:fldCharType="end"/>
            </w:r>
          </w:hyperlink>
        </w:p>
        <w:p w14:paraId="6BAE5C78" w14:textId="2BC3CA30" w:rsidR="006432D1" w:rsidRDefault="00CE11CD">
          <w:pPr>
            <w:pStyle w:val="TOC1"/>
            <w:rPr>
              <w:rFonts w:asciiTheme="minorHAnsi" w:eastAsiaTheme="minorEastAsia" w:hAnsiTheme="minorHAnsi" w:cstheme="minorBidi"/>
              <w:szCs w:val="22"/>
              <w:lang w:val="sr-Latn-RS" w:eastAsia="sr-Latn-RS"/>
            </w:rPr>
          </w:pPr>
          <w:hyperlink w:anchor="_Toc59550009" w:history="1">
            <w:r w:rsidR="006432D1" w:rsidRPr="00C92D7C">
              <w:rPr>
                <w:rStyle w:val="Hyperlink"/>
              </w:rPr>
              <w:t xml:space="preserve">2.4. </w:t>
            </w:r>
            <w:r w:rsidR="006432D1" w:rsidRPr="00C92D7C">
              <w:rPr>
                <w:rStyle w:val="Hyperlink"/>
                <w:lang w:val="sr-Cyrl-RS"/>
              </w:rPr>
              <w:t>Основе п</w:t>
            </w:r>
            <w:r w:rsidR="006432D1" w:rsidRPr="00C92D7C">
              <w:rPr>
                <w:rStyle w:val="Hyperlink"/>
              </w:rPr>
              <w:t>ројекциј</w:t>
            </w:r>
            <w:r w:rsidR="006432D1" w:rsidRPr="00C92D7C">
              <w:rPr>
                <w:rStyle w:val="Hyperlink"/>
                <w:lang w:val="sr-Cyrl-RS"/>
              </w:rPr>
              <w:t xml:space="preserve">а </w:t>
            </w:r>
            <w:r w:rsidR="006432D1" w:rsidRPr="00C92D7C">
              <w:rPr>
                <w:rStyle w:val="Hyperlink"/>
              </w:rPr>
              <w:t xml:space="preserve"> јавних прихода за јединице локалне самоуправе </w:t>
            </w:r>
            <w:r w:rsidR="006432D1" w:rsidRPr="00C92D7C">
              <w:rPr>
                <w:rStyle w:val="Hyperlink"/>
                <w:lang w:val="sr-Cyrl-RS"/>
              </w:rPr>
              <w:t>у РС</w:t>
            </w:r>
            <w:r w:rsidR="006432D1" w:rsidRPr="00C92D7C">
              <w:rPr>
                <w:rStyle w:val="Hyperlink"/>
              </w:rPr>
              <w:t xml:space="preserve"> за период 2021-2023. година</w:t>
            </w:r>
            <w:r w:rsidR="006432D1">
              <w:rPr>
                <w:webHidden/>
              </w:rPr>
              <w:tab/>
            </w:r>
            <w:r w:rsidR="006432D1">
              <w:rPr>
                <w:webHidden/>
              </w:rPr>
              <w:fldChar w:fldCharType="begin"/>
            </w:r>
            <w:r w:rsidR="006432D1">
              <w:rPr>
                <w:webHidden/>
              </w:rPr>
              <w:instrText xml:space="preserve"> PAGEREF _Toc59550009 \h </w:instrText>
            </w:r>
            <w:r w:rsidR="006432D1">
              <w:rPr>
                <w:webHidden/>
              </w:rPr>
            </w:r>
            <w:r w:rsidR="006432D1">
              <w:rPr>
                <w:webHidden/>
              </w:rPr>
              <w:fldChar w:fldCharType="separate"/>
            </w:r>
            <w:r w:rsidR="00E3669D">
              <w:rPr>
                <w:webHidden/>
              </w:rPr>
              <w:t>12</w:t>
            </w:r>
            <w:r w:rsidR="006432D1">
              <w:rPr>
                <w:webHidden/>
              </w:rPr>
              <w:fldChar w:fldCharType="end"/>
            </w:r>
          </w:hyperlink>
        </w:p>
        <w:p w14:paraId="1B1E5810" w14:textId="074DABF4" w:rsidR="006432D1" w:rsidRDefault="00CE11CD">
          <w:pPr>
            <w:pStyle w:val="TOC1"/>
            <w:rPr>
              <w:rFonts w:asciiTheme="minorHAnsi" w:eastAsiaTheme="minorEastAsia" w:hAnsiTheme="minorHAnsi" w:cstheme="minorBidi"/>
              <w:szCs w:val="22"/>
              <w:lang w:val="sr-Latn-RS" w:eastAsia="sr-Latn-RS"/>
            </w:rPr>
          </w:pPr>
          <w:hyperlink w:anchor="_Toc59550010" w:history="1">
            <w:r w:rsidR="006432D1" w:rsidRPr="00C92D7C">
              <w:rPr>
                <w:rStyle w:val="Hyperlink"/>
              </w:rPr>
              <w:t>2.5. Пројекције јавне потрошње</w:t>
            </w:r>
            <w:r w:rsidR="006432D1" w:rsidRPr="00C92D7C">
              <w:rPr>
                <w:rStyle w:val="Hyperlink"/>
                <w:lang w:val="sr-Cyrl-RS"/>
              </w:rPr>
              <w:t xml:space="preserve"> </w:t>
            </w:r>
            <w:r w:rsidR="006432D1" w:rsidRPr="00C92D7C">
              <w:rPr>
                <w:rStyle w:val="Hyperlink"/>
              </w:rPr>
              <w:t xml:space="preserve">за јединице локалне самоуправе </w:t>
            </w:r>
            <w:r w:rsidR="006432D1" w:rsidRPr="00C92D7C">
              <w:rPr>
                <w:rStyle w:val="Hyperlink"/>
                <w:lang w:val="sr-Cyrl-RS"/>
              </w:rPr>
              <w:t xml:space="preserve">у РС </w:t>
            </w:r>
            <w:r w:rsidR="006432D1" w:rsidRPr="00C92D7C">
              <w:rPr>
                <w:rStyle w:val="Hyperlink"/>
              </w:rPr>
              <w:t>за период 2021-2023. година</w:t>
            </w:r>
            <w:r w:rsidR="006432D1">
              <w:rPr>
                <w:webHidden/>
              </w:rPr>
              <w:tab/>
            </w:r>
            <w:r w:rsidR="006432D1">
              <w:rPr>
                <w:webHidden/>
              </w:rPr>
              <w:fldChar w:fldCharType="begin"/>
            </w:r>
            <w:r w:rsidR="006432D1">
              <w:rPr>
                <w:webHidden/>
              </w:rPr>
              <w:instrText xml:space="preserve"> PAGEREF _Toc59550010 \h </w:instrText>
            </w:r>
            <w:r w:rsidR="006432D1">
              <w:rPr>
                <w:webHidden/>
              </w:rPr>
            </w:r>
            <w:r w:rsidR="006432D1">
              <w:rPr>
                <w:webHidden/>
              </w:rPr>
              <w:fldChar w:fldCharType="separate"/>
            </w:r>
            <w:r w:rsidR="00E3669D">
              <w:rPr>
                <w:webHidden/>
              </w:rPr>
              <w:t>13</w:t>
            </w:r>
            <w:r w:rsidR="006432D1">
              <w:rPr>
                <w:webHidden/>
              </w:rPr>
              <w:fldChar w:fldCharType="end"/>
            </w:r>
          </w:hyperlink>
        </w:p>
        <w:p w14:paraId="76252A03" w14:textId="770C67C1" w:rsidR="006432D1" w:rsidRDefault="00CE11CD">
          <w:pPr>
            <w:pStyle w:val="TOC1"/>
            <w:rPr>
              <w:rFonts w:asciiTheme="minorHAnsi" w:eastAsiaTheme="minorEastAsia" w:hAnsiTheme="minorHAnsi" w:cstheme="minorBidi"/>
              <w:szCs w:val="22"/>
              <w:lang w:val="sr-Latn-RS" w:eastAsia="sr-Latn-RS"/>
            </w:rPr>
          </w:pPr>
          <w:hyperlink w:anchor="_Toc59550011" w:history="1">
            <w:r w:rsidR="006432D1" w:rsidRPr="00C92D7C">
              <w:rPr>
                <w:rStyle w:val="Hyperlink"/>
              </w:rPr>
              <w:t xml:space="preserve">3.  </w:t>
            </w:r>
            <w:r w:rsidR="006432D1" w:rsidRPr="00C92D7C">
              <w:rPr>
                <w:rStyle w:val="Hyperlink"/>
                <w:lang w:val="sr-Cyrl-RS"/>
              </w:rPr>
              <w:t xml:space="preserve">СТАЊЕ ПРИХОДА У ЈЕДИНИЦАМА ЛОКАЛНЕ САМОУПРАВЕ У РС ЗА ВРИЈЕМЕ КРИЗЕ ИЗАЗВАНЕ ПАНДЕМИЈОМ </w:t>
            </w:r>
            <w:r w:rsidR="006432D1" w:rsidRPr="00C92D7C">
              <w:rPr>
                <w:rStyle w:val="Hyperlink"/>
                <w:lang w:val="en-US"/>
              </w:rPr>
              <w:t xml:space="preserve">COVID-19 </w:t>
            </w:r>
            <w:r w:rsidR="006432D1" w:rsidRPr="00C92D7C">
              <w:rPr>
                <w:rStyle w:val="Hyperlink"/>
                <w:lang w:val="sr-Cyrl-RS"/>
              </w:rPr>
              <w:t>– УПИТНИК САВЕЗА ОПШТИНА И ГРАДОВА РС</w:t>
            </w:r>
            <w:r w:rsidR="006432D1">
              <w:rPr>
                <w:webHidden/>
              </w:rPr>
              <w:tab/>
            </w:r>
            <w:r w:rsidR="006432D1">
              <w:rPr>
                <w:webHidden/>
              </w:rPr>
              <w:fldChar w:fldCharType="begin"/>
            </w:r>
            <w:r w:rsidR="006432D1">
              <w:rPr>
                <w:webHidden/>
              </w:rPr>
              <w:instrText xml:space="preserve"> PAGEREF _Toc59550011 \h </w:instrText>
            </w:r>
            <w:r w:rsidR="006432D1">
              <w:rPr>
                <w:webHidden/>
              </w:rPr>
            </w:r>
            <w:r w:rsidR="006432D1">
              <w:rPr>
                <w:webHidden/>
              </w:rPr>
              <w:fldChar w:fldCharType="separate"/>
            </w:r>
            <w:r w:rsidR="00E3669D">
              <w:rPr>
                <w:webHidden/>
              </w:rPr>
              <w:t>14</w:t>
            </w:r>
            <w:r w:rsidR="006432D1">
              <w:rPr>
                <w:webHidden/>
              </w:rPr>
              <w:fldChar w:fldCharType="end"/>
            </w:r>
          </w:hyperlink>
        </w:p>
        <w:p w14:paraId="0AC9AAE1" w14:textId="299FAD25" w:rsidR="006432D1" w:rsidRDefault="00CE11CD">
          <w:pPr>
            <w:pStyle w:val="TOC1"/>
            <w:rPr>
              <w:rFonts w:asciiTheme="minorHAnsi" w:eastAsiaTheme="minorEastAsia" w:hAnsiTheme="minorHAnsi" w:cstheme="minorBidi"/>
              <w:szCs w:val="22"/>
              <w:lang w:val="sr-Latn-RS" w:eastAsia="sr-Latn-RS"/>
            </w:rPr>
          </w:pPr>
          <w:hyperlink w:anchor="_Toc59550012" w:history="1">
            <w:r w:rsidR="006432D1" w:rsidRPr="00C92D7C">
              <w:rPr>
                <w:rStyle w:val="Hyperlink"/>
              </w:rPr>
              <w:t xml:space="preserve">4. УТИЦАЈ ПАНДЕМИЈЕ </w:t>
            </w:r>
            <w:r w:rsidR="006432D1" w:rsidRPr="00C92D7C">
              <w:rPr>
                <w:rStyle w:val="Hyperlink"/>
                <w:lang w:val="en-US"/>
              </w:rPr>
              <w:t>COVID-19</w:t>
            </w:r>
            <w:r w:rsidR="006432D1" w:rsidRPr="00C92D7C">
              <w:rPr>
                <w:rStyle w:val="Hyperlink"/>
                <w:lang w:val="sr-Cyrl-RS"/>
              </w:rPr>
              <w:t xml:space="preserve"> НА ЈЕДИНИЦЕ ЛОКАЛНЕ САМОУПРАВЕ - УПИТНИК </w:t>
            </w:r>
            <w:r w:rsidR="006432D1" w:rsidRPr="00C92D7C">
              <w:rPr>
                <w:rStyle w:val="Hyperlink"/>
                <w:lang w:val="en-US"/>
              </w:rPr>
              <w:t>NALAS</w:t>
            </w:r>
            <w:r w:rsidR="006432D1">
              <w:rPr>
                <w:webHidden/>
              </w:rPr>
              <w:tab/>
            </w:r>
            <w:r w:rsidR="006432D1">
              <w:rPr>
                <w:webHidden/>
              </w:rPr>
              <w:fldChar w:fldCharType="begin"/>
            </w:r>
            <w:r w:rsidR="006432D1">
              <w:rPr>
                <w:webHidden/>
              </w:rPr>
              <w:instrText xml:space="preserve"> PAGEREF _Toc59550012 \h </w:instrText>
            </w:r>
            <w:r w:rsidR="006432D1">
              <w:rPr>
                <w:webHidden/>
              </w:rPr>
            </w:r>
            <w:r w:rsidR="006432D1">
              <w:rPr>
                <w:webHidden/>
              </w:rPr>
              <w:fldChar w:fldCharType="separate"/>
            </w:r>
            <w:r w:rsidR="00E3669D">
              <w:rPr>
                <w:webHidden/>
              </w:rPr>
              <w:t>16</w:t>
            </w:r>
            <w:r w:rsidR="006432D1">
              <w:rPr>
                <w:webHidden/>
              </w:rPr>
              <w:fldChar w:fldCharType="end"/>
            </w:r>
          </w:hyperlink>
        </w:p>
        <w:p w14:paraId="75AD41E4" w14:textId="4B7274A7" w:rsidR="006432D1" w:rsidRDefault="00CE11CD">
          <w:pPr>
            <w:pStyle w:val="TOC1"/>
            <w:rPr>
              <w:rFonts w:asciiTheme="minorHAnsi" w:eastAsiaTheme="minorEastAsia" w:hAnsiTheme="minorHAnsi" w:cstheme="minorBidi"/>
              <w:szCs w:val="22"/>
              <w:lang w:val="sr-Latn-RS" w:eastAsia="sr-Latn-RS"/>
            </w:rPr>
          </w:pPr>
          <w:hyperlink w:anchor="_Toc59550013" w:history="1">
            <w:r w:rsidR="006432D1" w:rsidRPr="00C92D7C">
              <w:rPr>
                <w:rStyle w:val="Hyperlink"/>
              </w:rPr>
              <w:t xml:space="preserve">5. АНАЛИЗА ПРОВЕДЕНИХ МЈЕРА У ИЗАБРАНИМ ЈЕДИНИЦАМА ЛОКАЛНЕ САМОУПРАВЕ ЗА ВРИЈЕМЕ КРИЗЕ ИЗАЗВАНЕ ПАНДЕМИЈОМ </w:t>
            </w:r>
            <w:r w:rsidR="006432D1" w:rsidRPr="00C92D7C">
              <w:rPr>
                <w:rStyle w:val="Hyperlink"/>
                <w:lang w:val="en-US"/>
              </w:rPr>
              <w:t>COVID-19</w:t>
            </w:r>
            <w:r w:rsidR="006432D1">
              <w:rPr>
                <w:webHidden/>
              </w:rPr>
              <w:tab/>
            </w:r>
            <w:r w:rsidR="006432D1">
              <w:rPr>
                <w:webHidden/>
              </w:rPr>
              <w:fldChar w:fldCharType="begin"/>
            </w:r>
            <w:r w:rsidR="006432D1">
              <w:rPr>
                <w:webHidden/>
              </w:rPr>
              <w:instrText xml:space="preserve"> PAGEREF _Toc59550013 \h </w:instrText>
            </w:r>
            <w:r w:rsidR="006432D1">
              <w:rPr>
                <w:webHidden/>
              </w:rPr>
            </w:r>
            <w:r w:rsidR="006432D1">
              <w:rPr>
                <w:webHidden/>
              </w:rPr>
              <w:fldChar w:fldCharType="separate"/>
            </w:r>
            <w:r w:rsidR="00E3669D">
              <w:rPr>
                <w:webHidden/>
              </w:rPr>
              <w:t>20</w:t>
            </w:r>
            <w:r w:rsidR="006432D1">
              <w:rPr>
                <w:webHidden/>
              </w:rPr>
              <w:fldChar w:fldCharType="end"/>
            </w:r>
          </w:hyperlink>
        </w:p>
        <w:p w14:paraId="12C5C4F6" w14:textId="60D47330" w:rsidR="006432D1" w:rsidRDefault="00CE11CD">
          <w:pPr>
            <w:pStyle w:val="TOC1"/>
            <w:rPr>
              <w:rFonts w:asciiTheme="minorHAnsi" w:eastAsiaTheme="minorEastAsia" w:hAnsiTheme="minorHAnsi" w:cstheme="minorBidi"/>
              <w:szCs w:val="22"/>
              <w:lang w:val="sr-Latn-RS" w:eastAsia="sr-Latn-RS"/>
            </w:rPr>
          </w:pPr>
          <w:hyperlink w:anchor="_Toc59550014" w:history="1">
            <w:r w:rsidR="006432D1" w:rsidRPr="00C92D7C">
              <w:rPr>
                <w:rStyle w:val="Hyperlink"/>
              </w:rPr>
              <w:t xml:space="preserve">5.1. </w:t>
            </w:r>
            <w:r w:rsidR="006432D1" w:rsidRPr="00C92D7C">
              <w:rPr>
                <w:rStyle w:val="Hyperlink"/>
                <w:lang w:val="sr-Cyrl-RS"/>
              </w:rPr>
              <w:t xml:space="preserve"> Утицај пандемије </w:t>
            </w:r>
            <w:r w:rsidR="006432D1" w:rsidRPr="00C92D7C">
              <w:rPr>
                <w:rStyle w:val="Hyperlink"/>
                <w:lang w:val="en-US"/>
              </w:rPr>
              <w:t xml:space="preserve">COVID-19 </w:t>
            </w:r>
            <w:r w:rsidR="006432D1" w:rsidRPr="00C92D7C">
              <w:rPr>
                <w:rStyle w:val="Hyperlink"/>
                <w:lang w:val="sr-Cyrl-RS"/>
              </w:rPr>
              <w:t xml:space="preserve"> на приходе</w:t>
            </w:r>
            <w:r w:rsidR="006432D1">
              <w:rPr>
                <w:webHidden/>
              </w:rPr>
              <w:tab/>
            </w:r>
            <w:r w:rsidR="006432D1">
              <w:rPr>
                <w:webHidden/>
              </w:rPr>
              <w:fldChar w:fldCharType="begin"/>
            </w:r>
            <w:r w:rsidR="006432D1">
              <w:rPr>
                <w:webHidden/>
              </w:rPr>
              <w:instrText xml:space="preserve"> PAGEREF _Toc59550014 \h </w:instrText>
            </w:r>
            <w:r w:rsidR="006432D1">
              <w:rPr>
                <w:webHidden/>
              </w:rPr>
            </w:r>
            <w:r w:rsidR="006432D1">
              <w:rPr>
                <w:webHidden/>
              </w:rPr>
              <w:fldChar w:fldCharType="separate"/>
            </w:r>
            <w:r w:rsidR="00E3669D">
              <w:rPr>
                <w:webHidden/>
              </w:rPr>
              <w:t>20</w:t>
            </w:r>
            <w:r w:rsidR="006432D1">
              <w:rPr>
                <w:webHidden/>
              </w:rPr>
              <w:fldChar w:fldCharType="end"/>
            </w:r>
          </w:hyperlink>
        </w:p>
        <w:p w14:paraId="4821D208" w14:textId="1B2C2319" w:rsidR="006432D1" w:rsidRDefault="00CE11CD">
          <w:pPr>
            <w:pStyle w:val="TOC1"/>
            <w:rPr>
              <w:rFonts w:asciiTheme="minorHAnsi" w:eastAsiaTheme="minorEastAsia" w:hAnsiTheme="minorHAnsi" w:cstheme="minorBidi"/>
              <w:szCs w:val="22"/>
              <w:lang w:val="sr-Latn-RS" w:eastAsia="sr-Latn-RS"/>
            </w:rPr>
          </w:pPr>
          <w:hyperlink w:anchor="_Toc59550015" w:history="1">
            <w:r w:rsidR="006432D1" w:rsidRPr="00C92D7C">
              <w:rPr>
                <w:rStyle w:val="Hyperlink"/>
                <w:lang w:val="sr-Cyrl-RS"/>
              </w:rPr>
              <w:t>5.2.</w:t>
            </w:r>
            <w:r w:rsidR="006432D1" w:rsidRPr="00C92D7C">
              <w:rPr>
                <w:rStyle w:val="Hyperlink"/>
              </w:rPr>
              <w:t xml:space="preserve"> </w:t>
            </w:r>
            <w:r w:rsidR="006432D1" w:rsidRPr="00C92D7C">
              <w:rPr>
                <w:rStyle w:val="Hyperlink"/>
                <w:lang w:val="sr-Cyrl-RS"/>
              </w:rPr>
              <w:t xml:space="preserve"> Преглед проведених мјера за вријеме кризе изазване </w:t>
            </w:r>
            <w:r w:rsidR="006432D1" w:rsidRPr="00C92D7C">
              <w:rPr>
                <w:rStyle w:val="Hyperlink"/>
                <w:lang w:val="en-US"/>
              </w:rPr>
              <w:t>COVID-19</w:t>
            </w:r>
            <w:r w:rsidR="006432D1">
              <w:rPr>
                <w:webHidden/>
              </w:rPr>
              <w:tab/>
            </w:r>
            <w:r w:rsidR="006432D1">
              <w:rPr>
                <w:webHidden/>
              </w:rPr>
              <w:fldChar w:fldCharType="begin"/>
            </w:r>
            <w:r w:rsidR="006432D1">
              <w:rPr>
                <w:webHidden/>
              </w:rPr>
              <w:instrText xml:space="preserve"> PAGEREF _Toc59550015 \h </w:instrText>
            </w:r>
            <w:r w:rsidR="006432D1">
              <w:rPr>
                <w:webHidden/>
              </w:rPr>
            </w:r>
            <w:r w:rsidR="006432D1">
              <w:rPr>
                <w:webHidden/>
              </w:rPr>
              <w:fldChar w:fldCharType="separate"/>
            </w:r>
            <w:r w:rsidR="00E3669D">
              <w:rPr>
                <w:webHidden/>
              </w:rPr>
              <w:t>23</w:t>
            </w:r>
            <w:r w:rsidR="006432D1">
              <w:rPr>
                <w:webHidden/>
              </w:rPr>
              <w:fldChar w:fldCharType="end"/>
            </w:r>
          </w:hyperlink>
        </w:p>
        <w:p w14:paraId="54834D61" w14:textId="6D8296B5" w:rsidR="006432D1" w:rsidRDefault="00CE11CD">
          <w:pPr>
            <w:pStyle w:val="TOC1"/>
            <w:rPr>
              <w:rFonts w:asciiTheme="minorHAnsi" w:eastAsiaTheme="minorEastAsia" w:hAnsiTheme="minorHAnsi" w:cstheme="minorBidi"/>
              <w:szCs w:val="22"/>
              <w:lang w:val="sr-Latn-RS" w:eastAsia="sr-Latn-RS"/>
            </w:rPr>
          </w:pPr>
          <w:hyperlink w:anchor="_Toc59550016" w:history="1">
            <w:r w:rsidR="006432D1" w:rsidRPr="00C92D7C">
              <w:rPr>
                <w:rStyle w:val="Hyperlink"/>
              </w:rPr>
              <w:t>6. ПРЕПОРУКЕ ЗА ДАЉЕ УПРАВЉАЊЕ ЛОКАЛНИМ ФИНАНСИЈАМА</w:t>
            </w:r>
            <w:r w:rsidR="006432D1">
              <w:rPr>
                <w:webHidden/>
              </w:rPr>
              <w:tab/>
            </w:r>
            <w:r w:rsidR="006432D1">
              <w:rPr>
                <w:webHidden/>
              </w:rPr>
              <w:fldChar w:fldCharType="begin"/>
            </w:r>
            <w:r w:rsidR="006432D1">
              <w:rPr>
                <w:webHidden/>
              </w:rPr>
              <w:instrText xml:space="preserve"> PAGEREF _Toc59550016 \h </w:instrText>
            </w:r>
            <w:r w:rsidR="006432D1">
              <w:rPr>
                <w:webHidden/>
              </w:rPr>
            </w:r>
            <w:r w:rsidR="006432D1">
              <w:rPr>
                <w:webHidden/>
              </w:rPr>
              <w:fldChar w:fldCharType="separate"/>
            </w:r>
            <w:r w:rsidR="00E3669D">
              <w:rPr>
                <w:webHidden/>
              </w:rPr>
              <w:t>26</w:t>
            </w:r>
            <w:r w:rsidR="006432D1">
              <w:rPr>
                <w:webHidden/>
              </w:rPr>
              <w:fldChar w:fldCharType="end"/>
            </w:r>
          </w:hyperlink>
        </w:p>
        <w:p w14:paraId="0532C028" w14:textId="49C2B6F7" w:rsidR="00665699" w:rsidRPr="006F1778" w:rsidRDefault="00665699" w:rsidP="004D2619">
          <w:pPr>
            <w:rPr>
              <w:sz w:val="22"/>
              <w:szCs w:val="22"/>
            </w:rPr>
          </w:pPr>
          <w:r w:rsidRPr="00F66D0A">
            <w:rPr>
              <w:b/>
              <w:bCs/>
              <w:noProof/>
              <w:sz w:val="22"/>
              <w:szCs w:val="22"/>
            </w:rPr>
            <w:fldChar w:fldCharType="end"/>
          </w:r>
        </w:p>
      </w:sdtContent>
    </w:sdt>
    <w:p w14:paraId="523B0FE6" w14:textId="51DCD097" w:rsidR="00F4592A" w:rsidRDefault="00F4592A" w:rsidP="008D586C">
      <w:pPr>
        <w:spacing w:after="60"/>
        <w:jc w:val="both"/>
        <w:rPr>
          <w:b/>
          <w:sz w:val="22"/>
          <w:szCs w:val="22"/>
          <w:lang w:val="sr-Cyrl-CS"/>
        </w:rPr>
      </w:pPr>
    </w:p>
    <w:p w14:paraId="1F3B2406" w14:textId="23C24775" w:rsidR="00C24CAF" w:rsidRDefault="00C24CAF" w:rsidP="008D586C">
      <w:pPr>
        <w:spacing w:after="60"/>
        <w:jc w:val="both"/>
        <w:rPr>
          <w:b/>
          <w:sz w:val="22"/>
          <w:szCs w:val="22"/>
          <w:lang w:val="sr-Cyrl-CS"/>
        </w:rPr>
      </w:pPr>
    </w:p>
    <w:p w14:paraId="6F3C1C8E" w14:textId="35C559EE" w:rsidR="00C24CAF" w:rsidRDefault="00C24CAF" w:rsidP="008D586C">
      <w:pPr>
        <w:spacing w:after="60"/>
        <w:jc w:val="both"/>
        <w:rPr>
          <w:b/>
          <w:sz w:val="22"/>
          <w:szCs w:val="22"/>
          <w:lang w:val="sr-Cyrl-CS"/>
        </w:rPr>
      </w:pPr>
    </w:p>
    <w:p w14:paraId="6F17D554" w14:textId="450DBFC5" w:rsidR="00C24CAF" w:rsidRDefault="00C24CAF" w:rsidP="008D586C">
      <w:pPr>
        <w:spacing w:after="60"/>
        <w:jc w:val="both"/>
        <w:rPr>
          <w:b/>
          <w:sz w:val="22"/>
          <w:szCs w:val="22"/>
          <w:lang w:val="sr-Cyrl-CS"/>
        </w:rPr>
      </w:pPr>
    </w:p>
    <w:p w14:paraId="3B82BAD7" w14:textId="7685E9E2" w:rsidR="00C24CAF" w:rsidRDefault="00C24CAF" w:rsidP="008D586C">
      <w:pPr>
        <w:spacing w:after="60"/>
        <w:jc w:val="both"/>
        <w:rPr>
          <w:b/>
          <w:sz w:val="22"/>
          <w:szCs w:val="22"/>
          <w:lang w:val="sr-Cyrl-CS"/>
        </w:rPr>
      </w:pPr>
    </w:p>
    <w:p w14:paraId="0A6A749F" w14:textId="3245222C" w:rsidR="00C24CAF" w:rsidRDefault="00C24CAF" w:rsidP="008D586C">
      <w:pPr>
        <w:spacing w:after="60"/>
        <w:jc w:val="both"/>
        <w:rPr>
          <w:b/>
          <w:sz w:val="22"/>
          <w:szCs w:val="22"/>
          <w:lang w:val="sr-Cyrl-CS"/>
        </w:rPr>
      </w:pPr>
    </w:p>
    <w:p w14:paraId="213CBE57" w14:textId="71C55850" w:rsidR="00C24CAF" w:rsidRDefault="00C24CAF" w:rsidP="008D586C">
      <w:pPr>
        <w:spacing w:after="60"/>
        <w:jc w:val="both"/>
        <w:rPr>
          <w:b/>
          <w:sz w:val="22"/>
          <w:szCs w:val="22"/>
          <w:lang w:val="sr-Cyrl-CS"/>
        </w:rPr>
      </w:pPr>
    </w:p>
    <w:p w14:paraId="3AD9F32B" w14:textId="3BDF1E71" w:rsidR="00C24CAF" w:rsidRDefault="00C24CAF" w:rsidP="008D586C">
      <w:pPr>
        <w:spacing w:after="60"/>
        <w:jc w:val="both"/>
        <w:rPr>
          <w:b/>
          <w:sz w:val="22"/>
          <w:szCs w:val="22"/>
          <w:lang w:val="sr-Cyrl-CS"/>
        </w:rPr>
      </w:pPr>
    </w:p>
    <w:p w14:paraId="799FAE96" w14:textId="177480D4" w:rsidR="00C24CAF" w:rsidRDefault="00C24CAF" w:rsidP="008D586C">
      <w:pPr>
        <w:spacing w:after="60"/>
        <w:jc w:val="both"/>
        <w:rPr>
          <w:b/>
          <w:sz w:val="22"/>
          <w:szCs w:val="22"/>
          <w:lang w:val="sr-Cyrl-CS"/>
        </w:rPr>
      </w:pPr>
    </w:p>
    <w:p w14:paraId="6B7F07A0" w14:textId="75EC1274" w:rsidR="00C24CAF" w:rsidRDefault="00C24CAF" w:rsidP="008D586C">
      <w:pPr>
        <w:spacing w:after="60"/>
        <w:jc w:val="both"/>
        <w:rPr>
          <w:b/>
          <w:sz w:val="22"/>
          <w:szCs w:val="22"/>
          <w:lang w:val="sr-Cyrl-CS"/>
        </w:rPr>
      </w:pPr>
    </w:p>
    <w:p w14:paraId="7C8CF51B" w14:textId="0F4A6B97" w:rsidR="00C24CAF" w:rsidRDefault="00C24CAF" w:rsidP="008D586C">
      <w:pPr>
        <w:spacing w:after="60"/>
        <w:jc w:val="both"/>
        <w:rPr>
          <w:b/>
          <w:sz w:val="22"/>
          <w:szCs w:val="22"/>
          <w:lang w:val="sr-Cyrl-CS"/>
        </w:rPr>
      </w:pPr>
    </w:p>
    <w:p w14:paraId="350E34E8" w14:textId="77777777" w:rsidR="00C24CAF" w:rsidRDefault="00C24CAF" w:rsidP="008D586C">
      <w:pPr>
        <w:spacing w:after="60"/>
        <w:jc w:val="both"/>
        <w:rPr>
          <w:b/>
          <w:sz w:val="22"/>
          <w:szCs w:val="22"/>
          <w:lang w:val="sr-Cyrl-CS"/>
        </w:rPr>
      </w:pPr>
    </w:p>
    <w:p w14:paraId="07027229" w14:textId="32CF3543" w:rsidR="00B857A3" w:rsidRPr="00F66D0A" w:rsidRDefault="00B857A3" w:rsidP="00E344E5">
      <w:pPr>
        <w:spacing w:before="240" w:after="60"/>
        <w:jc w:val="both"/>
        <w:rPr>
          <w:b/>
          <w:sz w:val="22"/>
          <w:szCs w:val="22"/>
          <w:lang w:val="sr-Cyrl-CS"/>
        </w:rPr>
      </w:pPr>
      <w:r w:rsidRPr="00F66D0A">
        <w:rPr>
          <w:b/>
          <w:sz w:val="22"/>
          <w:szCs w:val="22"/>
          <w:lang w:val="sr-Cyrl-CS"/>
        </w:rPr>
        <w:t>Прилози:</w:t>
      </w:r>
    </w:p>
    <w:p w14:paraId="03E24825" w14:textId="77777777" w:rsidR="00B857A3" w:rsidRDefault="00586202" w:rsidP="00E344E5">
      <w:pPr>
        <w:spacing w:before="240" w:line="276" w:lineRule="auto"/>
        <w:jc w:val="both"/>
        <w:rPr>
          <w:sz w:val="22"/>
          <w:szCs w:val="22"/>
          <w:lang w:val="sr-Cyrl-RS"/>
        </w:rPr>
      </w:pPr>
      <w:r>
        <w:rPr>
          <w:sz w:val="22"/>
          <w:szCs w:val="22"/>
          <w:lang w:val="sr-Cyrl-RS"/>
        </w:rPr>
        <w:t xml:space="preserve">-Прилог бр. 1 – Утицај </w:t>
      </w:r>
      <w:r>
        <w:rPr>
          <w:sz w:val="22"/>
          <w:szCs w:val="22"/>
          <w:lang w:val="en-US"/>
        </w:rPr>
        <w:t>COVID-19</w:t>
      </w:r>
      <w:r>
        <w:rPr>
          <w:sz w:val="22"/>
          <w:szCs w:val="22"/>
          <w:lang w:val="sr-Cyrl-RS"/>
        </w:rPr>
        <w:t xml:space="preserve"> на локалне</w:t>
      </w:r>
      <w:r w:rsidR="00155ECC">
        <w:rPr>
          <w:sz w:val="22"/>
          <w:szCs w:val="22"/>
          <w:lang w:val="sr-Cyrl-RS"/>
        </w:rPr>
        <w:t xml:space="preserve"> финансије у Републици Српској  - </w:t>
      </w:r>
      <w:r>
        <w:rPr>
          <w:sz w:val="22"/>
          <w:szCs w:val="22"/>
          <w:lang w:val="sr-Cyrl-RS"/>
        </w:rPr>
        <w:t>поп</w:t>
      </w:r>
      <w:r w:rsidR="00155ECC">
        <w:rPr>
          <w:sz w:val="22"/>
          <w:szCs w:val="22"/>
          <w:lang w:val="sr-Cyrl-RS"/>
        </w:rPr>
        <w:t>уњени упитници 7 изабраних јединица локалне самоуправе</w:t>
      </w:r>
      <w:r w:rsidR="00F06086">
        <w:rPr>
          <w:sz w:val="22"/>
          <w:szCs w:val="22"/>
          <w:lang w:val="sr-Cyrl-RS"/>
        </w:rPr>
        <w:t>,</w:t>
      </w:r>
    </w:p>
    <w:p w14:paraId="1AF65E3A" w14:textId="6811D096" w:rsidR="00661D83" w:rsidRDefault="00603F8F" w:rsidP="00E344E5">
      <w:pPr>
        <w:spacing w:before="240" w:line="276" w:lineRule="auto"/>
        <w:jc w:val="both"/>
        <w:rPr>
          <w:sz w:val="22"/>
          <w:szCs w:val="22"/>
          <w:lang w:val="sr-Cyrl-RS"/>
        </w:rPr>
      </w:pPr>
      <w:r>
        <w:rPr>
          <w:sz w:val="22"/>
          <w:szCs w:val="22"/>
          <w:lang w:val="sr-Cyrl-RS"/>
        </w:rPr>
        <w:t>-</w:t>
      </w:r>
      <w:r w:rsidR="00661D83">
        <w:rPr>
          <w:sz w:val="22"/>
          <w:szCs w:val="22"/>
          <w:lang w:val="sr-Cyrl-RS"/>
        </w:rPr>
        <w:t xml:space="preserve">Прилог бр. 1а - Утицај </w:t>
      </w:r>
      <w:r w:rsidR="00661D83">
        <w:rPr>
          <w:sz w:val="22"/>
          <w:szCs w:val="22"/>
          <w:lang w:val="en-US"/>
        </w:rPr>
        <w:t>COVID-19</w:t>
      </w:r>
      <w:r w:rsidR="00661D83">
        <w:rPr>
          <w:sz w:val="22"/>
          <w:szCs w:val="22"/>
          <w:lang w:val="sr-Cyrl-RS"/>
        </w:rPr>
        <w:t xml:space="preserve"> на локалне финансије у </w:t>
      </w:r>
      <w:r w:rsidR="00564ABA">
        <w:rPr>
          <w:sz w:val="22"/>
          <w:szCs w:val="22"/>
          <w:lang w:val="sr-Cyrl-RS"/>
        </w:rPr>
        <w:t>Републици Српској-П</w:t>
      </w:r>
      <w:r w:rsidR="00661D83">
        <w:rPr>
          <w:sz w:val="22"/>
          <w:szCs w:val="22"/>
          <w:lang w:val="sr-Cyrl-RS"/>
        </w:rPr>
        <w:t xml:space="preserve">реглед реализације прихода </w:t>
      </w:r>
      <w:r w:rsidR="00564ABA">
        <w:rPr>
          <w:sz w:val="22"/>
          <w:szCs w:val="22"/>
          <w:lang w:val="sr-Cyrl-RS"/>
        </w:rPr>
        <w:t xml:space="preserve">7 изабраних </w:t>
      </w:r>
      <w:proofErr w:type="spellStart"/>
      <w:r w:rsidR="00564ABA">
        <w:rPr>
          <w:sz w:val="22"/>
          <w:szCs w:val="22"/>
          <w:lang w:val="sr-Cyrl-RS"/>
        </w:rPr>
        <w:t>једница</w:t>
      </w:r>
      <w:proofErr w:type="spellEnd"/>
      <w:r w:rsidR="00564ABA">
        <w:rPr>
          <w:sz w:val="22"/>
          <w:szCs w:val="22"/>
          <w:lang w:val="sr-Cyrl-RS"/>
        </w:rPr>
        <w:t xml:space="preserve"> локалне </w:t>
      </w:r>
      <w:proofErr w:type="spellStart"/>
      <w:r w:rsidR="00564ABA">
        <w:rPr>
          <w:sz w:val="22"/>
          <w:szCs w:val="22"/>
          <w:lang w:val="sr-Cyrl-RS"/>
        </w:rPr>
        <w:t>самоупарве</w:t>
      </w:r>
      <w:proofErr w:type="spellEnd"/>
      <w:r w:rsidR="00564ABA">
        <w:rPr>
          <w:sz w:val="22"/>
          <w:szCs w:val="22"/>
          <w:lang w:val="sr-Cyrl-RS"/>
        </w:rPr>
        <w:t>, у периоду 01.01.-31.03. и 01.01.-30.06.2019 и 2020. г.</w:t>
      </w:r>
    </w:p>
    <w:p w14:paraId="5DEC3B0B" w14:textId="77777777" w:rsidR="00F4592A" w:rsidRDefault="00F4592A" w:rsidP="00F94B30">
      <w:pPr>
        <w:jc w:val="both"/>
        <w:rPr>
          <w:b/>
          <w:sz w:val="20"/>
          <w:szCs w:val="22"/>
          <w:lang w:val="sr-Cyrl-CS"/>
        </w:rPr>
      </w:pPr>
    </w:p>
    <w:p w14:paraId="40E43E75" w14:textId="77777777" w:rsidR="00F4592A" w:rsidRDefault="00F4592A" w:rsidP="00F94B30">
      <w:pPr>
        <w:jc w:val="both"/>
        <w:rPr>
          <w:b/>
          <w:sz w:val="20"/>
          <w:szCs w:val="22"/>
          <w:lang w:val="sr-Cyrl-CS"/>
        </w:rPr>
      </w:pPr>
    </w:p>
    <w:p w14:paraId="2FAFDDE0" w14:textId="6F2CD316" w:rsidR="00F4592A" w:rsidRDefault="00F4592A" w:rsidP="00F94B30">
      <w:pPr>
        <w:jc w:val="both"/>
        <w:rPr>
          <w:b/>
          <w:sz w:val="20"/>
          <w:szCs w:val="22"/>
          <w:lang w:val="sr-Cyrl-CS"/>
        </w:rPr>
      </w:pPr>
    </w:p>
    <w:p w14:paraId="7FF266EC" w14:textId="11B9E805" w:rsidR="00291603" w:rsidRDefault="00291603" w:rsidP="00F94B30">
      <w:pPr>
        <w:jc w:val="both"/>
        <w:rPr>
          <w:b/>
          <w:sz w:val="20"/>
          <w:szCs w:val="22"/>
          <w:lang w:val="sr-Cyrl-CS"/>
        </w:rPr>
      </w:pPr>
    </w:p>
    <w:p w14:paraId="2406D166" w14:textId="77777777" w:rsidR="00291603" w:rsidRDefault="00291603" w:rsidP="00F94B30">
      <w:pPr>
        <w:jc w:val="both"/>
        <w:rPr>
          <w:b/>
          <w:sz w:val="20"/>
          <w:szCs w:val="22"/>
          <w:lang w:val="sr-Cyrl-CS"/>
        </w:rPr>
      </w:pPr>
    </w:p>
    <w:p w14:paraId="7E9CD061" w14:textId="67E82164" w:rsidR="00F4592A" w:rsidRPr="00F4592A" w:rsidRDefault="00873815" w:rsidP="00F94B30">
      <w:pPr>
        <w:jc w:val="both"/>
        <w:rPr>
          <w:b/>
          <w:sz w:val="22"/>
          <w:szCs w:val="22"/>
          <w:lang w:val="sr-Cyrl-CS"/>
        </w:rPr>
      </w:pPr>
      <w:r w:rsidRPr="00F4592A">
        <w:rPr>
          <w:b/>
          <w:sz w:val="22"/>
          <w:szCs w:val="22"/>
          <w:lang w:val="sr-Cyrl-CS"/>
        </w:rPr>
        <w:t>Скраћенице:</w:t>
      </w:r>
    </w:p>
    <w:p w14:paraId="36817EBF" w14:textId="77777777" w:rsidR="00E216EF" w:rsidRPr="00F4592A" w:rsidRDefault="00E216EF" w:rsidP="00F4592A">
      <w:pPr>
        <w:spacing w:before="240"/>
        <w:jc w:val="both"/>
        <w:rPr>
          <w:sz w:val="22"/>
          <w:szCs w:val="22"/>
          <w:lang w:val="sr-Cyrl-CS"/>
        </w:rPr>
      </w:pPr>
      <w:r w:rsidRPr="00F4592A">
        <w:rPr>
          <w:sz w:val="22"/>
          <w:szCs w:val="22"/>
          <w:lang w:val="sr-Cyrl-CS"/>
        </w:rPr>
        <w:lastRenderedPageBreak/>
        <w:t xml:space="preserve">Босна и Херцеговина </w:t>
      </w:r>
      <w:r w:rsidR="00F94B30" w:rsidRPr="00F4592A">
        <w:rPr>
          <w:sz w:val="22"/>
          <w:szCs w:val="22"/>
          <w:lang w:val="sr-Cyrl-CS"/>
        </w:rPr>
        <w:t>–</w:t>
      </w:r>
      <w:r w:rsidRPr="00F4592A">
        <w:rPr>
          <w:sz w:val="22"/>
          <w:szCs w:val="22"/>
          <w:lang w:val="sr-Cyrl-CS"/>
        </w:rPr>
        <w:t xml:space="preserve"> БиХ</w:t>
      </w:r>
    </w:p>
    <w:p w14:paraId="20E82A9F" w14:textId="77777777" w:rsidR="00F94B30" w:rsidRPr="00F4592A" w:rsidRDefault="00F94B30" w:rsidP="00F4592A">
      <w:pPr>
        <w:spacing w:before="240"/>
        <w:jc w:val="both"/>
        <w:rPr>
          <w:sz w:val="22"/>
          <w:szCs w:val="22"/>
          <w:lang w:val="sr-Cyrl-RS"/>
        </w:rPr>
      </w:pPr>
      <w:r w:rsidRPr="00F4592A">
        <w:rPr>
          <w:sz w:val="22"/>
          <w:szCs w:val="22"/>
          <w:lang w:val="sr-Cyrl-CS"/>
        </w:rPr>
        <w:t xml:space="preserve">Бруто домаћи производ – </w:t>
      </w:r>
      <w:r w:rsidRPr="00F4592A">
        <w:rPr>
          <w:sz w:val="22"/>
          <w:szCs w:val="22"/>
          <w:lang w:val="sr-Cyrl-RS"/>
        </w:rPr>
        <w:t>БДП</w:t>
      </w:r>
    </w:p>
    <w:p w14:paraId="05B7E950" w14:textId="77777777" w:rsidR="00F94B30" w:rsidRPr="00F4592A" w:rsidRDefault="00F94B30" w:rsidP="00F4592A">
      <w:pPr>
        <w:spacing w:before="240"/>
        <w:jc w:val="both"/>
        <w:rPr>
          <w:sz w:val="22"/>
          <w:szCs w:val="22"/>
          <w:lang w:val="sr-Cyrl-CS"/>
        </w:rPr>
      </w:pPr>
      <w:r w:rsidRPr="00F4592A">
        <w:rPr>
          <w:sz w:val="22"/>
          <w:szCs w:val="22"/>
          <w:lang w:val="sr-Cyrl-CS"/>
        </w:rPr>
        <w:t>Документ оквирног буџета – ДОБ</w:t>
      </w:r>
    </w:p>
    <w:p w14:paraId="7B7E437A" w14:textId="77777777" w:rsidR="00F94B30" w:rsidRPr="00F4592A" w:rsidRDefault="00F94B30" w:rsidP="00F4592A">
      <w:pPr>
        <w:spacing w:before="240"/>
        <w:jc w:val="both"/>
        <w:rPr>
          <w:bCs/>
          <w:sz w:val="22"/>
          <w:szCs w:val="22"/>
          <w:lang w:val="en-US"/>
        </w:rPr>
      </w:pPr>
      <w:r w:rsidRPr="00F4592A">
        <w:rPr>
          <w:bCs/>
          <w:sz w:val="22"/>
          <w:szCs w:val="22"/>
          <w:lang w:val="sr-Cyrl-RS"/>
        </w:rPr>
        <w:t xml:space="preserve">Европска банка за обнову и развој – </w:t>
      </w:r>
      <w:r w:rsidRPr="00F4592A">
        <w:rPr>
          <w:bCs/>
          <w:sz w:val="22"/>
          <w:szCs w:val="22"/>
          <w:lang w:val="en-US"/>
        </w:rPr>
        <w:t>EBRD</w:t>
      </w:r>
    </w:p>
    <w:p w14:paraId="35EF9FF9" w14:textId="77777777" w:rsidR="00F94B30" w:rsidRPr="00F4592A" w:rsidRDefault="00F94B30" w:rsidP="00F4592A">
      <w:pPr>
        <w:spacing w:before="240"/>
        <w:jc w:val="both"/>
        <w:rPr>
          <w:sz w:val="22"/>
          <w:szCs w:val="22"/>
          <w:lang w:val="sr-Cyrl-RS"/>
        </w:rPr>
      </w:pPr>
      <w:r w:rsidRPr="00F4592A">
        <w:rPr>
          <w:sz w:val="22"/>
          <w:szCs w:val="22"/>
          <w:lang w:val="sr-Cyrl-RS"/>
        </w:rPr>
        <w:t>Евро</w:t>
      </w:r>
      <w:r w:rsidRPr="00F4592A">
        <w:rPr>
          <w:sz w:val="22"/>
          <w:szCs w:val="22"/>
          <w:lang w:val="sr-Latn-BA"/>
        </w:rPr>
        <w:t>п</w:t>
      </w:r>
      <w:proofErr w:type="spellStart"/>
      <w:r w:rsidRPr="00F4592A">
        <w:rPr>
          <w:sz w:val="22"/>
          <w:szCs w:val="22"/>
          <w:lang w:val="sr-Cyrl-RS"/>
        </w:rPr>
        <w:t>ска</w:t>
      </w:r>
      <w:proofErr w:type="spellEnd"/>
      <w:r w:rsidRPr="00F4592A">
        <w:rPr>
          <w:sz w:val="22"/>
          <w:szCs w:val="22"/>
          <w:lang w:val="sr-Cyrl-RS"/>
        </w:rPr>
        <w:t xml:space="preserve"> унија – ЕУ</w:t>
      </w:r>
    </w:p>
    <w:p w14:paraId="44D8E8A7" w14:textId="77777777" w:rsidR="00F94B30" w:rsidRPr="00F4592A" w:rsidRDefault="00F94B30" w:rsidP="00F4592A">
      <w:pPr>
        <w:spacing w:before="240"/>
        <w:jc w:val="both"/>
        <w:rPr>
          <w:sz w:val="22"/>
          <w:szCs w:val="22"/>
          <w:lang w:val="sr-Cyrl-CS"/>
        </w:rPr>
      </w:pPr>
      <w:r w:rsidRPr="00F4592A">
        <w:rPr>
          <w:sz w:val="22"/>
          <w:szCs w:val="22"/>
          <w:lang w:val="sr-Cyrl-CS"/>
        </w:rPr>
        <w:t>Јединице локалне самоуправе – ЈЛС</w:t>
      </w:r>
    </w:p>
    <w:p w14:paraId="5062164C" w14:textId="77777777" w:rsidR="00F94B30" w:rsidRPr="00F4592A" w:rsidRDefault="00F94B30" w:rsidP="00F4592A">
      <w:pPr>
        <w:spacing w:before="240"/>
        <w:jc w:val="both"/>
        <w:rPr>
          <w:sz w:val="22"/>
          <w:szCs w:val="22"/>
          <w:lang w:val="sr-Cyrl-RS"/>
        </w:rPr>
      </w:pPr>
      <w:r w:rsidRPr="00F4592A">
        <w:rPr>
          <w:sz w:val="22"/>
          <w:szCs w:val="22"/>
          <w:lang w:val="sr-Cyrl-RS"/>
        </w:rPr>
        <w:t>Међународни монетарни фонд – ММФ</w:t>
      </w:r>
    </w:p>
    <w:p w14:paraId="5DFE5453" w14:textId="77777777" w:rsidR="00F94B30" w:rsidRPr="00F4592A" w:rsidRDefault="00F94B30" w:rsidP="004A3B70">
      <w:pPr>
        <w:spacing w:before="240"/>
        <w:jc w:val="both"/>
        <w:rPr>
          <w:sz w:val="22"/>
          <w:szCs w:val="22"/>
          <w:lang w:val="sr-Latn-RS"/>
        </w:rPr>
      </w:pPr>
      <w:r w:rsidRPr="00F4592A">
        <w:rPr>
          <w:sz w:val="22"/>
          <w:szCs w:val="22"/>
          <w:lang w:val="en-US"/>
        </w:rPr>
        <w:t>NALAS</w:t>
      </w:r>
      <w:r w:rsidRPr="00F4592A">
        <w:rPr>
          <w:sz w:val="22"/>
          <w:szCs w:val="22"/>
          <w:lang w:val="sr-Cyrl-RS"/>
        </w:rPr>
        <w:t xml:space="preserve"> – </w:t>
      </w:r>
      <w:proofErr w:type="spellStart"/>
      <w:r w:rsidRPr="00F4592A">
        <w:rPr>
          <w:sz w:val="22"/>
          <w:szCs w:val="22"/>
          <w:lang w:val="sr-Cyrl-RS"/>
        </w:rPr>
        <w:t>Network</w:t>
      </w:r>
      <w:proofErr w:type="spellEnd"/>
      <w:r w:rsidRPr="00F4592A">
        <w:rPr>
          <w:sz w:val="22"/>
          <w:szCs w:val="22"/>
          <w:lang w:val="sr-Cyrl-RS"/>
        </w:rPr>
        <w:t xml:space="preserve"> </w:t>
      </w:r>
      <w:proofErr w:type="spellStart"/>
      <w:r w:rsidRPr="00F4592A">
        <w:rPr>
          <w:sz w:val="22"/>
          <w:szCs w:val="22"/>
          <w:lang w:val="sr-Cyrl-RS"/>
        </w:rPr>
        <w:t>of</w:t>
      </w:r>
      <w:proofErr w:type="spellEnd"/>
      <w:r w:rsidRPr="00F4592A">
        <w:rPr>
          <w:sz w:val="22"/>
          <w:szCs w:val="22"/>
          <w:lang w:val="sr-Cyrl-RS"/>
        </w:rPr>
        <w:t xml:space="preserve"> </w:t>
      </w:r>
      <w:proofErr w:type="spellStart"/>
      <w:r w:rsidRPr="00F4592A">
        <w:rPr>
          <w:sz w:val="22"/>
          <w:szCs w:val="22"/>
          <w:lang w:val="sr-Cyrl-RS"/>
        </w:rPr>
        <w:t>associations</w:t>
      </w:r>
      <w:proofErr w:type="spellEnd"/>
      <w:r w:rsidRPr="00F4592A">
        <w:rPr>
          <w:sz w:val="22"/>
          <w:szCs w:val="22"/>
          <w:lang w:val="sr-Cyrl-RS"/>
        </w:rPr>
        <w:t xml:space="preserve"> </w:t>
      </w:r>
      <w:proofErr w:type="spellStart"/>
      <w:r w:rsidRPr="00F4592A">
        <w:rPr>
          <w:sz w:val="22"/>
          <w:szCs w:val="22"/>
          <w:lang w:val="sr-Cyrl-RS"/>
        </w:rPr>
        <w:t>of</w:t>
      </w:r>
      <w:proofErr w:type="spellEnd"/>
      <w:r w:rsidRPr="00F4592A">
        <w:rPr>
          <w:sz w:val="22"/>
          <w:szCs w:val="22"/>
          <w:lang w:val="sr-Cyrl-RS"/>
        </w:rPr>
        <w:t xml:space="preserve"> </w:t>
      </w:r>
      <w:proofErr w:type="spellStart"/>
      <w:r w:rsidRPr="00F4592A">
        <w:rPr>
          <w:sz w:val="22"/>
          <w:szCs w:val="22"/>
          <w:lang w:val="sr-Cyrl-RS"/>
        </w:rPr>
        <w:t>local</w:t>
      </w:r>
      <w:proofErr w:type="spellEnd"/>
      <w:r w:rsidRPr="00F4592A">
        <w:rPr>
          <w:sz w:val="22"/>
          <w:szCs w:val="22"/>
          <w:lang w:val="sr-Cyrl-RS"/>
        </w:rPr>
        <w:t xml:space="preserve"> </w:t>
      </w:r>
      <w:proofErr w:type="spellStart"/>
      <w:r w:rsidRPr="00F4592A">
        <w:rPr>
          <w:sz w:val="22"/>
          <w:szCs w:val="22"/>
          <w:lang w:val="sr-Cyrl-RS"/>
        </w:rPr>
        <w:t>authorities</w:t>
      </w:r>
      <w:proofErr w:type="spellEnd"/>
      <w:r w:rsidRPr="00F4592A">
        <w:rPr>
          <w:sz w:val="22"/>
          <w:szCs w:val="22"/>
          <w:lang w:val="sr-Cyrl-RS"/>
        </w:rPr>
        <w:t xml:space="preserve"> </w:t>
      </w:r>
      <w:proofErr w:type="spellStart"/>
      <w:r w:rsidRPr="00F4592A">
        <w:rPr>
          <w:sz w:val="22"/>
          <w:szCs w:val="22"/>
          <w:lang w:val="sr-Cyrl-RS"/>
        </w:rPr>
        <w:t>of</w:t>
      </w:r>
      <w:proofErr w:type="spellEnd"/>
      <w:r w:rsidRPr="00F4592A">
        <w:rPr>
          <w:sz w:val="22"/>
          <w:szCs w:val="22"/>
          <w:lang w:val="sr-Cyrl-RS"/>
        </w:rPr>
        <w:t xml:space="preserve"> </w:t>
      </w:r>
      <w:proofErr w:type="spellStart"/>
      <w:r w:rsidRPr="00F4592A">
        <w:rPr>
          <w:sz w:val="22"/>
          <w:szCs w:val="22"/>
          <w:lang w:val="sr-Cyrl-RS"/>
        </w:rPr>
        <w:t>South</w:t>
      </w:r>
      <w:proofErr w:type="spellEnd"/>
      <w:r w:rsidRPr="00F4592A">
        <w:rPr>
          <w:sz w:val="22"/>
          <w:szCs w:val="22"/>
          <w:lang w:val="sr-Cyrl-RS"/>
        </w:rPr>
        <w:t xml:space="preserve"> </w:t>
      </w:r>
      <w:proofErr w:type="spellStart"/>
      <w:r w:rsidRPr="00F4592A">
        <w:rPr>
          <w:sz w:val="22"/>
          <w:szCs w:val="22"/>
          <w:lang w:val="sr-Cyrl-RS"/>
        </w:rPr>
        <w:t>East</w:t>
      </w:r>
      <w:proofErr w:type="spellEnd"/>
      <w:r w:rsidRPr="00F4592A">
        <w:rPr>
          <w:sz w:val="22"/>
          <w:szCs w:val="22"/>
          <w:lang w:val="sr-Cyrl-RS"/>
        </w:rPr>
        <w:t xml:space="preserve"> </w:t>
      </w:r>
      <w:proofErr w:type="spellStart"/>
      <w:r w:rsidRPr="00F4592A">
        <w:rPr>
          <w:sz w:val="22"/>
          <w:szCs w:val="22"/>
          <w:lang w:val="sr-Cyrl-RS"/>
        </w:rPr>
        <w:t>Europe</w:t>
      </w:r>
      <w:proofErr w:type="spellEnd"/>
      <w:r w:rsidRPr="00F4592A">
        <w:rPr>
          <w:sz w:val="22"/>
          <w:szCs w:val="22"/>
          <w:lang w:val="sr-Latn-RS"/>
        </w:rPr>
        <w:t xml:space="preserve"> (</w:t>
      </w:r>
      <w:proofErr w:type="spellStart"/>
      <w:r w:rsidRPr="00F4592A">
        <w:rPr>
          <w:sz w:val="22"/>
          <w:szCs w:val="22"/>
        </w:rPr>
        <w:t>Мрежа</w:t>
      </w:r>
      <w:proofErr w:type="spellEnd"/>
      <w:r w:rsidRPr="00F4592A">
        <w:rPr>
          <w:sz w:val="22"/>
          <w:szCs w:val="22"/>
          <w:lang w:val="sr-Latn-RS"/>
        </w:rPr>
        <w:t xml:space="preserve"> </w:t>
      </w:r>
      <w:proofErr w:type="spellStart"/>
      <w:r w:rsidRPr="00F4592A">
        <w:rPr>
          <w:sz w:val="22"/>
          <w:szCs w:val="22"/>
        </w:rPr>
        <w:t>асоција</w:t>
      </w:r>
      <w:r w:rsidRPr="00F4592A">
        <w:rPr>
          <w:sz w:val="22"/>
          <w:szCs w:val="22"/>
          <w:lang w:val="sr-Cyrl-RS"/>
        </w:rPr>
        <w:t>ција</w:t>
      </w:r>
      <w:proofErr w:type="spellEnd"/>
      <w:r w:rsidRPr="00F4592A">
        <w:rPr>
          <w:sz w:val="22"/>
          <w:szCs w:val="22"/>
          <w:lang w:val="sr-Latn-RS"/>
        </w:rPr>
        <w:t xml:space="preserve"> </w:t>
      </w:r>
      <w:proofErr w:type="spellStart"/>
      <w:r w:rsidRPr="00F4592A">
        <w:rPr>
          <w:sz w:val="22"/>
          <w:szCs w:val="22"/>
        </w:rPr>
        <w:t>локалних</w:t>
      </w:r>
      <w:proofErr w:type="spellEnd"/>
      <w:r w:rsidRPr="00F4592A">
        <w:rPr>
          <w:sz w:val="22"/>
          <w:szCs w:val="22"/>
          <w:lang w:val="sr-Latn-RS"/>
        </w:rPr>
        <w:t xml:space="preserve"> </w:t>
      </w:r>
      <w:proofErr w:type="spellStart"/>
      <w:r w:rsidRPr="00F4592A">
        <w:rPr>
          <w:sz w:val="22"/>
          <w:szCs w:val="22"/>
        </w:rPr>
        <w:t>власти</w:t>
      </w:r>
      <w:proofErr w:type="spellEnd"/>
      <w:r w:rsidRPr="00F4592A">
        <w:rPr>
          <w:sz w:val="22"/>
          <w:szCs w:val="22"/>
          <w:lang w:val="sr-Latn-RS"/>
        </w:rPr>
        <w:t xml:space="preserve"> </w:t>
      </w:r>
      <w:proofErr w:type="spellStart"/>
      <w:r w:rsidRPr="00F4592A">
        <w:rPr>
          <w:sz w:val="22"/>
          <w:szCs w:val="22"/>
        </w:rPr>
        <w:t>југоисточне</w:t>
      </w:r>
      <w:proofErr w:type="spellEnd"/>
      <w:r w:rsidRPr="00F4592A">
        <w:rPr>
          <w:sz w:val="22"/>
          <w:szCs w:val="22"/>
          <w:lang w:val="sr-Latn-RS"/>
        </w:rPr>
        <w:t xml:space="preserve"> </w:t>
      </w:r>
      <w:proofErr w:type="spellStart"/>
      <w:r w:rsidRPr="00F4592A">
        <w:rPr>
          <w:sz w:val="22"/>
          <w:szCs w:val="22"/>
        </w:rPr>
        <w:t>Европе</w:t>
      </w:r>
      <w:proofErr w:type="spellEnd"/>
      <w:r w:rsidRPr="00F4592A">
        <w:rPr>
          <w:sz w:val="22"/>
          <w:szCs w:val="22"/>
          <w:lang w:val="sr-Latn-RS"/>
        </w:rPr>
        <w:t>)</w:t>
      </w:r>
    </w:p>
    <w:p w14:paraId="00F5D184" w14:textId="77777777" w:rsidR="00F94B30" w:rsidRPr="00F4592A" w:rsidRDefault="00F94B30" w:rsidP="00F4592A">
      <w:pPr>
        <w:spacing w:before="240"/>
        <w:jc w:val="both"/>
        <w:rPr>
          <w:sz w:val="22"/>
          <w:szCs w:val="22"/>
          <w:lang w:val="sr-Cyrl-RS"/>
        </w:rPr>
      </w:pPr>
      <w:r w:rsidRPr="00F4592A">
        <w:rPr>
          <w:sz w:val="22"/>
          <w:szCs w:val="22"/>
          <w:lang w:val="sr-Cyrl-RS"/>
        </w:rPr>
        <w:t>План капиталних инвестиција – ПКИ</w:t>
      </w:r>
    </w:p>
    <w:p w14:paraId="717374DD" w14:textId="77777777" w:rsidR="00F94B30" w:rsidRPr="00F4592A" w:rsidRDefault="00F94B30" w:rsidP="00F4592A">
      <w:pPr>
        <w:spacing w:before="240"/>
        <w:jc w:val="both"/>
        <w:rPr>
          <w:sz w:val="22"/>
          <w:szCs w:val="22"/>
          <w:lang w:val="sr-Cyrl-RS"/>
        </w:rPr>
      </w:pPr>
      <w:r w:rsidRPr="00F4592A">
        <w:rPr>
          <w:sz w:val="22"/>
          <w:szCs w:val="22"/>
          <w:lang w:val="sr-Cyrl-RS"/>
        </w:rPr>
        <w:t>Пореска управа Републике Српске – ПУ РС</w:t>
      </w:r>
    </w:p>
    <w:p w14:paraId="7557402A" w14:textId="77777777" w:rsidR="00F94B30" w:rsidRPr="00F4592A" w:rsidRDefault="00F94B30" w:rsidP="00F4592A">
      <w:pPr>
        <w:spacing w:before="240"/>
        <w:jc w:val="both"/>
        <w:rPr>
          <w:bCs/>
          <w:sz w:val="22"/>
          <w:szCs w:val="22"/>
          <w:lang w:val="en-US"/>
        </w:rPr>
      </w:pPr>
      <w:proofErr w:type="spellStart"/>
      <w:r w:rsidRPr="00F4592A">
        <w:rPr>
          <w:bCs/>
          <w:sz w:val="22"/>
          <w:szCs w:val="22"/>
          <w:lang w:val="en-US"/>
        </w:rPr>
        <w:t>Развојни</w:t>
      </w:r>
      <w:proofErr w:type="spellEnd"/>
      <w:r w:rsidRPr="00F4592A">
        <w:rPr>
          <w:bCs/>
          <w:sz w:val="22"/>
          <w:szCs w:val="22"/>
          <w:lang w:val="en-US"/>
        </w:rPr>
        <w:t xml:space="preserve"> </w:t>
      </w:r>
      <w:proofErr w:type="spellStart"/>
      <w:r w:rsidRPr="00F4592A">
        <w:rPr>
          <w:bCs/>
          <w:sz w:val="22"/>
          <w:szCs w:val="22"/>
          <w:lang w:val="en-US"/>
        </w:rPr>
        <w:t>програм</w:t>
      </w:r>
      <w:proofErr w:type="spellEnd"/>
      <w:r w:rsidRPr="00F4592A">
        <w:rPr>
          <w:bCs/>
          <w:sz w:val="22"/>
          <w:szCs w:val="22"/>
          <w:lang w:val="en-US"/>
        </w:rPr>
        <w:t xml:space="preserve"> </w:t>
      </w:r>
      <w:proofErr w:type="spellStart"/>
      <w:r w:rsidRPr="00F4592A">
        <w:rPr>
          <w:bCs/>
          <w:sz w:val="22"/>
          <w:szCs w:val="22"/>
          <w:lang w:val="en-US"/>
        </w:rPr>
        <w:t>Уједињених</w:t>
      </w:r>
      <w:proofErr w:type="spellEnd"/>
      <w:r w:rsidRPr="00F4592A">
        <w:rPr>
          <w:bCs/>
          <w:sz w:val="22"/>
          <w:szCs w:val="22"/>
          <w:lang w:val="en-US"/>
        </w:rPr>
        <w:t xml:space="preserve"> </w:t>
      </w:r>
      <w:proofErr w:type="spellStart"/>
      <w:r w:rsidRPr="00F4592A">
        <w:rPr>
          <w:bCs/>
          <w:sz w:val="22"/>
          <w:szCs w:val="22"/>
          <w:lang w:val="en-US"/>
        </w:rPr>
        <w:t>нација</w:t>
      </w:r>
      <w:proofErr w:type="spellEnd"/>
      <w:r w:rsidRPr="00F4592A">
        <w:rPr>
          <w:bCs/>
          <w:sz w:val="22"/>
          <w:szCs w:val="22"/>
          <w:lang w:val="en-US"/>
        </w:rPr>
        <w:t xml:space="preserve"> – UNDP</w:t>
      </w:r>
    </w:p>
    <w:p w14:paraId="2F4576A2" w14:textId="77777777" w:rsidR="00F94B30" w:rsidRPr="00F4592A" w:rsidRDefault="00F94B30" w:rsidP="00F4592A">
      <w:pPr>
        <w:spacing w:before="240"/>
        <w:jc w:val="both"/>
        <w:rPr>
          <w:sz w:val="22"/>
          <w:szCs w:val="22"/>
          <w:lang w:val="sr-Cyrl-CS"/>
        </w:rPr>
      </w:pPr>
      <w:r w:rsidRPr="00F4592A">
        <w:rPr>
          <w:sz w:val="22"/>
          <w:szCs w:val="22"/>
          <w:lang w:val="sr-Cyrl-CS"/>
        </w:rPr>
        <w:t>Република Српска - РС</w:t>
      </w:r>
    </w:p>
    <w:p w14:paraId="16E4E392" w14:textId="77777777" w:rsidR="00F94B30" w:rsidRPr="00F4592A" w:rsidRDefault="00F94B30" w:rsidP="00F4592A">
      <w:pPr>
        <w:spacing w:before="240"/>
        <w:jc w:val="both"/>
        <w:rPr>
          <w:sz w:val="22"/>
          <w:szCs w:val="22"/>
          <w:lang w:val="sr-Cyrl-RS"/>
        </w:rPr>
      </w:pPr>
      <w:r w:rsidRPr="00F4592A">
        <w:rPr>
          <w:sz w:val="22"/>
          <w:szCs w:val="22"/>
          <w:lang w:val="sr-Cyrl-RS"/>
        </w:rPr>
        <w:t>Републичка управа за геодетско имовинске и правне послове - РУГИПП</w:t>
      </w:r>
    </w:p>
    <w:p w14:paraId="65FB0CC9" w14:textId="77777777" w:rsidR="00873815" w:rsidRPr="00F4592A" w:rsidRDefault="00F94B30" w:rsidP="00F4592A">
      <w:pPr>
        <w:spacing w:before="240"/>
        <w:jc w:val="both"/>
        <w:rPr>
          <w:sz w:val="22"/>
          <w:szCs w:val="22"/>
          <w:lang w:val="sr-Cyrl-CS"/>
        </w:rPr>
      </w:pPr>
      <w:r w:rsidRPr="00F4592A">
        <w:rPr>
          <w:sz w:val="22"/>
          <w:szCs w:val="22"/>
          <w:lang w:val="sr-Cyrl-CS"/>
        </w:rPr>
        <w:t>Савез општин</w:t>
      </w:r>
      <w:r w:rsidR="00873815" w:rsidRPr="00F4592A">
        <w:rPr>
          <w:sz w:val="22"/>
          <w:szCs w:val="22"/>
          <w:lang w:val="sr-Cyrl-CS"/>
        </w:rPr>
        <w:t>а и г</w:t>
      </w:r>
      <w:r w:rsidRPr="00F4592A">
        <w:rPr>
          <w:sz w:val="22"/>
          <w:szCs w:val="22"/>
          <w:lang w:val="sr-Cyrl-CS"/>
        </w:rPr>
        <w:t>радова Републике Српске – Савез</w:t>
      </w:r>
    </w:p>
    <w:p w14:paraId="6B26766D" w14:textId="70DF7E46" w:rsidR="005E5F84" w:rsidRDefault="005E5F84" w:rsidP="00F4592A">
      <w:pPr>
        <w:spacing w:before="240"/>
        <w:jc w:val="both"/>
        <w:rPr>
          <w:sz w:val="22"/>
          <w:szCs w:val="22"/>
          <w:lang w:val="sr-Cyrl-CS"/>
        </w:rPr>
      </w:pPr>
      <w:proofErr w:type="spellStart"/>
      <w:r w:rsidRPr="00F4592A">
        <w:rPr>
          <w:sz w:val="22"/>
          <w:szCs w:val="22"/>
          <w:lang w:val="sr-Cyrl-CS"/>
        </w:rPr>
        <w:t>Свјетска</w:t>
      </w:r>
      <w:proofErr w:type="spellEnd"/>
      <w:r w:rsidRPr="00F4592A">
        <w:rPr>
          <w:sz w:val="22"/>
          <w:szCs w:val="22"/>
          <w:lang w:val="sr-Cyrl-CS"/>
        </w:rPr>
        <w:t xml:space="preserve"> банка </w:t>
      </w:r>
      <w:r w:rsidR="00F4592A">
        <w:rPr>
          <w:sz w:val="22"/>
          <w:szCs w:val="22"/>
          <w:lang w:val="sr-Cyrl-CS"/>
        </w:rPr>
        <w:t>–</w:t>
      </w:r>
      <w:r w:rsidRPr="00F4592A">
        <w:rPr>
          <w:sz w:val="22"/>
          <w:szCs w:val="22"/>
          <w:lang w:val="sr-Cyrl-CS"/>
        </w:rPr>
        <w:t xml:space="preserve"> СБ</w:t>
      </w:r>
    </w:p>
    <w:p w14:paraId="48FC3758" w14:textId="456FBFEC" w:rsidR="00A3635A" w:rsidRDefault="00A3635A" w:rsidP="00F4592A">
      <w:pPr>
        <w:spacing w:before="240"/>
        <w:jc w:val="both"/>
        <w:rPr>
          <w:sz w:val="22"/>
          <w:szCs w:val="22"/>
          <w:lang w:val="sr-Cyrl-CS"/>
        </w:rPr>
      </w:pPr>
      <w:r>
        <w:rPr>
          <w:sz w:val="22"/>
          <w:szCs w:val="22"/>
          <w:lang w:val="sr-Cyrl-CS"/>
        </w:rPr>
        <w:t>Југоисточна Европа - ЈИЕ</w:t>
      </w:r>
    </w:p>
    <w:p w14:paraId="0A9A6213" w14:textId="4F55E899" w:rsidR="00F4592A" w:rsidRDefault="00F4592A" w:rsidP="00F94B30">
      <w:pPr>
        <w:jc w:val="both"/>
        <w:rPr>
          <w:sz w:val="22"/>
          <w:szCs w:val="22"/>
          <w:lang w:val="sr-Cyrl-CS"/>
        </w:rPr>
      </w:pPr>
    </w:p>
    <w:p w14:paraId="2DC9054F" w14:textId="13DD655E" w:rsidR="00F4592A" w:rsidRDefault="00F4592A" w:rsidP="00F94B30">
      <w:pPr>
        <w:jc w:val="both"/>
        <w:rPr>
          <w:sz w:val="22"/>
          <w:szCs w:val="22"/>
          <w:lang w:val="sr-Cyrl-CS"/>
        </w:rPr>
      </w:pPr>
    </w:p>
    <w:p w14:paraId="2F868D6F" w14:textId="57EC9D56" w:rsidR="00F4592A" w:rsidRDefault="00F4592A" w:rsidP="00F94B30">
      <w:pPr>
        <w:jc w:val="both"/>
        <w:rPr>
          <w:sz w:val="22"/>
          <w:szCs w:val="22"/>
          <w:lang w:val="sr-Cyrl-CS"/>
        </w:rPr>
      </w:pPr>
    </w:p>
    <w:p w14:paraId="2B5CC70F" w14:textId="214D439F" w:rsidR="00F4592A" w:rsidRDefault="00F4592A" w:rsidP="00F94B30">
      <w:pPr>
        <w:jc w:val="both"/>
        <w:rPr>
          <w:sz w:val="22"/>
          <w:szCs w:val="22"/>
          <w:lang w:val="sr-Cyrl-CS"/>
        </w:rPr>
      </w:pPr>
    </w:p>
    <w:p w14:paraId="2C27F4F1" w14:textId="13EC94A6" w:rsidR="00F4592A" w:rsidRDefault="00F4592A" w:rsidP="00F94B30">
      <w:pPr>
        <w:jc w:val="both"/>
        <w:rPr>
          <w:sz w:val="22"/>
          <w:szCs w:val="22"/>
          <w:lang w:val="sr-Cyrl-CS"/>
        </w:rPr>
      </w:pPr>
    </w:p>
    <w:p w14:paraId="760F68A3" w14:textId="482E283B" w:rsidR="00F4592A" w:rsidRDefault="00F4592A" w:rsidP="00F94B30">
      <w:pPr>
        <w:jc w:val="both"/>
        <w:rPr>
          <w:sz w:val="22"/>
          <w:szCs w:val="22"/>
          <w:lang w:val="sr-Cyrl-CS"/>
        </w:rPr>
      </w:pPr>
    </w:p>
    <w:p w14:paraId="2DCA3261" w14:textId="40FB9000" w:rsidR="00F4592A" w:rsidRDefault="00F4592A" w:rsidP="00F94B30">
      <w:pPr>
        <w:jc w:val="both"/>
        <w:rPr>
          <w:sz w:val="22"/>
          <w:szCs w:val="22"/>
          <w:lang w:val="sr-Cyrl-CS"/>
        </w:rPr>
      </w:pPr>
    </w:p>
    <w:p w14:paraId="0DD024E6" w14:textId="05243751" w:rsidR="00F4592A" w:rsidRDefault="00F4592A" w:rsidP="00F94B30">
      <w:pPr>
        <w:jc w:val="both"/>
        <w:rPr>
          <w:sz w:val="22"/>
          <w:szCs w:val="22"/>
          <w:lang w:val="sr-Cyrl-CS"/>
        </w:rPr>
      </w:pPr>
    </w:p>
    <w:p w14:paraId="596AD4E6" w14:textId="7276576A" w:rsidR="00F4592A" w:rsidRDefault="00F4592A" w:rsidP="00F94B30">
      <w:pPr>
        <w:jc w:val="both"/>
        <w:rPr>
          <w:sz w:val="22"/>
          <w:szCs w:val="22"/>
          <w:lang w:val="sr-Cyrl-CS"/>
        </w:rPr>
      </w:pPr>
    </w:p>
    <w:p w14:paraId="410471DF" w14:textId="6291554C" w:rsidR="00F4592A" w:rsidRDefault="00F4592A" w:rsidP="00F94B30">
      <w:pPr>
        <w:jc w:val="both"/>
        <w:rPr>
          <w:sz w:val="22"/>
          <w:szCs w:val="22"/>
          <w:lang w:val="sr-Cyrl-CS"/>
        </w:rPr>
      </w:pPr>
    </w:p>
    <w:p w14:paraId="7C8223EA" w14:textId="27A8CA03" w:rsidR="00F4592A" w:rsidRDefault="00F4592A" w:rsidP="00F94B30">
      <w:pPr>
        <w:jc w:val="both"/>
        <w:rPr>
          <w:sz w:val="22"/>
          <w:szCs w:val="22"/>
          <w:lang w:val="sr-Cyrl-CS"/>
        </w:rPr>
      </w:pPr>
    </w:p>
    <w:p w14:paraId="115A8E43" w14:textId="5A106A85" w:rsidR="00F4592A" w:rsidRDefault="00F4592A" w:rsidP="00F94B30">
      <w:pPr>
        <w:jc w:val="both"/>
        <w:rPr>
          <w:sz w:val="22"/>
          <w:szCs w:val="22"/>
          <w:lang w:val="sr-Cyrl-CS"/>
        </w:rPr>
      </w:pPr>
    </w:p>
    <w:p w14:paraId="42D34369" w14:textId="3DCDFDD8" w:rsidR="00F4592A" w:rsidRDefault="00F4592A" w:rsidP="00F94B30">
      <w:pPr>
        <w:jc w:val="both"/>
        <w:rPr>
          <w:sz w:val="22"/>
          <w:szCs w:val="22"/>
          <w:lang w:val="sr-Cyrl-CS"/>
        </w:rPr>
      </w:pPr>
    </w:p>
    <w:p w14:paraId="2290141F" w14:textId="0C60BC23" w:rsidR="00F4592A" w:rsidRDefault="00F4592A" w:rsidP="00F94B30">
      <w:pPr>
        <w:jc w:val="both"/>
        <w:rPr>
          <w:sz w:val="22"/>
          <w:szCs w:val="22"/>
          <w:lang w:val="sr-Cyrl-CS"/>
        </w:rPr>
      </w:pPr>
    </w:p>
    <w:p w14:paraId="761E3A24" w14:textId="00A97676" w:rsidR="00F4592A" w:rsidRDefault="00F4592A" w:rsidP="00F94B30">
      <w:pPr>
        <w:jc w:val="both"/>
        <w:rPr>
          <w:sz w:val="22"/>
          <w:szCs w:val="22"/>
          <w:lang w:val="sr-Cyrl-CS"/>
        </w:rPr>
      </w:pPr>
    </w:p>
    <w:p w14:paraId="00323841" w14:textId="21A4CF9C" w:rsidR="00F4592A" w:rsidRDefault="00F4592A" w:rsidP="00F94B30">
      <w:pPr>
        <w:jc w:val="both"/>
        <w:rPr>
          <w:sz w:val="22"/>
          <w:szCs w:val="22"/>
          <w:lang w:val="sr-Cyrl-CS"/>
        </w:rPr>
      </w:pPr>
    </w:p>
    <w:p w14:paraId="4ABD6946" w14:textId="06F3D06D" w:rsidR="00F4592A" w:rsidRDefault="00F4592A" w:rsidP="00F94B30">
      <w:pPr>
        <w:jc w:val="both"/>
        <w:rPr>
          <w:sz w:val="22"/>
          <w:szCs w:val="22"/>
          <w:lang w:val="sr-Cyrl-CS"/>
        </w:rPr>
      </w:pPr>
    </w:p>
    <w:p w14:paraId="528FA835" w14:textId="77777777" w:rsidR="00790A22" w:rsidRDefault="00790A22" w:rsidP="00F94B30">
      <w:pPr>
        <w:jc w:val="both"/>
        <w:rPr>
          <w:sz w:val="22"/>
          <w:szCs w:val="22"/>
          <w:lang w:val="sr-Cyrl-CS"/>
        </w:rPr>
      </w:pPr>
    </w:p>
    <w:p w14:paraId="489813A1" w14:textId="0D35F410" w:rsidR="00F4592A" w:rsidRDefault="00F4592A" w:rsidP="00F94B30">
      <w:pPr>
        <w:jc w:val="both"/>
        <w:rPr>
          <w:sz w:val="22"/>
          <w:szCs w:val="22"/>
          <w:lang w:val="sr-Cyrl-CS"/>
        </w:rPr>
      </w:pPr>
    </w:p>
    <w:p w14:paraId="5C5BA4B6" w14:textId="77777777" w:rsidR="00F4592A" w:rsidRPr="00F4592A" w:rsidRDefault="00F4592A" w:rsidP="00F94B30">
      <w:pPr>
        <w:jc w:val="both"/>
        <w:rPr>
          <w:sz w:val="22"/>
          <w:szCs w:val="22"/>
          <w:lang w:val="sr-Cyrl-CS"/>
        </w:rPr>
      </w:pPr>
    </w:p>
    <w:p w14:paraId="3D9A13A8" w14:textId="77777777" w:rsidR="002C1204" w:rsidRDefault="007244AC" w:rsidP="008D586C">
      <w:pPr>
        <w:pStyle w:val="Heading1"/>
        <w:spacing w:line="276" w:lineRule="auto"/>
        <w:rPr>
          <w:sz w:val="22"/>
          <w:szCs w:val="22"/>
        </w:rPr>
      </w:pPr>
      <w:bookmarkStart w:id="0" w:name="_Toc59550004"/>
      <w:r w:rsidRPr="008D586C">
        <w:rPr>
          <w:sz w:val="22"/>
          <w:szCs w:val="22"/>
          <w:lang w:val="sr-Cyrl-BA"/>
        </w:rPr>
        <w:t xml:space="preserve">1. </w:t>
      </w:r>
      <w:r w:rsidR="002C1204" w:rsidRPr="008D586C">
        <w:rPr>
          <w:sz w:val="22"/>
          <w:szCs w:val="22"/>
        </w:rPr>
        <w:t xml:space="preserve"> </w:t>
      </w:r>
      <w:r w:rsidR="00BD78E1">
        <w:rPr>
          <w:sz w:val="22"/>
          <w:szCs w:val="22"/>
        </w:rPr>
        <w:t>САЖЕТАК И ОСНОВНЕ ПРЕПОРУКЕ</w:t>
      </w:r>
      <w:bookmarkEnd w:id="0"/>
    </w:p>
    <w:p w14:paraId="5AF0E8C6" w14:textId="77777777" w:rsidR="00586202" w:rsidRPr="00586202" w:rsidRDefault="00586202" w:rsidP="00586202">
      <w:pPr>
        <w:rPr>
          <w:lang w:val="sr-Cyrl-CS" w:eastAsia="en-US"/>
        </w:rPr>
      </w:pPr>
    </w:p>
    <w:p w14:paraId="671EDE7A" w14:textId="0D6EB8DF" w:rsidR="00EC49B4" w:rsidRPr="00586202" w:rsidRDefault="007C7FCC" w:rsidP="00027995">
      <w:pPr>
        <w:spacing w:line="276" w:lineRule="auto"/>
        <w:jc w:val="both"/>
        <w:rPr>
          <w:sz w:val="22"/>
          <w:lang w:val="sr-Cyrl-RS"/>
        </w:rPr>
      </w:pPr>
      <w:r w:rsidRPr="008D586C">
        <w:rPr>
          <w:sz w:val="22"/>
          <w:szCs w:val="22"/>
          <w:lang w:val="sr-Cyrl-CS"/>
        </w:rPr>
        <w:lastRenderedPageBreak/>
        <w:tab/>
      </w:r>
      <w:r w:rsidR="004F0B7B" w:rsidRPr="00586202">
        <w:rPr>
          <w:sz w:val="22"/>
          <w:lang w:val="sr-Cyrl-RS"/>
        </w:rPr>
        <w:t xml:space="preserve">Социјални и економски опоравак јединица локалне самоуправе у условима кризе због </w:t>
      </w:r>
      <w:proofErr w:type="spellStart"/>
      <w:r w:rsidR="004F0B7B" w:rsidRPr="00586202">
        <w:rPr>
          <w:sz w:val="22"/>
          <w:lang w:val="sr-Cyrl-RS"/>
        </w:rPr>
        <w:t>пандемије</w:t>
      </w:r>
      <w:proofErr w:type="spellEnd"/>
      <w:r w:rsidR="004F0B7B" w:rsidRPr="00586202">
        <w:rPr>
          <w:sz w:val="22"/>
          <w:lang w:val="sr-Cyrl-RS"/>
        </w:rPr>
        <w:t xml:space="preserve"> </w:t>
      </w:r>
      <w:r w:rsidR="004F0B7B" w:rsidRPr="00586202">
        <w:rPr>
          <w:sz w:val="22"/>
          <w:lang w:val="en-US"/>
        </w:rPr>
        <w:t>COVID-19</w:t>
      </w:r>
      <w:r w:rsidR="004F0B7B" w:rsidRPr="00586202">
        <w:rPr>
          <w:sz w:val="22"/>
          <w:lang w:val="sr-Cyrl-RS"/>
        </w:rPr>
        <w:t xml:space="preserve">, један је од најважнијих приоритета </w:t>
      </w:r>
      <w:proofErr w:type="spellStart"/>
      <w:r w:rsidR="004F0B7B" w:rsidRPr="00586202">
        <w:rPr>
          <w:sz w:val="22"/>
          <w:lang w:val="sr-Cyrl-RS"/>
        </w:rPr>
        <w:t>дјеловања</w:t>
      </w:r>
      <w:proofErr w:type="spellEnd"/>
      <w:r w:rsidR="004F0B7B" w:rsidRPr="00586202">
        <w:rPr>
          <w:sz w:val="22"/>
          <w:lang w:val="sr-Cyrl-RS"/>
        </w:rPr>
        <w:t xml:space="preserve"> Савеза </w:t>
      </w:r>
      <w:proofErr w:type="spellStart"/>
      <w:r w:rsidR="004F0B7B" w:rsidRPr="00586202">
        <w:rPr>
          <w:sz w:val="22"/>
          <w:lang w:val="sr-Cyrl-RS"/>
        </w:rPr>
        <w:t>оштина</w:t>
      </w:r>
      <w:proofErr w:type="spellEnd"/>
      <w:r w:rsidR="004F0B7B" w:rsidRPr="00586202">
        <w:rPr>
          <w:sz w:val="22"/>
          <w:lang w:val="sr-Cyrl-RS"/>
        </w:rPr>
        <w:t xml:space="preserve"> и градова Републике Српске, како у 2020. години, тако и у наредном периоду. У том смислу, </w:t>
      </w:r>
      <w:r w:rsidR="00EC49B4" w:rsidRPr="00586202">
        <w:rPr>
          <w:sz w:val="22"/>
          <w:lang w:val="sr-Cyrl-RS"/>
        </w:rPr>
        <w:t>Савез</w:t>
      </w:r>
      <w:r w:rsidR="00F4592A">
        <w:rPr>
          <w:sz w:val="22"/>
          <w:lang w:val="sr-Cyrl-RS"/>
        </w:rPr>
        <w:t xml:space="preserve"> је</w:t>
      </w:r>
      <w:r w:rsidR="00EC49B4" w:rsidRPr="00586202">
        <w:rPr>
          <w:sz w:val="22"/>
          <w:lang w:val="sr-Cyrl-RS"/>
        </w:rPr>
        <w:t xml:space="preserve"> дефинисао пројектни задатак  „Анализа проведе</w:t>
      </w:r>
      <w:r w:rsidR="000E35F1">
        <w:rPr>
          <w:sz w:val="22"/>
          <w:lang w:val="sr-Cyrl-RS"/>
        </w:rPr>
        <w:t xml:space="preserve">них </w:t>
      </w:r>
      <w:proofErr w:type="spellStart"/>
      <w:r w:rsidR="000E35F1">
        <w:rPr>
          <w:sz w:val="22"/>
          <w:lang w:val="sr-Cyrl-RS"/>
        </w:rPr>
        <w:t>мјера</w:t>
      </w:r>
      <w:proofErr w:type="spellEnd"/>
      <w:r w:rsidR="000E35F1">
        <w:rPr>
          <w:sz w:val="22"/>
          <w:lang w:val="sr-Cyrl-RS"/>
        </w:rPr>
        <w:t xml:space="preserve"> у јединицама локалне </w:t>
      </w:r>
      <w:r w:rsidR="00F94B30">
        <w:rPr>
          <w:sz w:val="22"/>
          <w:lang w:val="sr-Cyrl-RS"/>
        </w:rPr>
        <w:t xml:space="preserve">самоуправе </w:t>
      </w:r>
      <w:r w:rsidR="00EC49B4" w:rsidRPr="00586202">
        <w:rPr>
          <w:sz w:val="22"/>
          <w:lang w:val="sr-Cyrl-RS"/>
        </w:rPr>
        <w:t xml:space="preserve">у Републици Српској за </w:t>
      </w:r>
      <w:proofErr w:type="spellStart"/>
      <w:r w:rsidR="00EC49B4" w:rsidRPr="00586202">
        <w:rPr>
          <w:sz w:val="22"/>
          <w:lang w:val="sr-Cyrl-RS"/>
        </w:rPr>
        <w:t>вријеме</w:t>
      </w:r>
      <w:proofErr w:type="spellEnd"/>
      <w:r w:rsidR="00EC49B4" w:rsidRPr="00586202">
        <w:rPr>
          <w:sz w:val="22"/>
          <w:lang w:val="sr-Cyrl-RS"/>
        </w:rPr>
        <w:t xml:space="preserve"> кризе изазване </w:t>
      </w:r>
      <w:r w:rsidR="00EC49B4" w:rsidRPr="00586202">
        <w:rPr>
          <w:sz w:val="22"/>
          <w:lang w:val="en-US"/>
        </w:rPr>
        <w:t>COVID-19</w:t>
      </w:r>
      <w:r w:rsidR="00EC49B4" w:rsidRPr="00586202">
        <w:rPr>
          <w:sz w:val="22"/>
          <w:lang w:val="sr-Cyrl-RS"/>
        </w:rPr>
        <w:t xml:space="preserve"> и препоруке за управљање локалним финансијама“. Ова анализа се проводи  у оквиру пројекта „Јачање капацитета савеза </w:t>
      </w:r>
      <w:proofErr w:type="spellStart"/>
      <w:r w:rsidR="00EC49B4" w:rsidRPr="00586202">
        <w:rPr>
          <w:sz w:val="22"/>
          <w:lang w:val="sr-Cyrl-RS"/>
        </w:rPr>
        <w:t>оштина</w:t>
      </w:r>
      <w:proofErr w:type="spellEnd"/>
      <w:r w:rsidR="00EC49B4" w:rsidRPr="00586202">
        <w:rPr>
          <w:sz w:val="22"/>
          <w:lang w:val="sr-Cyrl-RS"/>
        </w:rPr>
        <w:t xml:space="preserve"> и градова у БиХ“, које финансирају Влада Краљевине Шведске и Влада Швајцарске, а уз техничку подршку </w:t>
      </w:r>
      <w:r w:rsidR="004F0B7B" w:rsidRPr="00586202">
        <w:rPr>
          <w:sz w:val="22"/>
          <w:lang w:val="sr-Cyrl-RS"/>
        </w:rPr>
        <w:t xml:space="preserve">Шведске асоцијације локалних власти </w:t>
      </w:r>
      <w:r w:rsidR="004F0B7B" w:rsidRPr="00586202">
        <w:rPr>
          <w:sz w:val="22"/>
          <w:lang w:val="en-US"/>
        </w:rPr>
        <w:t xml:space="preserve">SALAR, </w:t>
      </w:r>
      <w:r w:rsidR="004F0B7B" w:rsidRPr="00586202">
        <w:rPr>
          <w:sz w:val="22"/>
          <w:lang w:val="sr-Cyrl-RS"/>
        </w:rPr>
        <w:t xml:space="preserve">у периоду 2018-2021. година. </w:t>
      </w:r>
    </w:p>
    <w:p w14:paraId="2649D367" w14:textId="77777777" w:rsidR="005E7D57" w:rsidRPr="00586202" w:rsidRDefault="005E7D57" w:rsidP="004F0B7B">
      <w:pPr>
        <w:spacing w:line="276" w:lineRule="auto"/>
        <w:ind w:firstLine="709"/>
        <w:jc w:val="both"/>
        <w:rPr>
          <w:sz w:val="22"/>
          <w:lang w:val="sr-Cyrl-RS"/>
        </w:rPr>
      </w:pPr>
    </w:p>
    <w:p w14:paraId="04632280" w14:textId="739305A2" w:rsidR="00751946" w:rsidRDefault="004F0B7B" w:rsidP="00D065D0">
      <w:pPr>
        <w:spacing w:line="276" w:lineRule="auto"/>
        <w:ind w:firstLine="709"/>
        <w:jc w:val="both"/>
        <w:rPr>
          <w:sz w:val="22"/>
          <w:lang w:val="sr-Cyrl-RS"/>
        </w:rPr>
      </w:pPr>
      <w:r w:rsidRPr="00586202">
        <w:rPr>
          <w:sz w:val="22"/>
          <w:lang w:val="sr-Cyrl-RS"/>
        </w:rPr>
        <w:t>Анализа је спроведена на репрезентативном узорку од 7 јединица локалне самоуправе и то:</w:t>
      </w:r>
      <w:r w:rsidR="00D065D0">
        <w:rPr>
          <w:sz w:val="22"/>
          <w:lang w:val="sr-Cyrl-RS"/>
        </w:rPr>
        <w:t xml:space="preserve"> </w:t>
      </w:r>
      <w:r w:rsidRPr="00586202">
        <w:rPr>
          <w:sz w:val="22"/>
          <w:lang w:val="sr-Cyrl-RS"/>
        </w:rPr>
        <w:t>Бања Лука</w:t>
      </w:r>
      <w:r w:rsidR="00D065D0">
        <w:rPr>
          <w:sz w:val="22"/>
          <w:lang w:val="sr-Cyrl-RS"/>
        </w:rPr>
        <w:t xml:space="preserve">, </w:t>
      </w:r>
      <w:r w:rsidRPr="00D065D0">
        <w:rPr>
          <w:sz w:val="22"/>
          <w:lang w:val="sr-Cyrl-RS"/>
        </w:rPr>
        <w:t>Приједор</w:t>
      </w:r>
      <w:r w:rsidR="00D065D0" w:rsidRPr="00D065D0">
        <w:rPr>
          <w:sz w:val="22"/>
          <w:lang w:val="sr-Cyrl-RS"/>
        </w:rPr>
        <w:t xml:space="preserve">, </w:t>
      </w:r>
      <w:r w:rsidRPr="00D065D0">
        <w:rPr>
          <w:sz w:val="22"/>
          <w:lang w:val="sr-Cyrl-RS"/>
        </w:rPr>
        <w:t>Градишка</w:t>
      </w:r>
      <w:r w:rsidR="00D065D0" w:rsidRPr="00D065D0">
        <w:rPr>
          <w:sz w:val="22"/>
          <w:lang w:val="sr-Cyrl-RS"/>
        </w:rPr>
        <w:t xml:space="preserve">, </w:t>
      </w:r>
      <w:proofErr w:type="spellStart"/>
      <w:r w:rsidRPr="00D065D0">
        <w:rPr>
          <w:sz w:val="22"/>
          <w:lang w:val="sr-Cyrl-RS"/>
        </w:rPr>
        <w:t>Србац</w:t>
      </w:r>
      <w:proofErr w:type="spellEnd"/>
      <w:r w:rsidR="00D065D0" w:rsidRPr="00D065D0">
        <w:rPr>
          <w:sz w:val="22"/>
          <w:lang w:val="sr-Cyrl-RS"/>
        </w:rPr>
        <w:t xml:space="preserve">, </w:t>
      </w:r>
      <w:r w:rsidRPr="00D065D0">
        <w:rPr>
          <w:sz w:val="22"/>
          <w:lang w:val="sr-Cyrl-RS"/>
        </w:rPr>
        <w:t>Лакташи</w:t>
      </w:r>
      <w:r w:rsidR="00D065D0" w:rsidRPr="00D065D0">
        <w:rPr>
          <w:sz w:val="22"/>
          <w:lang w:val="sr-Cyrl-RS"/>
        </w:rPr>
        <w:t xml:space="preserve">, </w:t>
      </w:r>
      <w:r w:rsidRPr="00D065D0">
        <w:rPr>
          <w:sz w:val="22"/>
          <w:lang w:val="sr-Cyrl-RS"/>
        </w:rPr>
        <w:t>Фоча</w:t>
      </w:r>
      <w:r w:rsidR="00D065D0" w:rsidRPr="00D065D0">
        <w:rPr>
          <w:sz w:val="22"/>
          <w:lang w:val="sr-Cyrl-RS"/>
        </w:rPr>
        <w:t xml:space="preserve"> и </w:t>
      </w:r>
      <w:r w:rsidRPr="00D065D0">
        <w:rPr>
          <w:sz w:val="22"/>
          <w:lang w:val="sr-Cyrl-RS"/>
        </w:rPr>
        <w:t>Вишеград.</w:t>
      </w:r>
      <w:r w:rsidR="00D065D0">
        <w:rPr>
          <w:sz w:val="22"/>
          <w:lang w:val="sr-Cyrl-RS"/>
        </w:rPr>
        <w:t xml:space="preserve"> </w:t>
      </w:r>
      <w:r w:rsidR="00751946" w:rsidRPr="000E35F1">
        <w:rPr>
          <w:sz w:val="22"/>
          <w:lang w:val="sr-Cyrl-RS"/>
        </w:rPr>
        <w:t xml:space="preserve">Поред упитника припремљеног само за ову анализу, кориштени су и подаци из истраживања које је спровео </w:t>
      </w:r>
      <w:r w:rsidR="001F76C0">
        <w:rPr>
          <w:sz w:val="22"/>
          <w:lang w:val="en-US"/>
        </w:rPr>
        <w:t>NALAS</w:t>
      </w:r>
      <w:r w:rsidR="001F76C0">
        <w:rPr>
          <w:sz w:val="22"/>
          <w:lang w:val="sr-Cyrl-RS"/>
        </w:rPr>
        <w:t xml:space="preserve"> </w:t>
      </w:r>
      <w:r w:rsidR="002E1145">
        <w:rPr>
          <w:sz w:val="22"/>
          <w:szCs w:val="22"/>
          <w:lang w:val="sr-Cyrl-RS"/>
        </w:rPr>
        <w:t>у југоисточној Европи</w:t>
      </w:r>
      <w:r w:rsidR="001F76C0">
        <w:rPr>
          <w:sz w:val="22"/>
          <w:szCs w:val="22"/>
          <w:lang w:val="sr-Cyrl-RS"/>
        </w:rPr>
        <w:t xml:space="preserve">, а који су </w:t>
      </w:r>
      <w:proofErr w:type="spellStart"/>
      <w:r w:rsidR="001F76C0">
        <w:rPr>
          <w:sz w:val="22"/>
          <w:szCs w:val="22"/>
          <w:lang w:val="sr-Cyrl-RS"/>
        </w:rPr>
        <w:t>прослијеђени</w:t>
      </w:r>
      <w:proofErr w:type="spellEnd"/>
      <w:r w:rsidR="001F76C0">
        <w:rPr>
          <w:sz w:val="22"/>
          <w:szCs w:val="22"/>
          <w:lang w:val="sr-Cyrl-RS"/>
        </w:rPr>
        <w:t xml:space="preserve"> од стране Сав</w:t>
      </w:r>
      <w:r w:rsidR="002E1145">
        <w:rPr>
          <w:sz w:val="22"/>
          <w:szCs w:val="22"/>
          <w:lang w:val="sr-Cyrl-RS"/>
        </w:rPr>
        <w:t>еза</w:t>
      </w:r>
      <w:r w:rsidR="00751946" w:rsidRPr="000E35F1">
        <w:rPr>
          <w:sz w:val="22"/>
          <w:lang w:val="sr-Cyrl-RS"/>
        </w:rPr>
        <w:t>.</w:t>
      </w:r>
    </w:p>
    <w:p w14:paraId="6A4C1C19" w14:textId="77777777" w:rsidR="00D065D0" w:rsidRPr="000E35F1" w:rsidRDefault="00D065D0" w:rsidP="00D065D0">
      <w:pPr>
        <w:spacing w:line="276" w:lineRule="auto"/>
        <w:ind w:firstLine="709"/>
        <w:jc w:val="both"/>
        <w:rPr>
          <w:sz w:val="22"/>
          <w:lang w:val="sr-Cyrl-RS"/>
        </w:rPr>
      </w:pPr>
    </w:p>
    <w:p w14:paraId="37AB405E" w14:textId="04DEDBDA" w:rsidR="00B901F8" w:rsidRDefault="00D065D0" w:rsidP="001B1FE7">
      <w:pPr>
        <w:tabs>
          <w:tab w:val="left" w:pos="709"/>
          <w:tab w:val="left" w:pos="1530"/>
        </w:tabs>
        <w:spacing w:line="276" w:lineRule="auto"/>
        <w:jc w:val="both"/>
        <w:rPr>
          <w:sz w:val="22"/>
          <w:lang w:val="sr-Cyrl-RS"/>
        </w:rPr>
      </w:pPr>
      <w:r>
        <w:rPr>
          <w:sz w:val="22"/>
          <w:lang w:val="sr-Cyrl-RS"/>
        </w:rPr>
        <w:tab/>
      </w:r>
      <w:r w:rsidR="001B1FE7">
        <w:rPr>
          <w:sz w:val="22"/>
          <w:lang w:val="sr-Cyrl-RS"/>
        </w:rPr>
        <w:t xml:space="preserve">Проведена </w:t>
      </w:r>
      <w:proofErr w:type="spellStart"/>
      <w:r w:rsidR="001B1FE7">
        <w:rPr>
          <w:sz w:val="22"/>
          <w:lang w:val="sr-Cyrl-RS"/>
        </w:rPr>
        <w:t>анлиза</w:t>
      </w:r>
      <w:proofErr w:type="spellEnd"/>
      <w:r w:rsidR="001B1FE7">
        <w:rPr>
          <w:sz w:val="22"/>
          <w:lang w:val="sr-Cyrl-RS"/>
        </w:rPr>
        <w:t xml:space="preserve"> показује да је </w:t>
      </w:r>
      <w:r w:rsidR="001B1FE7" w:rsidRPr="00B901F8">
        <w:rPr>
          <w:b/>
          <w:bCs/>
          <w:i/>
          <w:iCs/>
          <w:sz w:val="22"/>
          <w:lang w:val="sr-Cyrl-RS"/>
        </w:rPr>
        <w:t xml:space="preserve">криза изазвана </w:t>
      </w:r>
      <w:proofErr w:type="spellStart"/>
      <w:r w:rsidR="001B1FE7" w:rsidRPr="00B901F8">
        <w:rPr>
          <w:b/>
          <w:bCs/>
          <w:i/>
          <w:iCs/>
          <w:sz w:val="22"/>
          <w:lang w:val="sr-Cyrl-RS"/>
        </w:rPr>
        <w:t>пандемијом</w:t>
      </w:r>
      <w:proofErr w:type="spellEnd"/>
      <w:r w:rsidR="001B1FE7" w:rsidRPr="00B901F8">
        <w:rPr>
          <w:b/>
          <w:bCs/>
          <w:i/>
          <w:iCs/>
          <w:sz w:val="22"/>
          <w:lang w:val="sr-Cyrl-RS"/>
        </w:rPr>
        <w:t xml:space="preserve"> </w:t>
      </w:r>
      <w:r w:rsidR="001B1FE7" w:rsidRPr="00B901F8">
        <w:rPr>
          <w:b/>
          <w:bCs/>
          <w:i/>
          <w:iCs/>
          <w:sz w:val="22"/>
          <w:lang w:val="en-US"/>
        </w:rPr>
        <w:t xml:space="preserve">COVID-19 </w:t>
      </w:r>
      <w:r w:rsidR="001B1FE7" w:rsidRPr="00B901F8">
        <w:rPr>
          <w:b/>
          <w:bCs/>
          <w:i/>
          <w:iCs/>
          <w:sz w:val="22"/>
          <w:lang w:val="sr-Cyrl-RS"/>
        </w:rPr>
        <w:t xml:space="preserve"> имала јак негативан утицај на финансије свих ЈЛС</w:t>
      </w:r>
      <w:r w:rsidR="001B1FE7" w:rsidRPr="000E35F1">
        <w:rPr>
          <w:sz w:val="22"/>
          <w:lang w:val="sr-Cyrl-RS"/>
        </w:rPr>
        <w:t>, без обзира на степен развијености и величину,</w:t>
      </w:r>
      <w:r w:rsidR="001B1FE7">
        <w:rPr>
          <w:sz w:val="22"/>
          <w:lang w:val="sr-Cyrl-RS"/>
        </w:rPr>
        <w:t xml:space="preserve"> те да је </w:t>
      </w:r>
      <w:r w:rsidR="001B1FE7" w:rsidRPr="000E35F1">
        <w:rPr>
          <w:sz w:val="22"/>
          <w:lang w:val="sr-Cyrl-RS"/>
        </w:rPr>
        <w:t>н</w:t>
      </w:r>
      <w:r w:rsidR="001B1FE7">
        <w:rPr>
          <w:sz w:val="22"/>
          <w:lang w:val="sr-Cyrl-RS"/>
        </w:rPr>
        <w:t xml:space="preserve">ајвећи проблем за све ЈЛС </w:t>
      </w:r>
      <w:r w:rsidR="001B1FE7" w:rsidRPr="000E35F1">
        <w:rPr>
          <w:sz w:val="22"/>
          <w:lang w:val="sr-Cyrl-RS"/>
        </w:rPr>
        <w:t>недостатак финансијских средстава</w:t>
      </w:r>
      <w:r w:rsidR="001B1FE7">
        <w:rPr>
          <w:sz w:val="22"/>
          <w:lang w:val="sr-Latn-RS"/>
        </w:rPr>
        <w:t xml:space="preserve"> </w:t>
      </w:r>
      <w:r w:rsidR="001B1FE7">
        <w:rPr>
          <w:sz w:val="22"/>
          <w:lang w:val="sr-Cyrl-RS"/>
        </w:rPr>
        <w:t>због значајног пада прихода.</w:t>
      </w:r>
      <w:r w:rsidR="001B1FE7" w:rsidRPr="000E35F1">
        <w:rPr>
          <w:sz w:val="22"/>
          <w:lang w:val="sr-Cyrl-RS"/>
        </w:rPr>
        <w:t xml:space="preserve"> </w:t>
      </w:r>
      <w:r w:rsidR="001F0ECC">
        <w:rPr>
          <w:sz w:val="22"/>
          <w:lang w:val="sr-Cyrl-RS"/>
        </w:rPr>
        <w:t xml:space="preserve">У раду су </w:t>
      </w:r>
      <w:r w:rsidR="001F0ECC" w:rsidRPr="00B901F8">
        <w:rPr>
          <w:b/>
          <w:bCs/>
          <w:i/>
          <w:iCs/>
          <w:sz w:val="22"/>
          <w:lang w:val="sr-Cyrl-RS"/>
        </w:rPr>
        <w:t xml:space="preserve">анализиране </w:t>
      </w:r>
      <w:proofErr w:type="spellStart"/>
      <w:r w:rsidR="001F0ECC" w:rsidRPr="00B901F8">
        <w:rPr>
          <w:b/>
          <w:bCs/>
          <w:i/>
          <w:iCs/>
          <w:sz w:val="22"/>
          <w:lang w:val="sr-Cyrl-RS"/>
        </w:rPr>
        <w:t>мјере</w:t>
      </w:r>
      <w:proofErr w:type="spellEnd"/>
      <w:r w:rsidR="001F0ECC" w:rsidRPr="00B901F8">
        <w:rPr>
          <w:b/>
          <w:bCs/>
          <w:i/>
          <w:iCs/>
          <w:sz w:val="22"/>
          <w:lang w:val="sr-Cyrl-RS"/>
        </w:rPr>
        <w:t xml:space="preserve"> </w:t>
      </w:r>
      <w:r w:rsidR="00627B10" w:rsidRPr="00B901F8">
        <w:rPr>
          <w:b/>
          <w:bCs/>
          <w:i/>
          <w:iCs/>
          <w:sz w:val="22"/>
          <w:lang w:val="sr-Cyrl-RS"/>
        </w:rPr>
        <w:t>које су предузеле анкетиране ЈЛС у периоду кризе</w:t>
      </w:r>
      <w:r w:rsidR="00627B10">
        <w:rPr>
          <w:sz w:val="22"/>
          <w:lang w:val="sr-Cyrl-RS"/>
        </w:rPr>
        <w:t>, као и њихови ставови и</w:t>
      </w:r>
      <w:r w:rsidR="001F0ECC">
        <w:rPr>
          <w:sz w:val="22"/>
          <w:lang w:val="sr-Cyrl-RS"/>
        </w:rPr>
        <w:t xml:space="preserve"> </w:t>
      </w:r>
      <w:r w:rsidR="0003241B">
        <w:rPr>
          <w:sz w:val="22"/>
          <w:lang w:val="sr-Cyrl-RS"/>
        </w:rPr>
        <w:t>мишљења</w:t>
      </w:r>
      <w:r w:rsidR="00F94B30">
        <w:rPr>
          <w:sz w:val="22"/>
          <w:lang w:val="sr-Cyrl-RS"/>
        </w:rPr>
        <w:t xml:space="preserve"> у вези са најзначајнијим изазовима</w:t>
      </w:r>
      <w:r w:rsidR="00627B10">
        <w:rPr>
          <w:sz w:val="22"/>
          <w:lang w:val="sr-Cyrl-RS"/>
        </w:rPr>
        <w:t xml:space="preserve"> у суочавању са кризом. </w:t>
      </w:r>
    </w:p>
    <w:p w14:paraId="74A4FBD4" w14:textId="77777777" w:rsidR="00D065D0" w:rsidRDefault="00D065D0" w:rsidP="001B1FE7">
      <w:pPr>
        <w:tabs>
          <w:tab w:val="left" w:pos="709"/>
          <w:tab w:val="left" w:pos="1530"/>
        </w:tabs>
        <w:spacing w:line="276" w:lineRule="auto"/>
        <w:jc w:val="both"/>
        <w:rPr>
          <w:sz w:val="22"/>
          <w:lang w:val="sr-Cyrl-RS"/>
        </w:rPr>
      </w:pPr>
    </w:p>
    <w:p w14:paraId="0FA12E40" w14:textId="418CBC86" w:rsidR="00D065D0" w:rsidRDefault="00D065D0" w:rsidP="00D065D0">
      <w:pPr>
        <w:tabs>
          <w:tab w:val="left" w:pos="709"/>
          <w:tab w:val="left" w:pos="1530"/>
        </w:tabs>
        <w:spacing w:line="276" w:lineRule="auto"/>
        <w:jc w:val="both"/>
        <w:rPr>
          <w:sz w:val="22"/>
          <w:lang w:val="sr-Cyrl-RS"/>
        </w:rPr>
      </w:pPr>
      <w:bookmarkStart w:id="1" w:name="_Hlk56502750"/>
      <w:r>
        <w:rPr>
          <w:sz w:val="22"/>
          <w:lang w:val="sr-Cyrl-RS"/>
        </w:rPr>
        <w:tab/>
      </w:r>
      <w:r w:rsidR="00217EF3">
        <w:rPr>
          <w:sz w:val="22"/>
          <w:lang w:val="sr-Cyrl-RS"/>
        </w:rPr>
        <w:t>На основу</w:t>
      </w:r>
      <w:r>
        <w:rPr>
          <w:sz w:val="22"/>
          <w:lang w:val="sr-Cyrl-RS"/>
        </w:rPr>
        <w:t xml:space="preserve"> проведених истраживања, </w:t>
      </w:r>
      <w:r w:rsidR="00183672">
        <w:rPr>
          <w:sz w:val="22"/>
          <w:lang w:val="sr-Cyrl-RS"/>
        </w:rPr>
        <w:t xml:space="preserve">у поглављу 6. ове анализе, </w:t>
      </w:r>
      <w:r>
        <w:rPr>
          <w:sz w:val="22"/>
          <w:lang w:val="sr-Cyrl-RS"/>
        </w:rPr>
        <w:t xml:space="preserve">дат је већи број </w:t>
      </w:r>
      <w:r w:rsidR="00183672">
        <w:rPr>
          <w:sz w:val="22"/>
          <w:lang w:val="sr-Cyrl-RS"/>
        </w:rPr>
        <w:t xml:space="preserve">детаљних </w:t>
      </w:r>
      <w:r>
        <w:rPr>
          <w:sz w:val="22"/>
          <w:lang w:val="sr-Cyrl-RS"/>
        </w:rPr>
        <w:t>препорука</w:t>
      </w:r>
      <w:r w:rsidR="00183672">
        <w:rPr>
          <w:sz w:val="22"/>
          <w:lang w:val="sr-Cyrl-RS"/>
        </w:rPr>
        <w:t xml:space="preserve"> са додатним образложењем,</w:t>
      </w:r>
      <w:r>
        <w:rPr>
          <w:sz w:val="22"/>
          <w:lang w:val="sr-Cyrl-RS"/>
        </w:rPr>
        <w:t xml:space="preserve"> </w:t>
      </w:r>
      <w:r w:rsidR="00183672">
        <w:rPr>
          <w:sz w:val="22"/>
          <w:lang w:val="sr-Cyrl-RS"/>
        </w:rPr>
        <w:t xml:space="preserve">а </w:t>
      </w:r>
      <w:r>
        <w:rPr>
          <w:sz w:val="22"/>
          <w:lang w:val="sr-Cyrl-RS"/>
        </w:rPr>
        <w:t xml:space="preserve">сљедеће </w:t>
      </w:r>
      <w:r w:rsidRPr="00B901F8">
        <w:rPr>
          <w:b/>
          <w:bCs/>
          <w:i/>
          <w:iCs/>
          <w:sz w:val="22"/>
          <w:lang w:val="sr-Cyrl-RS"/>
        </w:rPr>
        <w:t>препоруке</w:t>
      </w:r>
      <w:r>
        <w:rPr>
          <w:sz w:val="22"/>
          <w:lang w:val="sr-Cyrl-RS"/>
        </w:rPr>
        <w:t xml:space="preserve"> се могу </w:t>
      </w:r>
      <w:r w:rsidRPr="000E35F1">
        <w:rPr>
          <w:sz w:val="22"/>
          <w:lang w:val="sr-Cyrl-RS"/>
        </w:rPr>
        <w:t>сматрати најважнијим</w:t>
      </w:r>
      <w:r>
        <w:rPr>
          <w:sz w:val="22"/>
          <w:lang w:val="sr-Latn-RS"/>
        </w:rPr>
        <w:t>:</w:t>
      </w:r>
      <w:r w:rsidRPr="000E35F1">
        <w:rPr>
          <w:sz w:val="22"/>
          <w:lang w:val="sr-Cyrl-RS"/>
        </w:rPr>
        <w:t xml:space="preserve">  </w:t>
      </w:r>
    </w:p>
    <w:p w14:paraId="357808F8" w14:textId="77777777" w:rsidR="00D065D0" w:rsidRPr="000E35F1" w:rsidRDefault="00D065D0" w:rsidP="00D065D0">
      <w:pPr>
        <w:tabs>
          <w:tab w:val="left" w:pos="709"/>
          <w:tab w:val="left" w:pos="1530"/>
        </w:tabs>
        <w:spacing w:line="276" w:lineRule="auto"/>
        <w:jc w:val="both"/>
        <w:rPr>
          <w:sz w:val="22"/>
          <w:lang w:val="sr-Cyrl-RS"/>
        </w:rPr>
      </w:pPr>
    </w:p>
    <w:p w14:paraId="58FCE304" w14:textId="3468877F" w:rsidR="00D065D0" w:rsidRDefault="005F1D81" w:rsidP="00D065D0">
      <w:pPr>
        <w:pStyle w:val="ListParagraph"/>
        <w:numPr>
          <w:ilvl w:val="0"/>
          <w:numId w:val="11"/>
        </w:numPr>
        <w:tabs>
          <w:tab w:val="left" w:pos="709"/>
          <w:tab w:val="left" w:pos="1530"/>
        </w:tabs>
        <w:spacing w:line="276" w:lineRule="auto"/>
        <w:jc w:val="both"/>
        <w:rPr>
          <w:sz w:val="22"/>
          <w:lang w:val="sr-Cyrl-RS"/>
        </w:rPr>
      </w:pPr>
      <w:r>
        <w:rPr>
          <w:sz w:val="22"/>
          <w:lang w:val="sr-Cyrl-RS"/>
        </w:rPr>
        <w:t xml:space="preserve">неопходно је </w:t>
      </w:r>
      <w:r w:rsidR="00D065D0" w:rsidRPr="00B901F8">
        <w:rPr>
          <w:sz w:val="22"/>
          <w:lang w:val="sr-Cyrl-RS"/>
        </w:rPr>
        <w:t>по</w:t>
      </w:r>
      <w:r w:rsidR="00F508C6">
        <w:rPr>
          <w:sz w:val="22"/>
          <w:lang w:val="sr-Cyrl-RS"/>
        </w:rPr>
        <w:t>бољшати</w:t>
      </w:r>
      <w:r w:rsidR="00D065D0" w:rsidRPr="00B901F8">
        <w:rPr>
          <w:sz w:val="22"/>
          <w:lang w:val="sr-Cyrl-RS"/>
        </w:rPr>
        <w:t xml:space="preserve"> координациј</w:t>
      </w:r>
      <w:r w:rsidR="00F508C6">
        <w:rPr>
          <w:sz w:val="22"/>
          <w:lang w:val="sr-Cyrl-RS"/>
        </w:rPr>
        <w:t>у</w:t>
      </w:r>
      <w:r w:rsidR="00F934F7">
        <w:rPr>
          <w:sz w:val="22"/>
          <w:lang w:val="sr-Cyrl-RS"/>
        </w:rPr>
        <w:t xml:space="preserve"> на свим нивоима власти, те</w:t>
      </w:r>
      <w:r w:rsidR="00D065D0" w:rsidRPr="00B901F8">
        <w:rPr>
          <w:sz w:val="22"/>
          <w:lang w:val="sr-Cyrl-RS"/>
        </w:rPr>
        <w:t xml:space="preserve"> степен </w:t>
      </w:r>
      <w:r w:rsidR="00217EF3">
        <w:rPr>
          <w:sz w:val="22"/>
          <w:lang w:val="sr-Cyrl-RS"/>
        </w:rPr>
        <w:t xml:space="preserve">консултација </w:t>
      </w:r>
      <w:r w:rsidR="00F934F7">
        <w:rPr>
          <w:sz w:val="22"/>
          <w:lang w:val="sr-Cyrl-RS"/>
        </w:rPr>
        <w:t xml:space="preserve">и информисаности између Владе РС, </w:t>
      </w:r>
      <w:r w:rsidR="00D065D0" w:rsidRPr="00B901F8">
        <w:rPr>
          <w:sz w:val="22"/>
          <w:lang w:val="sr-Cyrl-RS"/>
        </w:rPr>
        <w:t>ЈЛС</w:t>
      </w:r>
      <w:r w:rsidR="00F934F7">
        <w:rPr>
          <w:sz w:val="22"/>
          <w:lang w:val="sr-Cyrl-RS"/>
        </w:rPr>
        <w:t xml:space="preserve"> и осталих институција</w:t>
      </w:r>
      <w:r w:rsidR="00D065D0" w:rsidRPr="00B901F8">
        <w:rPr>
          <w:sz w:val="22"/>
          <w:lang w:val="sr-Cyrl-RS"/>
        </w:rPr>
        <w:t>;</w:t>
      </w:r>
    </w:p>
    <w:p w14:paraId="789DF0E2" w14:textId="13C887BE" w:rsidR="00D065D0" w:rsidRPr="005261BA" w:rsidRDefault="00C277C3" w:rsidP="00D065D0">
      <w:pPr>
        <w:pStyle w:val="ListParagraph"/>
        <w:numPr>
          <w:ilvl w:val="0"/>
          <w:numId w:val="11"/>
        </w:numPr>
        <w:tabs>
          <w:tab w:val="left" w:pos="709"/>
          <w:tab w:val="left" w:pos="1530"/>
        </w:tabs>
        <w:spacing w:line="276" w:lineRule="auto"/>
        <w:jc w:val="both"/>
        <w:rPr>
          <w:sz w:val="22"/>
          <w:lang w:val="sr-Cyrl-RS"/>
        </w:rPr>
      </w:pPr>
      <w:r>
        <w:rPr>
          <w:bCs/>
          <w:sz w:val="22"/>
          <w:lang w:val="sr-Cyrl-RS" w:eastAsia="en-US"/>
        </w:rPr>
        <w:t>криза је потенцирала потребу</w:t>
      </w:r>
      <w:r w:rsidR="00982FB9">
        <w:rPr>
          <w:bCs/>
          <w:sz w:val="22"/>
          <w:lang w:val="sr-Cyrl-RS" w:eastAsia="en-US"/>
        </w:rPr>
        <w:t xml:space="preserve"> </w:t>
      </w:r>
      <w:r>
        <w:rPr>
          <w:bCs/>
          <w:sz w:val="22"/>
          <w:lang w:val="sr-Cyrl-RS" w:eastAsia="en-US"/>
        </w:rPr>
        <w:t>веће</w:t>
      </w:r>
      <w:r w:rsidR="005F1D81">
        <w:rPr>
          <w:bCs/>
          <w:sz w:val="22"/>
          <w:lang w:val="sr-Cyrl-RS" w:eastAsia="en-US"/>
        </w:rPr>
        <w:t xml:space="preserve"> </w:t>
      </w:r>
      <w:r w:rsidR="00D065D0" w:rsidRPr="00B901F8">
        <w:rPr>
          <w:bCs/>
          <w:sz w:val="22"/>
          <w:lang w:val="sr-Cyrl-RS" w:eastAsia="en-US"/>
        </w:rPr>
        <w:t>транспарентност</w:t>
      </w:r>
      <w:r w:rsidR="00F934F7">
        <w:rPr>
          <w:bCs/>
          <w:sz w:val="22"/>
          <w:lang w:val="sr-Cyrl-RS" w:eastAsia="en-US"/>
        </w:rPr>
        <w:t>и</w:t>
      </w:r>
      <w:r w:rsidR="00D065D0" w:rsidRPr="00B901F8">
        <w:rPr>
          <w:bCs/>
          <w:sz w:val="22"/>
          <w:lang w:val="sr-Cyrl-RS" w:eastAsia="en-US"/>
        </w:rPr>
        <w:t xml:space="preserve"> и партиципациј</w:t>
      </w:r>
      <w:r w:rsidR="00CD274D">
        <w:rPr>
          <w:bCs/>
          <w:sz w:val="22"/>
          <w:lang w:val="sr-Cyrl-RS" w:eastAsia="en-US"/>
        </w:rPr>
        <w:t>е</w:t>
      </w:r>
      <w:r w:rsidR="00D065D0" w:rsidRPr="00B901F8">
        <w:rPr>
          <w:bCs/>
          <w:sz w:val="22"/>
          <w:lang w:val="sr-Cyrl-RS" w:eastAsia="en-US"/>
        </w:rPr>
        <w:t xml:space="preserve"> јавности</w:t>
      </w:r>
      <w:r w:rsidR="00A36968">
        <w:rPr>
          <w:bCs/>
          <w:sz w:val="22"/>
          <w:lang w:val="sr-Cyrl-RS" w:eastAsia="en-US"/>
        </w:rPr>
        <w:t xml:space="preserve"> (грађана, невладиног сектора и других)</w:t>
      </w:r>
      <w:r w:rsidR="00D065D0" w:rsidRPr="00B901F8">
        <w:rPr>
          <w:bCs/>
          <w:sz w:val="22"/>
          <w:lang w:val="sr-Cyrl-RS" w:eastAsia="en-US"/>
        </w:rPr>
        <w:t xml:space="preserve"> у планирању и трошењу буџетских средстава на нивоу ЈЛС</w:t>
      </w:r>
      <w:r w:rsidR="00F934F7">
        <w:rPr>
          <w:bCs/>
          <w:sz w:val="22"/>
          <w:lang w:val="sr-Cyrl-RS" w:eastAsia="en-US"/>
        </w:rPr>
        <w:t xml:space="preserve"> и указала на потребу унапређења </w:t>
      </w:r>
      <w:r w:rsidR="00F934F7" w:rsidRPr="005202DD">
        <w:rPr>
          <w:sz w:val="22"/>
          <w:szCs w:val="22"/>
          <w:lang w:val="sr-Cyrl-RS"/>
        </w:rPr>
        <w:t xml:space="preserve"> систем</w:t>
      </w:r>
      <w:r w:rsidR="00F934F7">
        <w:rPr>
          <w:sz w:val="22"/>
          <w:szCs w:val="22"/>
          <w:lang w:val="sr-Cyrl-RS"/>
        </w:rPr>
        <w:t>а</w:t>
      </w:r>
      <w:r w:rsidR="00F934F7" w:rsidRPr="005202DD">
        <w:rPr>
          <w:sz w:val="22"/>
          <w:szCs w:val="22"/>
          <w:lang w:val="sr-Cyrl-RS"/>
        </w:rPr>
        <w:t xml:space="preserve"> обавезног и континуираног прикупљања, обраде и јавно</w:t>
      </w:r>
      <w:r w:rsidR="00F934F7">
        <w:rPr>
          <w:sz w:val="22"/>
          <w:szCs w:val="22"/>
          <w:lang w:val="sr-Cyrl-RS"/>
        </w:rPr>
        <w:t>г</w:t>
      </w:r>
      <w:r w:rsidR="00F934F7" w:rsidRPr="005202DD">
        <w:rPr>
          <w:sz w:val="22"/>
          <w:szCs w:val="22"/>
          <w:lang w:val="sr-Cyrl-RS"/>
        </w:rPr>
        <w:t xml:space="preserve"> објављивања  података о буџетима свих ЈЛС у РС</w:t>
      </w:r>
      <w:r w:rsidR="00D065D0">
        <w:rPr>
          <w:bCs/>
          <w:sz w:val="22"/>
          <w:lang w:val="sr-Cyrl-RS" w:eastAsia="en-US"/>
        </w:rPr>
        <w:t>;</w:t>
      </w:r>
    </w:p>
    <w:p w14:paraId="5E2F0589" w14:textId="32A0A5CE" w:rsidR="00D065D0" w:rsidRPr="00B901F8" w:rsidRDefault="00217EF3" w:rsidP="00D065D0">
      <w:pPr>
        <w:pStyle w:val="ListParagraph"/>
        <w:numPr>
          <w:ilvl w:val="0"/>
          <w:numId w:val="11"/>
        </w:numPr>
        <w:tabs>
          <w:tab w:val="left" w:pos="709"/>
          <w:tab w:val="left" w:pos="1530"/>
        </w:tabs>
        <w:spacing w:line="276" w:lineRule="auto"/>
        <w:jc w:val="both"/>
        <w:rPr>
          <w:sz w:val="22"/>
          <w:lang w:val="sr-Cyrl-RS"/>
        </w:rPr>
      </w:pPr>
      <w:r>
        <w:rPr>
          <w:bCs/>
          <w:sz w:val="22"/>
          <w:lang w:val="sr-Cyrl-RS" w:eastAsia="en-US"/>
        </w:rPr>
        <w:t xml:space="preserve">потребно је повећати степен дигитализације јавне управе у </w:t>
      </w:r>
      <w:proofErr w:type="spellStart"/>
      <w:r>
        <w:rPr>
          <w:bCs/>
          <w:sz w:val="22"/>
          <w:lang w:val="sr-Cyrl-RS" w:eastAsia="en-US"/>
        </w:rPr>
        <w:t>цијелини</w:t>
      </w:r>
      <w:proofErr w:type="spellEnd"/>
      <w:r>
        <w:rPr>
          <w:bCs/>
          <w:sz w:val="22"/>
          <w:lang w:val="sr-Cyrl-RS" w:eastAsia="en-US"/>
        </w:rPr>
        <w:t xml:space="preserve">, односно, </w:t>
      </w:r>
      <w:r w:rsidR="00D065D0">
        <w:rPr>
          <w:bCs/>
          <w:sz w:val="22"/>
          <w:lang w:val="sr-Cyrl-RS" w:eastAsia="en-US"/>
        </w:rPr>
        <w:t xml:space="preserve">користити </w:t>
      </w:r>
      <w:r w:rsidR="00D065D0" w:rsidRPr="00B901F8">
        <w:rPr>
          <w:bCs/>
          <w:sz w:val="22"/>
          <w:lang w:val="sr-Cyrl-RS" w:eastAsia="en-US"/>
        </w:rPr>
        <w:t xml:space="preserve">предности дигиталне </w:t>
      </w:r>
      <w:proofErr w:type="spellStart"/>
      <w:r w:rsidR="00D065D0" w:rsidRPr="00B901F8">
        <w:rPr>
          <w:bCs/>
          <w:sz w:val="22"/>
          <w:lang w:val="sr-Cyrl-RS" w:eastAsia="en-US"/>
        </w:rPr>
        <w:t>к</w:t>
      </w:r>
      <w:r w:rsidR="00F934F7">
        <w:rPr>
          <w:bCs/>
          <w:sz w:val="22"/>
          <w:lang w:val="sr-Cyrl-RS" w:eastAsia="en-US"/>
        </w:rPr>
        <w:t>омуни</w:t>
      </w:r>
      <w:r>
        <w:rPr>
          <w:bCs/>
          <w:sz w:val="22"/>
          <w:lang w:val="sr-Cyrl-RS" w:eastAsia="en-US"/>
        </w:rPr>
        <w:t>кције</w:t>
      </w:r>
      <w:proofErr w:type="spellEnd"/>
      <w:r>
        <w:rPr>
          <w:bCs/>
          <w:sz w:val="22"/>
          <w:lang w:val="sr-Cyrl-RS" w:eastAsia="en-US"/>
        </w:rPr>
        <w:t xml:space="preserve"> са грађанима и </w:t>
      </w:r>
      <w:proofErr w:type="spellStart"/>
      <w:r>
        <w:rPr>
          <w:bCs/>
          <w:sz w:val="22"/>
          <w:lang w:val="sr-Cyrl-RS" w:eastAsia="en-US"/>
        </w:rPr>
        <w:t>обезбиједити</w:t>
      </w:r>
      <w:proofErr w:type="spellEnd"/>
      <w:r w:rsidR="00D065D0" w:rsidRPr="00B901F8">
        <w:rPr>
          <w:bCs/>
          <w:sz w:val="22"/>
          <w:lang w:val="sr-Cyrl-RS" w:eastAsia="en-US"/>
        </w:rPr>
        <w:t xml:space="preserve"> различит</w:t>
      </w:r>
      <w:r>
        <w:rPr>
          <w:bCs/>
          <w:sz w:val="22"/>
          <w:lang w:val="sr-Cyrl-RS" w:eastAsia="en-US"/>
        </w:rPr>
        <w:t>е</w:t>
      </w:r>
      <w:r w:rsidR="00D065D0" w:rsidRPr="00B901F8">
        <w:rPr>
          <w:bCs/>
          <w:sz w:val="22"/>
          <w:lang w:val="sr-Cyrl-RS" w:eastAsia="en-US"/>
        </w:rPr>
        <w:t xml:space="preserve"> </w:t>
      </w:r>
      <w:r w:rsidR="00D065D0" w:rsidRPr="00B901F8">
        <w:rPr>
          <w:bCs/>
          <w:sz w:val="22"/>
          <w:lang w:val="en-US" w:eastAsia="en-US"/>
        </w:rPr>
        <w:t>online</w:t>
      </w:r>
      <w:r w:rsidR="00D065D0" w:rsidRPr="00B901F8">
        <w:rPr>
          <w:bCs/>
          <w:sz w:val="22"/>
          <w:lang w:val="sr-Cyrl-RS" w:eastAsia="en-US"/>
        </w:rPr>
        <w:t xml:space="preserve"> платформ</w:t>
      </w:r>
      <w:r>
        <w:rPr>
          <w:bCs/>
          <w:sz w:val="22"/>
          <w:lang w:val="sr-Cyrl-RS" w:eastAsia="en-US"/>
        </w:rPr>
        <w:t>е</w:t>
      </w:r>
      <w:r w:rsidR="00F51D5B">
        <w:rPr>
          <w:bCs/>
          <w:sz w:val="22"/>
          <w:lang w:val="sr-Cyrl-RS" w:eastAsia="en-US"/>
        </w:rPr>
        <w:t xml:space="preserve"> и сл.</w:t>
      </w:r>
      <w:r w:rsidR="00D065D0" w:rsidRPr="00B901F8">
        <w:rPr>
          <w:bCs/>
          <w:sz w:val="22"/>
          <w:lang w:val="sr-Cyrl-RS" w:eastAsia="en-US"/>
        </w:rPr>
        <w:t>;</w:t>
      </w:r>
    </w:p>
    <w:p w14:paraId="4CF4474A" w14:textId="3B21AFAB" w:rsidR="00D065D0" w:rsidRPr="00F51D5B"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bCs/>
          <w:sz w:val="22"/>
          <w:lang w:val="sr-Cyrl-RS" w:eastAsia="en-US"/>
        </w:rPr>
        <w:t xml:space="preserve">дугорочно </w:t>
      </w:r>
      <w:r w:rsidR="005F1D81">
        <w:rPr>
          <w:bCs/>
          <w:sz w:val="22"/>
          <w:lang w:val="sr-Cyrl-RS" w:eastAsia="en-US"/>
        </w:rPr>
        <w:t xml:space="preserve">и средњорочно </w:t>
      </w:r>
      <w:r w:rsidR="00982FB9">
        <w:rPr>
          <w:bCs/>
          <w:sz w:val="22"/>
          <w:lang w:val="sr-Cyrl-RS" w:eastAsia="en-US"/>
        </w:rPr>
        <w:t xml:space="preserve">(трогодишње) </w:t>
      </w:r>
      <w:r w:rsidRPr="00B901F8">
        <w:rPr>
          <w:bCs/>
          <w:sz w:val="22"/>
          <w:lang w:val="sr-Cyrl-RS" w:eastAsia="en-US"/>
        </w:rPr>
        <w:t>планирање</w:t>
      </w:r>
      <w:r w:rsidR="00F51D5B">
        <w:rPr>
          <w:bCs/>
          <w:sz w:val="22"/>
          <w:lang w:val="sr-Cyrl-RS" w:eastAsia="en-US"/>
        </w:rPr>
        <w:t>-буџетирање</w:t>
      </w:r>
      <w:r w:rsidRPr="00B901F8">
        <w:rPr>
          <w:bCs/>
          <w:sz w:val="22"/>
          <w:lang w:val="sr-Cyrl-RS" w:eastAsia="en-US"/>
        </w:rPr>
        <w:t xml:space="preserve">, постојање </w:t>
      </w:r>
      <w:r w:rsidR="00F934F7">
        <w:rPr>
          <w:bCs/>
          <w:sz w:val="22"/>
          <w:lang w:val="sr-Cyrl-RS" w:eastAsia="en-US"/>
        </w:rPr>
        <w:t xml:space="preserve">и ревидирање </w:t>
      </w:r>
      <w:r w:rsidRPr="00B901F8">
        <w:rPr>
          <w:bCs/>
          <w:sz w:val="22"/>
          <w:lang w:val="sr-Cyrl-RS" w:eastAsia="en-US"/>
        </w:rPr>
        <w:t>стратешких докумената у периодима кризе, показује се као битан фактор стабилности у функционисању ЈЛС</w:t>
      </w:r>
      <w:r>
        <w:rPr>
          <w:bCs/>
          <w:sz w:val="22"/>
          <w:lang w:val="sr-Cyrl-RS" w:eastAsia="en-US"/>
        </w:rPr>
        <w:t>;</w:t>
      </w:r>
    </w:p>
    <w:p w14:paraId="38BFABAD" w14:textId="4811878B" w:rsidR="00F51D5B" w:rsidRPr="00B901F8" w:rsidRDefault="00CD274D" w:rsidP="00D065D0">
      <w:pPr>
        <w:pStyle w:val="ListParagraph"/>
        <w:numPr>
          <w:ilvl w:val="0"/>
          <w:numId w:val="11"/>
        </w:numPr>
        <w:tabs>
          <w:tab w:val="left" w:pos="709"/>
          <w:tab w:val="left" w:pos="1530"/>
        </w:tabs>
        <w:spacing w:line="276" w:lineRule="auto"/>
        <w:jc w:val="both"/>
        <w:rPr>
          <w:sz w:val="22"/>
          <w:lang w:val="sr-Cyrl-RS"/>
        </w:rPr>
      </w:pPr>
      <w:r>
        <w:rPr>
          <w:bCs/>
          <w:sz w:val="22"/>
          <w:lang w:val="sr-Cyrl-RS" w:eastAsia="en-US"/>
        </w:rPr>
        <w:t xml:space="preserve">значајно је </w:t>
      </w:r>
      <w:r w:rsidR="00F51D5B">
        <w:rPr>
          <w:bCs/>
          <w:sz w:val="22"/>
          <w:lang w:val="sr-Cyrl-RS" w:eastAsia="en-US"/>
        </w:rPr>
        <w:t xml:space="preserve">подржати што хитније усвајање Закона о стратешком планирању и управљању развојем у РС, као системском закону, који ће једнообразно уредити ову област и </w:t>
      </w:r>
      <w:proofErr w:type="spellStart"/>
      <w:r w:rsidR="00F51D5B">
        <w:rPr>
          <w:bCs/>
          <w:sz w:val="22"/>
          <w:lang w:val="sr-Cyrl-RS" w:eastAsia="en-US"/>
        </w:rPr>
        <w:t>обезбиједити</w:t>
      </w:r>
      <w:proofErr w:type="spellEnd"/>
      <w:r w:rsidR="00F51D5B">
        <w:rPr>
          <w:bCs/>
          <w:sz w:val="22"/>
          <w:lang w:val="sr-Cyrl-RS" w:eastAsia="en-US"/>
        </w:rPr>
        <w:t xml:space="preserve"> бољу координацију свих нивоа власти у стратешком планирању и управљању развојем; </w:t>
      </w:r>
    </w:p>
    <w:p w14:paraId="525FB8A6" w14:textId="0BAE0536" w:rsidR="00D065D0" w:rsidRPr="00FC5D02" w:rsidRDefault="00F934F7" w:rsidP="00D065D0">
      <w:pPr>
        <w:pStyle w:val="ListParagraph"/>
        <w:numPr>
          <w:ilvl w:val="0"/>
          <w:numId w:val="11"/>
        </w:numPr>
        <w:tabs>
          <w:tab w:val="left" w:pos="709"/>
          <w:tab w:val="left" w:pos="1530"/>
        </w:tabs>
        <w:spacing w:line="276" w:lineRule="auto"/>
        <w:jc w:val="both"/>
        <w:rPr>
          <w:sz w:val="22"/>
          <w:lang w:val="sr-Cyrl-RS"/>
        </w:rPr>
      </w:pPr>
      <w:r>
        <w:rPr>
          <w:bCs/>
          <w:sz w:val="22"/>
          <w:lang w:val="sr-Cyrl-RS" w:eastAsia="en-US"/>
        </w:rPr>
        <w:t xml:space="preserve">као прве </w:t>
      </w:r>
      <w:proofErr w:type="spellStart"/>
      <w:r>
        <w:rPr>
          <w:bCs/>
          <w:sz w:val="22"/>
          <w:lang w:val="sr-Cyrl-RS" w:eastAsia="en-US"/>
        </w:rPr>
        <w:t>мјере</w:t>
      </w:r>
      <w:proofErr w:type="spellEnd"/>
      <w:r w:rsidR="00D065D0" w:rsidRPr="00B901F8">
        <w:rPr>
          <w:bCs/>
          <w:sz w:val="22"/>
          <w:lang w:val="sr-Cyrl-RS" w:eastAsia="en-US"/>
        </w:rPr>
        <w:t xml:space="preserve"> реакције у случају кризе </w:t>
      </w:r>
      <w:r w:rsidR="00087862">
        <w:rPr>
          <w:bCs/>
          <w:sz w:val="22"/>
          <w:lang w:val="sr-Cyrl-RS" w:eastAsia="en-US"/>
        </w:rPr>
        <w:t xml:space="preserve">и пада прихода </w:t>
      </w:r>
      <w:r w:rsidR="000275BF">
        <w:rPr>
          <w:bCs/>
          <w:sz w:val="22"/>
          <w:lang w:val="sr-Cyrl-RS" w:eastAsia="en-US"/>
        </w:rPr>
        <w:t xml:space="preserve">потребно је </w:t>
      </w:r>
      <w:proofErr w:type="spellStart"/>
      <w:r w:rsidR="000275BF">
        <w:rPr>
          <w:bCs/>
          <w:sz w:val="22"/>
          <w:lang w:val="sr-Cyrl-RS" w:eastAsia="en-US"/>
        </w:rPr>
        <w:t>донијети</w:t>
      </w:r>
      <w:proofErr w:type="spellEnd"/>
      <w:r w:rsidR="00087862">
        <w:rPr>
          <w:bCs/>
          <w:sz w:val="22"/>
          <w:lang w:val="sr-Cyrl-RS" w:eastAsia="en-US"/>
        </w:rPr>
        <w:t xml:space="preserve"> </w:t>
      </w:r>
      <w:r w:rsidR="00D065D0" w:rsidRPr="00B901F8">
        <w:rPr>
          <w:bCs/>
          <w:sz w:val="22"/>
          <w:lang w:val="sr-Cyrl-RS" w:eastAsia="en-US"/>
        </w:rPr>
        <w:t>наредбе, упутства и друг</w:t>
      </w:r>
      <w:r w:rsidR="00D065D0">
        <w:rPr>
          <w:bCs/>
          <w:sz w:val="22"/>
          <w:lang w:val="sr-Cyrl-RS" w:eastAsia="en-US"/>
        </w:rPr>
        <w:t>е</w:t>
      </w:r>
      <w:r w:rsidR="00D065D0" w:rsidRPr="00B901F8">
        <w:rPr>
          <w:bCs/>
          <w:sz w:val="22"/>
          <w:lang w:val="sr-Cyrl-RS" w:eastAsia="en-US"/>
        </w:rPr>
        <w:t xml:space="preserve"> акт</w:t>
      </w:r>
      <w:r w:rsidR="00D065D0">
        <w:rPr>
          <w:bCs/>
          <w:sz w:val="22"/>
          <w:lang w:val="sr-Cyrl-RS" w:eastAsia="en-US"/>
        </w:rPr>
        <w:t>е</w:t>
      </w:r>
      <w:r w:rsidR="00D065D0" w:rsidRPr="00B901F8">
        <w:rPr>
          <w:bCs/>
          <w:sz w:val="22"/>
          <w:lang w:val="sr-Cyrl-RS" w:eastAsia="en-US"/>
        </w:rPr>
        <w:t xml:space="preserve"> градоначелника/начелника, којима се дају </w:t>
      </w:r>
      <w:proofErr w:type="spellStart"/>
      <w:r w:rsidR="00D065D0" w:rsidRPr="00B901F8">
        <w:rPr>
          <w:bCs/>
          <w:sz w:val="22"/>
          <w:lang w:val="sr-Cyrl-RS" w:eastAsia="en-US"/>
        </w:rPr>
        <w:t>смјернице</w:t>
      </w:r>
      <w:proofErr w:type="spellEnd"/>
      <w:r w:rsidR="00D065D0" w:rsidRPr="00B901F8">
        <w:rPr>
          <w:bCs/>
          <w:sz w:val="22"/>
          <w:lang w:val="sr-Cyrl-RS" w:eastAsia="en-US"/>
        </w:rPr>
        <w:t xml:space="preserve"> за поступање и ограничава потрошња, у складу са приоритетима</w:t>
      </w:r>
      <w:r w:rsidR="000275BF">
        <w:rPr>
          <w:bCs/>
          <w:sz w:val="22"/>
          <w:lang w:val="sr-Cyrl-RS" w:eastAsia="en-US"/>
        </w:rPr>
        <w:t>, а након тога приступити изради ребаланса буџета</w:t>
      </w:r>
      <w:r w:rsidR="00D065D0">
        <w:rPr>
          <w:bCs/>
          <w:sz w:val="22"/>
          <w:lang w:val="sr-Cyrl-RS" w:eastAsia="en-US"/>
        </w:rPr>
        <w:t>;</w:t>
      </w:r>
    </w:p>
    <w:p w14:paraId="3D3B9F2F" w14:textId="3B105C96" w:rsidR="00D065D0" w:rsidRPr="00B901F8"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bCs/>
          <w:sz w:val="22"/>
          <w:szCs w:val="22"/>
          <w:lang w:val="sr-Cyrl-RS" w:eastAsia="en-US"/>
        </w:rPr>
        <w:t xml:space="preserve">поред </w:t>
      </w:r>
      <w:r w:rsidR="00982FB9">
        <w:rPr>
          <w:bCs/>
          <w:sz w:val="22"/>
          <w:szCs w:val="22"/>
          <w:lang w:val="sr-Cyrl-RS" w:eastAsia="en-US"/>
        </w:rPr>
        <w:t>доношења различитих аката</w:t>
      </w:r>
      <w:r w:rsidR="000275BF">
        <w:rPr>
          <w:bCs/>
          <w:sz w:val="22"/>
          <w:szCs w:val="22"/>
          <w:lang w:val="sr-Cyrl-RS" w:eastAsia="en-US"/>
        </w:rPr>
        <w:t xml:space="preserve"> и ребаланса</w:t>
      </w:r>
      <w:r w:rsidR="00982FB9">
        <w:rPr>
          <w:bCs/>
          <w:sz w:val="22"/>
          <w:szCs w:val="22"/>
          <w:lang w:val="sr-Cyrl-RS" w:eastAsia="en-US"/>
        </w:rPr>
        <w:t>,</w:t>
      </w:r>
      <w:r w:rsidR="000275BF">
        <w:rPr>
          <w:bCs/>
          <w:sz w:val="22"/>
          <w:szCs w:val="22"/>
          <w:lang w:val="sr-Cyrl-RS" w:eastAsia="en-US"/>
        </w:rPr>
        <w:t xml:space="preserve"> </w:t>
      </w:r>
      <w:r w:rsidR="00CA75A8">
        <w:rPr>
          <w:bCs/>
          <w:sz w:val="22"/>
          <w:szCs w:val="22"/>
          <w:lang w:val="sr-Cyrl-RS" w:eastAsia="en-US"/>
        </w:rPr>
        <w:t>показало се да је</w:t>
      </w:r>
      <w:r w:rsidR="000275BF">
        <w:rPr>
          <w:bCs/>
          <w:sz w:val="22"/>
          <w:szCs w:val="22"/>
          <w:lang w:val="sr-Cyrl-RS" w:eastAsia="en-US"/>
        </w:rPr>
        <w:t xml:space="preserve">, </w:t>
      </w:r>
      <w:r w:rsidR="00F934F7">
        <w:rPr>
          <w:bCs/>
          <w:sz w:val="22"/>
          <w:szCs w:val="22"/>
          <w:lang w:val="sr-Cyrl-RS" w:eastAsia="en-US"/>
        </w:rPr>
        <w:t>генерално, а посебно у периоду кризе</w:t>
      </w:r>
      <w:r w:rsidR="000275BF">
        <w:rPr>
          <w:bCs/>
          <w:sz w:val="22"/>
          <w:szCs w:val="22"/>
          <w:lang w:val="sr-Cyrl-RS" w:eastAsia="en-US"/>
        </w:rPr>
        <w:t xml:space="preserve">, </w:t>
      </w:r>
      <w:r w:rsidR="00CA75A8">
        <w:rPr>
          <w:bCs/>
          <w:sz w:val="22"/>
          <w:szCs w:val="22"/>
          <w:lang w:val="sr-Cyrl-RS" w:eastAsia="en-US"/>
        </w:rPr>
        <w:t xml:space="preserve">битно </w:t>
      </w:r>
      <w:r w:rsidRPr="00B901F8">
        <w:rPr>
          <w:bCs/>
          <w:sz w:val="22"/>
          <w:szCs w:val="22"/>
          <w:lang w:val="sr-Cyrl-RS" w:eastAsia="en-US"/>
        </w:rPr>
        <w:t>развија</w:t>
      </w:r>
      <w:r>
        <w:rPr>
          <w:bCs/>
          <w:sz w:val="22"/>
          <w:szCs w:val="22"/>
          <w:lang w:val="sr-Cyrl-RS" w:eastAsia="en-US"/>
        </w:rPr>
        <w:t>ти</w:t>
      </w:r>
      <w:r w:rsidRPr="00B901F8">
        <w:rPr>
          <w:bCs/>
          <w:sz w:val="22"/>
          <w:szCs w:val="22"/>
          <w:lang w:val="sr-Cyrl-RS" w:eastAsia="en-US"/>
        </w:rPr>
        <w:t xml:space="preserve"> пракс</w:t>
      </w:r>
      <w:r w:rsidR="00F974E1">
        <w:rPr>
          <w:bCs/>
          <w:sz w:val="22"/>
          <w:szCs w:val="22"/>
          <w:lang w:val="sr-Cyrl-RS" w:eastAsia="en-US"/>
        </w:rPr>
        <w:t>е</w:t>
      </w:r>
      <w:r w:rsidRPr="00B901F8">
        <w:rPr>
          <w:bCs/>
          <w:sz w:val="22"/>
          <w:szCs w:val="22"/>
          <w:lang w:val="sr-Cyrl-RS" w:eastAsia="en-US"/>
        </w:rPr>
        <w:t xml:space="preserve"> периодичног доношења посебних програма</w:t>
      </w:r>
      <w:r w:rsidR="00087862">
        <w:rPr>
          <w:bCs/>
          <w:sz w:val="22"/>
          <w:szCs w:val="22"/>
          <w:lang w:val="sr-Cyrl-RS" w:eastAsia="en-US"/>
        </w:rPr>
        <w:t xml:space="preserve"> </w:t>
      </w:r>
      <w:r w:rsidR="00F974E1">
        <w:rPr>
          <w:bCs/>
          <w:sz w:val="22"/>
          <w:szCs w:val="22"/>
          <w:lang w:val="sr-Cyrl-RS" w:eastAsia="en-US"/>
        </w:rPr>
        <w:t xml:space="preserve">и </w:t>
      </w:r>
      <w:proofErr w:type="spellStart"/>
      <w:r w:rsidR="00087862">
        <w:rPr>
          <w:bCs/>
          <w:sz w:val="22"/>
          <w:szCs w:val="22"/>
          <w:lang w:val="sr-Cyrl-RS" w:eastAsia="en-US"/>
        </w:rPr>
        <w:t>мјера</w:t>
      </w:r>
      <w:proofErr w:type="spellEnd"/>
      <w:r w:rsidR="00087862">
        <w:rPr>
          <w:bCs/>
          <w:sz w:val="22"/>
          <w:szCs w:val="22"/>
          <w:lang w:val="sr-Cyrl-RS" w:eastAsia="en-US"/>
        </w:rPr>
        <w:t xml:space="preserve"> </w:t>
      </w:r>
      <w:r w:rsidRPr="00B901F8">
        <w:rPr>
          <w:bCs/>
          <w:sz w:val="22"/>
          <w:szCs w:val="22"/>
          <w:lang w:val="sr-Cyrl-RS" w:eastAsia="en-US"/>
        </w:rPr>
        <w:t>финансијске оптимизације</w:t>
      </w:r>
      <w:r w:rsidR="00F934F7">
        <w:rPr>
          <w:bCs/>
          <w:sz w:val="22"/>
          <w:szCs w:val="22"/>
          <w:lang w:val="sr-Cyrl-RS" w:eastAsia="en-US"/>
        </w:rPr>
        <w:t xml:space="preserve"> (за повећање прихода и смањење расхода)</w:t>
      </w:r>
      <w:r w:rsidR="00871063">
        <w:rPr>
          <w:bCs/>
          <w:sz w:val="22"/>
          <w:szCs w:val="22"/>
          <w:lang w:val="sr-Cyrl-RS" w:eastAsia="en-US"/>
        </w:rPr>
        <w:t xml:space="preserve"> и/или планова опоравка</w:t>
      </w:r>
      <w:r w:rsidR="008B7935">
        <w:rPr>
          <w:bCs/>
          <w:sz w:val="22"/>
          <w:szCs w:val="22"/>
          <w:lang w:val="sr-Cyrl-RS" w:eastAsia="en-US"/>
        </w:rPr>
        <w:t>, у складу са међународним методологијама</w:t>
      </w:r>
      <w:r>
        <w:rPr>
          <w:bCs/>
          <w:sz w:val="22"/>
          <w:szCs w:val="22"/>
          <w:lang w:val="sr-Cyrl-RS" w:eastAsia="en-US"/>
        </w:rPr>
        <w:t>;</w:t>
      </w:r>
    </w:p>
    <w:p w14:paraId="3356909D" w14:textId="79CF9C72" w:rsidR="00D065D0" w:rsidRPr="00871063" w:rsidRDefault="00A50C60" w:rsidP="00D065D0">
      <w:pPr>
        <w:pStyle w:val="ListParagraph"/>
        <w:numPr>
          <w:ilvl w:val="0"/>
          <w:numId w:val="11"/>
        </w:numPr>
        <w:tabs>
          <w:tab w:val="left" w:pos="709"/>
          <w:tab w:val="left" w:pos="1530"/>
        </w:tabs>
        <w:spacing w:line="276" w:lineRule="auto"/>
        <w:jc w:val="both"/>
        <w:rPr>
          <w:sz w:val="22"/>
          <w:lang w:val="sr-Cyrl-RS"/>
        </w:rPr>
      </w:pPr>
      <w:r>
        <w:rPr>
          <w:bCs/>
          <w:sz w:val="22"/>
          <w:lang w:val="sr-Cyrl-RS" w:eastAsia="en-US"/>
        </w:rPr>
        <w:t>у</w:t>
      </w:r>
      <w:r w:rsidRPr="00B901F8">
        <w:rPr>
          <w:bCs/>
          <w:sz w:val="22"/>
          <w:lang w:val="sr-Cyrl-RS" w:eastAsia="en-US"/>
        </w:rPr>
        <w:t xml:space="preserve"> наредном периоду, </w:t>
      </w:r>
      <w:r w:rsidR="00CA75A8">
        <w:rPr>
          <w:bCs/>
          <w:sz w:val="22"/>
          <w:lang w:val="sr-Cyrl-RS" w:eastAsia="en-US"/>
        </w:rPr>
        <w:t xml:space="preserve">било би корисно </w:t>
      </w:r>
      <w:r w:rsidRPr="00B901F8">
        <w:rPr>
          <w:bCs/>
          <w:sz w:val="22"/>
          <w:lang w:val="sr-Cyrl-RS" w:eastAsia="en-US"/>
        </w:rPr>
        <w:t>пост</w:t>
      </w:r>
      <w:r w:rsidR="00CA75A8">
        <w:rPr>
          <w:bCs/>
          <w:sz w:val="22"/>
          <w:lang w:val="sr-Cyrl-RS" w:eastAsia="en-US"/>
        </w:rPr>
        <w:t xml:space="preserve">ојеће програме субвенција </w:t>
      </w:r>
      <w:r w:rsidRPr="00B901F8">
        <w:rPr>
          <w:bCs/>
          <w:sz w:val="22"/>
          <w:lang w:val="sr-Cyrl-RS" w:eastAsia="en-US"/>
        </w:rPr>
        <w:t>додатно преиспитати</w:t>
      </w:r>
      <w:r>
        <w:rPr>
          <w:bCs/>
          <w:sz w:val="22"/>
          <w:lang w:val="sr-Cyrl-RS" w:eastAsia="en-US"/>
        </w:rPr>
        <w:t xml:space="preserve"> </w:t>
      </w:r>
      <w:r w:rsidRPr="00B901F8">
        <w:rPr>
          <w:bCs/>
          <w:sz w:val="22"/>
          <w:lang w:val="sr-Cyrl-RS" w:eastAsia="en-US"/>
        </w:rPr>
        <w:t xml:space="preserve">и утврдити нове критеријуме за </w:t>
      </w:r>
      <w:proofErr w:type="spellStart"/>
      <w:r w:rsidRPr="00B901F8">
        <w:rPr>
          <w:bCs/>
          <w:sz w:val="22"/>
          <w:lang w:val="sr-Cyrl-RS" w:eastAsia="en-US"/>
        </w:rPr>
        <w:t>додјелу</w:t>
      </w:r>
      <w:proofErr w:type="spellEnd"/>
      <w:r w:rsidRPr="00B901F8">
        <w:rPr>
          <w:bCs/>
          <w:sz w:val="22"/>
          <w:lang w:val="sr-Cyrl-RS" w:eastAsia="en-US"/>
        </w:rPr>
        <w:t xml:space="preserve"> и </w:t>
      </w:r>
      <w:proofErr w:type="spellStart"/>
      <w:r w:rsidRPr="00B901F8">
        <w:rPr>
          <w:bCs/>
          <w:sz w:val="22"/>
          <w:lang w:val="sr-Cyrl-RS" w:eastAsia="en-US"/>
        </w:rPr>
        <w:t>процјену</w:t>
      </w:r>
      <w:proofErr w:type="spellEnd"/>
      <w:r w:rsidRPr="00B901F8">
        <w:rPr>
          <w:bCs/>
          <w:sz w:val="22"/>
          <w:lang w:val="sr-Cyrl-RS" w:eastAsia="en-US"/>
        </w:rPr>
        <w:t xml:space="preserve"> ефикасности</w:t>
      </w:r>
      <w:r>
        <w:rPr>
          <w:bCs/>
          <w:sz w:val="22"/>
          <w:lang w:val="sr-Cyrl-RS" w:eastAsia="en-US"/>
        </w:rPr>
        <w:t xml:space="preserve">. Наиме, </w:t>
      </w:r>
      <w:r w:rsidR="008B7935">
        <w:rPr>
          <w:bCs/>
          <w:sz w:val="22"/>
          <w:lang w:val="sr-Cyrl-RS" w:eastAsia="en-US"/>
        </w:rPr>
        <w:t xml:space="preserve">анализа је показала да су све анкетиране ЈЛС, у периоду кризе, доносиле готово идентичне </w:t>
      </w:r>
      <w:proofErr w:type="spellStart"/>
      <w:r w:rsidR="008B7935">
        <w:rPr>
          <w:bCs/>
          <w:sz w:val="22"/>
          <w:lang w:val="sr-Cyrl-RS" w:eastAsia="en-US"/>
        </w:rPr>
        <w:t>мјере</w:t>
      </w:r>
      <w:proofErr w:type="spellEnd"/>
      <w:r w:rsidR="008B7935">
        <w:rPr>
          <w:bCs/>
          <w:sz w:val="22"/>
          <w:lang w:val="sr-Cyrl-RS" w:eastAsia="en-US"/>
        </w:rPr>
        <w:t xml:space="preserve"> као помоћ привреди </w:t>
      </w:r>
      <w:r w:rsidR="00871063">
        <w:rPr>
          <w:bCs/>
          <w:sz w:val="22"/>
          <w:lang w:val="sr-Cyrl-RS" w:eastAsia="en-US"/>
        </w:rPr>
        <w:lastRenderedPageBreak/>
        <w:t>(највише у облику разних врста</w:t>
      </w:r>
      <w:r w:rsidR="008B7935">
        <w:rPr>
          <w:bCs/>
          <w:sz w:val="22"/>
          <w:lang w:val="sr-Cyrl-RS" w:eastAsia="en-US"/>
        </w:rPr>
        <w:t xml:space="preserve"> субвенција), али у различитом обиму, у складу са буџетским капацитетом</w:t>
      </w:r>
      <w:r w:rsidR="00D065D0">
        <w:rPr>
          <w:bCs/>
          <w:sz w:val="22"/>
          <w:lang w:val="sr-Cyrl-RS" w:eastAsia="en-US"/>
        </w:rPr>
        <w:t>;</w:t>
      </w:r>
    </w:p>
    <w:p w14:paraId="2CB1B481" w14:textId="057F344F" w:rsidR="00871063" w:rsidRPr="00B901F8" w:rsidRDefault="00871063" w:rsidP="00D065D0">
      <w:pPr>
        <w:pStyle w:val="ListParagraph"/>
        <w:numPr>
          <w:ilvl w:val="0"/>
          <w:numId w:val="11"/>
        </w:numPr>
        <w:tabs>
          <w:tab w:val="left" w:pos="709"/>
          <w:tab w:val="left" w:pos="1530"/>
        </w:tabs>
        <w:spacing w:line="276" w:lineRule="auto"/>
        <w:jc w:val="both"/>
        <w:rPr>
          <w:sz w:val="22"/>
          <w:lang w:val="sr-Cyrl-RS"/>
        </w:rPr>
      </w:pPr>
      <w:r>
        <w:rPr>
          <w:bCs/>
          <w:sz w:val="22"/>
          <w:lang w:val="sr-Cyrl-RS" w:eastAsia="en-US"/>
        </w:rPr>
        <w:t xml:space="preserve">комуникација са пословном заједницом  и разматрање њихових </w:t>
      </w:r>
      <w:proofErr w:type="spellStart"/>
      <w:r>
        <w:rPr>
          <w:bCs/>
          <w:sz w:val="22"/>
          <w:lang w:val="sr-Cyrl-RS" w:eastAsia="en-US"/>
        </w:rPr>
        <w:t>приједлога</w:t>
      </w:r>
      <w:proofErr w:type="spellEnd"/>
      <w:r>
        <w:rPr>
          <w:bCs/>
          <w:sz w:val="22"/>
          <w:lang w:val="sr-Cyrl-RS" w:eastAsia="en-US"/>
        </w:rPr>
        <w:t xml:space="preserve"> </w:t>
      </w:r>
      <w:r w:rsidR="004B3FCA">
        <w:rPr>
          <w:bCs/>
          <w:sz w:val="22"/>
          <w:lang w:val="sr-Cyrl-RS" w:eastAsia="en-US"/>
        </w:rPr>
        <w:t xml:space="preserve">треба бити основа код предлагања </w:t>
      </w:r>
      <w:proofErr w:type="spellStart"/>
      <w:r w:rsidR="004B3FCA">
        <w:rPr>
          <w:bCs/>
          <w:sz w:val="22"/>
          <w:lang w:val="sr-Cyrl-RS" w:eastAsia="en-US"/>
        </w:rPr>
        <w:t>мјера</w:t>
      </w:r>
      <w:proofErr w:type="spellEnd"/>
      <w:r w:rsidR="004B3FCA">
        <w:rPr>
          <w:bCs/>
          <w:sz w:val="22"/>
          <w:lang w:val="sr-Cyrl-RS" w:eastAsia="en-US"/>
        </w:rPr>
        <w:t xml:space="preserve"> помоћи привреди из буџета ЈЛС;</w:t>
      </w:r>
    </w:p>
    <w:p w14:paraId="1AF695E7" w14:textId="310A2F7B" w:rsidR="00D065D0" w:rsidRPr="004B3FCA" w:rsidRDefault="00A50C60" w:rsidP="00D065D0">
      <w:pPr>
        <w:pStyle w:val="ListParagraph"/>
        <w:numPr>
          <w:ilvl w:val="0"/>
          <w:numId w:val="11"/>
        </w:numPr>
        <w:tabs>
          <w:tab w:val="left" w:pos="709"/>
          <w:tab w:val="left" w:pos="1530"/>
        </w:tabs>
        <w:spacing w:line="276" w:lineRule="auto"/>
        <w:jc w:val="both"/>
        <w:rPr>
          <w:sz w:val="22"/>
          <w:lang w:val="sr-Cyrl-RS"/>
        </w:rPr>
      </w:pPr>
      <w:r>
        <w:rPr>
          <w:bCs/>
          <w:sz w:val="22"/>
          <w:lang w:val="sr-Cyrl-BA" w:eastAsia="en-US"/>
        </w:rPr>
        <w:t xml:space="preserve">због смањења прихода, потребно је </w:t>
      </w:r>
      <w:r w:rsidR="00D065D0">
        <w:rPr>
          <w:bCs/>
          <w:sz w:val="22"/>
          <w:lang w:val="sr-Cyrl-BA" w:eastAsia="en-US"/>
        </w:rPr>
        <w:t xml:space="preserve">осигурати додатне изворе финансирања за </w:t>
      </w:r>
      <w:r w:rsidR="00D065D0" w:rsidRPr="00B901F8">
        <w:rPr>
          <w:bCs/>
          <w:sz w:val="22"/>
          <w:lang w:val="sr-Cyrl-BA" w:eastAsia="en-US"/>
        </w:rPr>
        <w:t>јавне инвестиције-капитална улагања на локалном нивоу</w:t>
      </w:r>
      <w:r>
        <w:rPr>
          <w:bCs/>
          <w:sz w:val="22"/>
          <w:lang w:val="sr-Cyrl-BA" w:eastAsia="en-US"/>
        </w:rPr>
        <w:t>, јер су ова улагања значајна</w:t>
      </w:r>
      <w:r w:rsidR="00D065D0" w:rsidRPr="00B901F8">
        <w:rPr>
          <w:bCs/>
          <w:sz w:val="22"/>
          <w:lang w:val="sr-Cyrl-BA" w:eastAsia="en-US"/>
        </w:rPr>
        <w:t xml:space="preserve"> за одржавање привредне активности</w:t>
      </w:r>
      <w:r w:rsidR="00D065D0">
        <w:rPr>
          <w:bCs/>
          <w:sz w:val="22"/>
          <w:lang w:val="sr-Cyrl-BA" w:eastAsia="en-US"/>
        </w:rPr>
        <w:t>;</w:t>
      </w:r>
    </w:p>
    <w:p w14:paraId="6ECC6077" w14:textId="5AE61192" w:rsidR="004B3FCA" w:rsidRPr="00FC5D02" w:rsidRDefault="0068107A" w:rsidP="00D065D0">
      <w:pPr>
        <w:pStyle w:val="ListParagraph"/>
        <w:numPr>
          <w:ilvl w:val="0"/>
          <w:numId w:val="11"/>
        </w:numPr>
        <w:tabs>
          <w:tab w:val="left" w:pos="709"/>
          <w:tab w:val="left" w:pos="1530"/>
        </w:tabs>
        <w:spacing w:line="276" w:lineRule="auto"/>
        <w:jc w:val="both"/>
        <w:rPr>
          <w:sz w:val="22"/>
          <w:lang w:val="sr-Cyrl-RS"/>
        </w:rPr>
      </w:pPr>
      <w:r>
        <w:rPr>
          <w:bCs/>
          <w:sz w:val="22"/>
          <w:lang w:val="sr-Cyrl-BA" w:eastAsia="en-US"/>
        </w:rPr>
        <w:t xml:space="preserve">предлаже се да </w:t>
      </w:r>
      <w:r w:rsidR="004B3FCA">
        <w:rPr>
          <w:bCs/>
          <w:sz w:val="22"/>
          <w:lang w:val="sr-Cyrl-BA" w:eastAsia="en-US"/>
        </w:rPr>
        <w:t xml:space="preserve">побољшање надзора над функционисањем јавних комуналних предузећа у власништву ЈЛС и </w:t>
      </w:r>
      <w:proofErr w:type="spellStart"/>
      <w:r w:rsidR="004B3FCA">
        <w:rPr>
          <w:bCs/>
          <w:sz w:val="22"/>
          <w:lang w:val="sr-Cyrl-BA" w:eastAsia="en-US"/>
        </w:rPr>
        <w:t>унапређење</w:t>
      </w:r>
      <w:proofErr w:type="spellEnd"/>
      <w:r w:rsidR="004B3FCA">
        <w:rPr>
          <w:bCs/>
          <w:sz w:val="22"/>
          <w:lang w:val="sr-Cyrl-BA" w:eastAsia="en-US"/>
        </w:rPr>
        <w:t xml:space="preserve"> </w:t>
      </w:r>
      <w:r>
        <w:rPr>
          <w:bCs/>
          <w:sz w:val="22"/>
          <w:lang w:val="sr-Cyrl-BA" w:eastAsia="en-US"/>
        </w:rPr>
        <w:t>корпорати</w:t>
      </w:r>
      <w:r w:rsidR="004B3FCA">
        <w:rPr>
          <w:bCs/>
          <w:sz w:val="22"/>
          <w:lang w:val="sr-Cyrl-BA" w:eastAsia="en-US"/>
        </w:rPr>
        <w:t>вног</w:t>
      </w:r>
      <w:r>
        <w:rPr>
          <w:bCs/>
          <w:sz w:val="22"/>
          <w:lang w:val="sr-Cyrl-BA" w:eastAsia="en-US"/>
        </w:rPr>
        <w:t xml:space="preserve"> управљања буде један о</w:t>
      </w:r>
      <w:r w:rsidR="00AD22DE">
        <w:rPr>
          <w:bCs/>
          <w:sz w:val="22"/>
          <w:lang w:val="sr-Cyrl-BA" w:eastAsia="en-US"/>
        </w:rPr>
        <w:t xml:space="preserve">д приоритета у наредном периоду, јер током кризе ове дјелатности су под повећаним ризиком, у смислу ефикасног и </w:t>
      </w:r>
      <w:proofErr w:type="spellStart"/>
      <w:r w:rsidR="00AD22DE">
        <w:rPr>
          <w:bCs/>
          <w:sz w:val="22"/>
          <w:lang w:val="sr-Cyrl-BA" w:eastAsia="en-US"/>
        </w:rPr>
        <w:t>правовременог</w:t>
      </w:r>
      <w:proofErr w:type="spellEnd"/>
      <w:r w:rsidR="00AD22DE">
        <w:rPr>
          <w:bCs/>
          <w:sz w:val="22"/>
          <w:lang w:val="sr-Cyrl-BA" w:eastAsia="en-US"/>
        </w:rPr>
        <w:t xml:space="preserve"> пружања услуга;</w:t>
      </w:r>
      <w:r w:rsidR="004B3FCA">
        <w:rPr>
          <w:bCs/>
          <w:sz w:val="22"/>
          <w:lang w:val="sr-Cyrl-BA" w:eastAsia="en-US"/>
        </w:rPr>
        <w:t xml:space="preserve"> </w:t>
      </w:r>
    </w:p>
    <w:p w14:paraId="00E1819C" w14:textId="7FC4100A" w:rsidR="00D065D0" w:rsidRPr="00FC5D02" w:rsidRDefault="00D065D0" w:rsidP="00D065D0">
      <w:pPr>
        <w:pStyle w:val="ListParagraph"/>
        <w:numPr>
          <w:ilvl w:val="0"/>
          <w:numId w:val="11"/>
        </w:numPr>
        <w:tabs>
          <w:tab w:val="left" w:pos="709"/>
          <w:tab w:val="left" w:pos="1530"/>
        </w:tabs>
        <w:spacing w:line="276" w:lineRule="auto"/>
        <w:jc w:val="both"/>
        <w:rPr>
          <w:sz w:val="22"/>
          <w:lang w:val="sr-Cyrl-RS"/>
        </w:rPr>
      </w:pPr>
      <w:r w:rsidRPr="00FC5D02">
        <w:rPr>
          <w:bCs/>
          <w:sz w:val="22"/>
          <w:lang w:val="sr-Cyrl-BA" w:eastAsia="en-US"/>
        </w:rPr>
        <w:t>размотрити могућност формирања посебних фондова</w:t>
      </w:r>
      <w:r w:rsidR="003B1CA6">
        <w:rPr>
          <w:bCs/>
          <w:sz w:val="22"/>
          <w:lang w:val="sr-Cyrl-BA" w:eastAsia="en-US"/>
        </w:rPr>
        <w:t xml:space="preserve"> на нивоу ЈЛС</w:t>
      </w:r>
      <w:r w:rsidRPr="00FC5D02">
        <w:rPr>
          <w:bCs/>
          <w:sz w:val="22"/>
          <w:szCs w:val="22"/>
          <w:lang w:val="sr-Cyrl-RS" w:eastAsia="en-US"/>
        </w:rPr>
        <w:t xml:space="preserve">, </w:t>
      </w:r>
      <w:r w:rsidR="003B1CA6">
        <w:rPr>
          <w:bCs/>
          <w:sz w:val="22"/>
          <w:szCs w:val="22"/>
          <w:lang w:val="sr-Cyrl-RS" w:eastAsia="en-US"/>
        </w:rPr>
        <w:t xml:space="preserve">који би могли да </w:t>
      </w:r>
      <w:proofErr w:type="spellStart"/>
      <w:r w:rsidR="003B1CA6">
        <w:rPr>
          <w:bCs/>
          <w:sz w:val="22"/>
          <w:szCs w:val="22"/>
          <w:lang w:val="sr-Cyrl-RS" w:eastAsia="en-US"/>
        </w:rPr>
        <w:t>дјелују</w:t>
      </w:r>
      <w:proofErr w:type="spellEnd"/>
      <w:r w:rsidR="003B1CA6">
        <w:rPr>
          <w:bCs/>
          <w:sz w:val="22"/>
          <w:szCs w:val="22"/>
          <w:lang w:val="sr-Cyrl-RS" w:eastAsia="en-US"/>
        </w:rPr>
        <w:t xml:space="preserve"> као компензација </w:t>
      </w:r>
      <w:r w:rsidR="00CA75A8">
        <w:rPr>
          <w:bCs/>
          <w:sz w:val="22"/>
          <w:szCs w:val="22"/>
          <w:lang w:val="sr-Cyrl-RS" w:eastAsia="en-US"/>
        </w:rPr>
        <w:t xml:space="preserve">смањењу </w:t>
      </w:r>
      <w:r w:rsidR="003B1CA6">
        <w:rPr>
          <w:bCs/>
          <w:sz w:val="22"/>
          <w:szCs w:val="22"/>
          <w:lang w:val="sr-Cyrl-RS" w:eastAsia="en-US"/>
        </w:rPr>
        <w:t>прихода у периодима кризе</w:t>
      </w:r>
      <w:r w:rsidRPr="00FC5D02">
        <w:rPr>
          <w:bCs/>
          <w:sz w:val="22"/>
          <w:szCs w:val="22"/>
          <w:lang w:val="sr-Cyrl-RS" w:eastAsia="en-US"/>
        </w:rPr>
        <w:t>;</w:t>
      </w:r>
    </w:p>
    <w:p w14:paraId="6635E41C" w14:textId="31D082BB" w:rsidR="00D065D0" w:rsidRPr="00B901F8"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bCs/>
          <w:sz w:val="22"/>
          <w:szCs w:val="22"/>
          <w:lang w:val="sr-Cyrl-RS" w:eastAsia="en-US"/>
        </w:rPr>
        <w:t xml:space="preserve">потребно је иницирати </w:t>
      </w:r>
      <w:proofErr w:type="spellStart"/>
      <w:r w:rsidRPr="00B901F8">
        <w:rPr>
          <w:bCs/>
          <w:sz w:val="22"/>
          <w:szCs w:val="22"/>
          <w:lang w:val="sr-Cyrl-RS" w:eastAsia="en-US"/>
        </w:rPr>
        <w:t>измјене</w:t>
      </w:r>
      <w:proofErr w:type="spellEnd"/>
      <w:r w:rsidRPr="00B901F8">
        <w:rPr>
          <w:bCs/>
          <w:sz w:val="22"/>
          <w:szCs w:val="22"/>
          <w:lang w:val="sr-Cyrl-RS" w:eastAsia="en-US"/>
        </w:rPr>
        <w:t xml:space="preserve"> прописа</w:t>
      </w:r>
      <w:r w:rsidR="00CA75A8">
        <w:rPr>
          <w:bCs/>
          <w:sz w:val="22"/>
          <w:szCs w:val="22"/>
          <w:lang w:val="sr-Cyrl-RS" w:eastAsia="en-US"/>
        </w:rPr>
        <w:t>,</w:t>
      </w:r>
      <w:r w:rsidRPr="00B901F8">
        <w:rPr>
          <w:bCs/>
          <w:sz w:val="22"/>
          <w:szCs w:val="22"/>
          <w:lang w:val="sr-Cyrl-RS" w:eastAsia="en-US"/>
        </w:rPr>
        <w:t xml:space="preserve"> којима је уређено прикупљање и трошење </w:t>
      </w:r>
      <w:proofErr w:type="spellStart"/>
      <w:r w:rsidRPr="00B901F8">
        <w:rPr>
          <w:bCs/>
          <w:sz w:val="22"/>
          <w:szCs w:val="22"/>
          <w:lang w:val="sr-Cyrl-RS" w:eastAsia="en-US"/>
        </w:rPr>
        <w:t>намјенских</w:t>
      </w:r>
      <w:proofErr w:type="spellEnd"/>
      <w:r w:rsidRPr="00B901F8">
        <w:rPr>
          <w:bCs/>
          <w:sz w:val="22"/>
          <w:szCs w:val="22"/>
          <w:lang w:val="sr-Cyrl-RS" w:eastAsia="en-US"/>
        </w:rPr>
        <w:t xml:space="preserve"> средстава на нивоу ЈЛС, којима би се привремено </w:t>
      </w:r>
      <w:proofErr w:type="spellStart"/>
      <w:r w:rsidRPr="00B901F8">
        <w:rPr>
          <w:bCs/>
          <w:sz w:val="22"/>
          <w:szCs w:val="22"/>
          <w:lang w:val="sr-Cyrl-RS" w:eastAsia="en-US"/>
        </w:rPr>
        <w:t>промијенила</w:t>
      </w:r>
      <w:proofErr w:type="spellEnd"/>
      <w:r w:rsidRPr="00B901F8">
        <w:rPr>
          <w:bCs/>
          <w:sz w:val="22"/>
          <w:szCs w:val="22"/>
          <w:lang w:val="sr-Cyrl-RS" w:eastAsia="en-US"/>
        </w:rPr>
        <w:t xml:space="preserve"> </w:t>
      </w:r>
      <w:proofErr w:type="spellStart"/>
      <w:r w:rsidRPr="00B901F8">
        <w:rPr>
          <w:bCs/>
          <w:sz w:val="22"/>
          <w:szCs w:val="22"/>
          <w:lang w:val="sr-Cyrl-RS" w:eastAsia="en-US"/>
        </w:rPr>
        <w:t>намјена</w:t>
      </w:r>
      <w:proofErr w:type="spellEnd"/>
      <w:r w:rsidRPr="00B901F8">
        <w:rPr>
          <w:bCs/>
          <w:sz w:val="22"/>
          <w:szCs w:val="22"/>
          <w:lang w:val="sr-Cyrl-RS" w:eastAsia="en-US"/>
        </w:rPr>
        <w:t xml:space="preserve"> и омогућило трошење за редовне буџетске расходе</w:t>
      </w:r>
      <w:r w:rsidR="004B3FCA">
        <w:rPr>
          <w:bCs/>
          <w:sz w:val="22"/>
          <w:szCs w:val="22"/>
          <w:lang w:val="sr-Cyrl-RS" w:eastAsia="en-US"/>
        </w:rPr>
        <w:t xml:space="preserve"> (као помоћ привреди, те за различите ванредне расходе у </w:t>
      </w:r>
      <w:proofErr w:type="spellStart"/>
      <w:r w:rsidR="004B3FCA">
        <w:rPr>
          <w:bCs/>
          <w:sz w:val="22"/>
          <w:szCs w:val="22"/>
          <w:lang w:val="sr-Cyrl-RS" w:eastAsia="en-US"/>
        </w:rPr>
        <w:t>вријеме</w:t>
      </w:r>
      <w:proofErr w:type="spellEnd"/>
      <w:r w:rsidR="004B3FCA">
        <w:rPr>
          <w:bCs/>
          <w:sz w:val="22"/>
          <w:szCs w:val="22"/>
          <w:lang w:val="sr-Cyrl-RS" w:eastAsia="en-US"/>
        </w:rPr>
        <w:t xml:space="preserve"> кризе)</w:t>
      </w:r>
      <w:r>
        <w:rPr>
          <w:bCs/>
          <w:sz w:val="22"/>
          <w:szCs w:val="22"/>
          <w:lang w:val="sr-Cyrl-RS" w:eastAsia="en-US"/>
        </w:rPr>
        <w:t>;</w:t>
      </w:r>
    </w:p>
    <w:p w14:paraId="3C7CE6FB" w14:textId="77777777" w:rsidR="00D065D0" w:rsidRPr="00B901F8"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bCs/>
          <w:sz w:val="22"/>
          <w:szCs w:val="22"/>
          <w:lang w:val="sr-Cyrl-RS" w:eastAsia="en-US"/>
        </w:rPr>
        <w:t xml:space="preserve">криза је учинила поново актуелном потребу доношења посебног закона о финансирању ЈЛС, као и нових критеријума за </w:t>
      </w:r>
      <w:proofErr w:type="spellStart"/>
      <w:r w:rsidRPr="00B901F8">
        <w:rPr>
          <w:bCs/>
          <w:sz w:val="22"/>
          <w:szCs w:val="22"/>
          <w:lang w:val="sr-Cyrl-RS" w:eastAsia="en-US"/>
        </w:rPr>
        <w:t>расподјелу</w:t>
      </w:r>
      <w:proofErr w:type="spellEnd"/>
      <w:r w:rsidRPr="00B901F8">
        <w:rPr>
          <w:bCs/>
          <w:sz w:val="22"/>
          <w:szCs w:val="22"/>
          <w:lang w:val="sr-Cyrl-RS" w:eastAsia="en-US"/>
        </w:rPr>
        <w:t xml:space="preserve"> прихода</w:t>
      </w:r>
      <w:r w:rsidRPr="00B901F8">
        <w:rPr>
          <w:bCs/>
          <w:sz w:val="22"/>
          <w:lang w:val="sr-Cyrl-RS" w:eastAsia="en-US"/>
        </w:rPr>
        <w:t>;</w:t>
      </w:r>
    </w:p>
    <w:p w14:paraId="1EB60433" w14:textId="36CE46C5" w:rsidR="00D065D0" w:rsidRPr="00B901F8"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sz w:val="22"/>
          <w:lang w:val="sr-Cyrl-CS"/>
        </w:rPr>
        <w:t>што прије</w:t>
      </w:r>
      <w:r>
        <w:rPr>
          <w:sz w:val="22"/>
          <w:lang w:val="sr-Cyrl-CS"/>
        </w:rPr>
        <w:t xml:space="preserve"> иницирати</w:t>
      </w:r>
      <w:r w:rsidRPr="00B901F8">
        <w:rPr>
          <w:sz w:val="22"/>
          <w:lang w:val="sr-Cyrl-CS"/>
        </w:rPr>
        <w:t xml:space="preserve"> доношење флексибилнијих правила за задуживање, током 2021. године, а затим приступити и другим </w:t>
      </w:r>
      <w:proofErr w:type="spellStart"/>
      <w:r w:rsidRPr="00B901F8">
        <w:rPr>
          <w:sz w:val="22"/>
          <w:lang w:val="sr-Cyrl-CS"/>
        </w:rPr>
        <w:t>измјенама</w:t>
      </w:r>
      <w:proofErr w:type="spellEnd"/>
      <w:r w:rsidRPr="00B901F8">
        <w:rPr>
          <w:sz w:val="22"/>
          <w:lang w:val="sr-Cyrl-CS"/>
        </w:rPr>
        <w:t xml:space="preserve"> и допунама прописа који </w:t>
      </w:r>
      <w:proofErr w:type="spellStart"/>
      <w:r w:rsidRPr="00B901F8">
        <w:rPr>
          <w:sz w:val="22"/>
          <w:lang w:val="sr-Cyrl-CS"/>
        </w:rPr>
        <w:t>регулишту</w:t>
      </w:r>
      <w:proofErr w:type="spellEnd"/>
      <w:r w:rsidRPr="00B901F8">
        <w:rPr>
          <w:sz w:val="22"/>
          <w:lang w:val="sr-Cyrl-CS"/>
        </w:rPr>
        <w:t xml:space="preserve"> задуживање ЈЛС; </w:t>
      </w:r>
    </w:p>
    <w:p w14:paraId="47CBEA46" w14:textId="0DE88A72" w:rsidR="00D065D0" w:rsidRDefault="00CA75A8" w:rsidP="00D065D0">
      <w:pPr>
        <w:pStyle w:val="ListParagraph"/>
        <w:numPr>
          <w:ilvl w:val="0"/>
          <w:numId w:val="11"/>
        </w:numPr>
        <w:tabs>
          <w:tab w:val="left" w:pos="709"/>
          <w:tab w:val="left" w:pos="1530"/>
        </w:tabs>
        <w:spacing w:line="276" w:lineRule="auto"/>
        <w:jc w:val="both"/>
        <w:rPr>
          <w:sz w:val="22"/>
          <w:lang w:val="sr-Cyrl-RS"/>
        </w:rPr>
      </w:pPr>
      <w:r>
        <w:rPr>
          <w:sz w:val="22"/>
          <w:lang w:val="sr-Cyrl-RS"/>
        </w:rPr>
        <w:t>значајно је да се подрж</w:t>
      </w:r>
      <w:r w:rsidR="004B3FCA">
        <w:rPr>
          <w:sz w:val="22"/>
          <w:lang w:val="sr-Cyrl-RS"/>
        </w:rPr>
        <w:t>е</w:t>
      </w:r>
      <w:r w:rsidR="003B1CA6">
        <w:rPr>
          <w:sz w:val="22"/>
          <w:lang w:val="sr-Cyrl-RS"/>
        </w:rPr>
        <w:t>, заједнички, испред свих</w:t>
      </w:r>
      <w:r w:rsidR="000C6A7A">
        <w:rPr>
          <w:sz w:val="22"/>
          <w:lang w:val="sr-Cyrl-RS"/>
        </w:rPr>
        <w:t xml:space="preserve"> ЈЛС,</w:t>
      </w:r>
      <w:r w:rsidR="00D065D0" w:rsidRPr="00B901F8">
        <w:rPr>
          <w:sz w:val="22"/>
          <w:lang w:val="sr-Cyrl-RS"/>
        </w:rPr>
        <w:t xml:space="preserve"> активности које су Министар</w:t>
      </w:r>
      <w:r w:rsidR="004B3FCA">
        <w:rPr>
          <w:sz w:val="22"/>
          <w:lang w:val="sr-Cyrl-RS"/>
        </w:rPr>
        <w:t>ство финансија и РУГИПП започеле</w:t>
      </w:r>
      <w:r w:rsidR="00D065D0" w:rsidRPr="00B901F8">
        <w:rPr>
          <w:sz w:val="22"/>
          <w:lang w:val="sr-Cyrl-RS"/>
        </w:rPr>
        <w:t xml:space="preserve"> у вези са</w:t>
      </w:r>
      <w:r w:rsidR="004B3FCA">
        <w:rPr>
          <w:sz w:val="22"/>
          <w:lang w:val="sr-Cyrl-RS"/>
        </w:rPr>
        <w:t xml:space="preserve"> ширењем обухвата обвезника пореза</w:t>
      </w:r>
      <w:r w:rsidR="00D065D0" w:rsidRPr="00B901F8">
        <w:rPr>
          <w:sz w:val="22"/>
          <w:lang w:val="sr-Cyrl-RS"/>
        </w:rPr>
        <w:t xml:space="preserve"> на непокретности</w:t>
      </w:r>
      <w:r w:rsidR="00D065D0" w:rsidRPr="00B901F8">
        <w:rPr>
          <w:sz w:val="22"/>
          <w:lang w:val="sr-Latn-RS"/>
        </w:rPr>
        <w:t xml:space="preserve">, </w:t>
      </w:r>
      <w:r w:rsidR="00D065D0" w:rsidRPr="00B901F8">
        <w:rPr>
          <w:sz w:val="22"/>
          <w:lang w:val="sr-Cyrl-RS"/>
        </w:rPr>
        <w:t xml:space="preserve">а с циљем </w:t>
      </w:r>
      <w:r w:rsidR="004B3FCA">
        <w:rPr>
          <w:sz w:val="22"/>
          <w:lang w:val="sr-Cyrl-RS"/>
        </w:rPr>
        <w:t>повећање прихода по овом основу у буџетима ЈЛС</w:t>
      </w:r>
      <w:r w:rsidR="00D065D0" w:rsidRPr="00B901F8">
        <w:rPr>
          <w:sz w:val="22"/>
          <w:lang w:val="sr-Cyrl-RS"/>
        </w:rPr>
        <w:t>;</w:t>
      </w:r>
    </w:p>
    <w:p w14:paraId="74E75FC9" w14:textId="7166E30A" w:rsidR="00D065D0" w:rsidRPr="00B901F8"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sz w:val="22"/>
          <w:szCs w:val="22"/>
          <w:lang w:val="sr-Cyrl-CS"/>
        </w:rPr>
        <w:t>најважнији облици помоћи становништву треба да се организују у оквиру локалних центара за социјални рад, кроз различите програме, уз висок степен транспарентности и водећи рачуна о најрањи</w:t>
      </w:r>
      <w:r w:rsidR="00CA75A8">
        <w:rPr>
          <w:sz w:val="22"/>
          <w:szCs w:val="22"/>
          <w:lang w:val="sr-Cyrl-CS"/>
        </w:rPr>
        <w:t>вијим категоријама становништва;</w:t>
      </w:r>
    </w:p>
    <w:p w14:paraId="6B52927C" w14:textId="0F42AAA2" w:rsidR="00D065D0" w:rsidRPr="00B901F8"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sz w:val="22"/>
          <w:lang w:val="sr-Cyrl-CS"/>
        </w:rPr>
        <w:t>као битан ограничавајући фактор код мањих и неразвијених ЈЛС уочен је недостатак техничких средстава, кадрова, ИТ подршке, те би у наредном периоду помоћ Владе РС</w:t>
      </w:r>
      <w:r w:rsidR="00CA75A8">
        <w:rPr>
          <w:sz w:val="22"/>
          <w:lang w:val="sr-Cyrl-CS"/>
        </w:rPr>
        <w:t xml:space="preserve"> била неопходна</w:t>
      </w:r>
      <w:r w:rsidRPr="00B901F8">
        <w:rPr>
          <w:sz w:val="22"/>
          <w:lang w:val="sr-Cyrl-CS"/>
        </w:rPr>
        <w:t xml:space="preserve">; </w:t>
      </w:r>
    </w:p>
    <w:p w14:paraId="59CA919C" w14:textId="51ACE036" w:rsidR="00D065D0" w:rsidRPr="00B901F8" w:rsidRDefault="00D065D0" w:rsidP="00D065D0">
      <w:pPr>
        <w:pStyle w:val="ListParagraph"/>
        <w:numPr>
          <w:ilvl w:val="0"/>
          <w:numId w:val="11"/>
        </w:numPr>
        <w:tabs>
          <w:tab w:val="left" w:pos="709"/>
          <w:tab w:val="left" w:pos="1530"/>
        </w:tabs>
        <w:spacing w:line="276" w:lineRule="auto"/>
        <w:jc w:val="both"/>
        <w:rPr>
          <w:sz w:val="22"/>
          <w:lang w:val="sr-Cyrl-RS"/>
        </w:rPr>
      </w:pPr>
      <w:r w:rsidRPr="00B901F8">
        <w:rPr>
          <w:sz w:val="22"/>
          <w:lang w:val="sr-Cyrl-CS"/>
        </w:rPr>
        <w:t>иако велике и развијене ЈЛС номинално имају највећи пад прихода, криза је више погодила мале и неразвијене ЈЛС</w:t>
      </w:r>
      <w:r w:rsidR="00CA75A8">
        <w:rPr>
          <w:sz w:val="22"/>
          <w:lang w:val="sr-Cyrl-CS"/>
        </w:rPr>
        <w:t xml:space="preserve">, те би </w:t>
      </w:r>
      <w:r w:rsidR="000C6A7A">
        <w:rPr>
          <w:sz w:val="22"/>
          <w:lang w:val="sr-Cyrl-CS"/>
        </w:rPr>
        <w:t xml:space="preserve">Влада РС, а </w:t>
      </w:r>
      <w:r>
        <w:rPr>
          <w:sz w:val="22"/>
          <w:lang w:val="sr-Cyrl-CS"/>
        </w:rPr>
        <w:t xml:space="preserve"> </w:t>
      </w:r>
      <w:r w:rsidRPr="00B901F8">
        <w:rPr>
          <w:sz w:val="22"/>
          <w:lang w:val="sr-Cyrl-CS"/>
        </w:rPr>
        <w:t xml:space="preserve">на </w:t>
      </w:r>
      <w:r w:rsidR="000C6A7A">
        <w:rPr>
          <w:sz w:val="22"/>
          <w:lang w:val="sr-Cyrl-CS"/>
        </w:rPr>
        <w:t xml:space="preserve">основу </w:t>
      </w:r>
      <w:r w:rsidRPr="00B901F8">
        <w:rPr>
          <w:sz w:val="22"/>
          <w:lang w:val="sr-Cyrl-CS"/>
        </w:rPr>
        <w:t xml:space="preserve">података о стањима буџета свих ЈЛС, </w:t>
      </w:r>
      <w:proofErr w:type="spellStart"/>
      <w:r w:rsidR="00CA75A8">
        <w:rPr>
          <w:sz w:val="22"/>
          <w:lang w:val="sr-Cyrl-CS"/>
        </w:rPr>
        <w:t>трабала</w:t>
      </w:r>
      <w:proofErr w:type="spellEnd"/>
      <w:r w:rsidR="00CA75A8">
        <w:rPr>
          <w:sz w:val="22"/>
          <w:lang w:val="sr-Cyrl-CS"/>
        </w:rPr>
        <w:t xml:space="preserve"> да </w:t>
      </w:r>
      <w:r w:rsidRPr="00B901F8">
        <w:rPr>
          <w:sz w:val="22"/>
          <w:lang w:val="sr-Cyrl-CS"/>
        </w:rPr>
        <w:t>припрем</w:t>
      </w:r>
      <w:r>
        <w:rPr>
          <w:sz w:val="22"/>
          <w:lang w:val="sr-Cyrl-CS"/>
        </w:rPr>
        <w:t>и</w:t>
      </w:r>
      <w:r w:rsidRPr="00B901F8">
        <w:rPr>
          <w:sz w:val="22"/>
          <w:lang w:val="sr-Cyrl-CS"/>
        </w:rPr>
        <w:t xml:space="preserve"> </w:t>
      </w:r>
      <w:proofErr w:type="spellStart"/>
      <w:r w:rsidRPr="00B901F8">
        <w:rPr>
          <w:sz w:val="22"/>
          <w:lang w:val="sr-Cyrl-CS"/>
        </w:rPr>
        <w:t>мјере</w:t>
      </w:r>
      <w:proofErr w:type="spellEnd"/>
      <w:r w:rsidRPr="00B901F8">
        <w:rPr>
          <w:sz w:val="22"/>
          <w:lang w:val="sr-Cyrl-CS"/>
        </w:rPr>
        <w:t xml:space="preserve"> средњорочне помоћи према приоритетима и степену угрожености;</w:t>
      </w:r>
    </w:p>
    <w:p w14:paraId="4B410389" w14:textId="481B5255" w:rsidR="00D065D0" w:rsidRPr="00D065D0" w:rsidRDefault="00D065D0" w:rsidP="00D065D0">
      <w:pPr>
        <w:pStyle w:val="ListParagraph"/>
        <w:numPr>
          <w:ilvl w:val="0"/>
          <w:numId w:val="11"/>
        </w:numPr>
        <w:tabs>
          <w:tab w:val="left" w:pos="709"/>
          <w:tab w:val="left" w:pos="1530"/>
        </w:tabs>
        <w:spacing w:line="276" w:lineRule="auto"/>
        <w:jc w:val="both"/>
        <w:rPr>
          <w:sz w:val="22"/>
          <w:lang w:val="sr-Cyrl-RS"/>
        </w:rPr>
      </w:pPr>
      <w:proofErr w:type="spellStart"/>
      <w:r w:rsidRPr="00B901F8">
        <w:rPr>
          <w:bCs/>
          <w:sz w:val="22"/>
          <w:szCs w:val="22"/>
          <w:lang w:val="sr-Cyrl-BA" w:eastAsia="en-US"/>
        </w:rPr>
        <w:t>унапређење</w:t>
      </w:r>
      <w:proofErr w:type="spellEnd"/>
      <w:r w:rsidRPr="00B901F8">
        <w:rPr>
          <w:bCs/>
          <w:sz w:val="22"/>
          <w:szCs w:val="22"/>
          <w:lang w:val="sr-Cyrl-BA" w:eastAsia="en-US"/>
        </w:rPr>
        <w:t xml:space="preserve"> рада локалне администрације, повећање ефикасности и ефективности локалних политика у кризним периодима обезбјеђује уредно извршавање јавних функција и послова  ЈЛС.</w:t>
      </w:r>
    </w:p>
    <w:p w14:paraId="5B32563A" w14:textId="1292E4BE" w:rsidR="00D065D0" w:rsidRDefault="00D065D0" w:rsidP="00D065D0">
      <w:pPr>
        <w:tabs>
          <w:tab w:val="left" w:pos="709"/>
          <w:tab w:val="left" w:pos="1530"/>
        </w:tabs>
        <w:spacing w:line="276" w:lineRule="auto"/>
        <w:jc w:val="both"/>
        <w:rPr>
          <w:sz w:val="22"/>
          <w:lang w:val="sr-Cyrl-RS"/>
        </w:rPr>
      </w:pPr>
    </w:p>
    <w:p w14:paraId="285E1302" w14:textId="3C0C003B" w:rsidR="00D065D0" w:rsidRDefault="00D065D0" w:rsidP="00D065D0">
      <w:pPr>
        <w:tabs>
          <w:tab w:val="left" w:pos="709"/>
          <w:tab w:val="left" w:pos="1530"/>
        </w:tabs>
        <w:spacing w:line="276" w:lineRule="auto"/>
        <w:jc w:val="both"/>
        <w:rPr>
          <w:sz w:val="22"/>
          <w:lang w:val="sr-Cyrl-RS"/>
        </w:rPr>
      </w:pPr>
    </w:p>
    <w:p w14:paraId="33719C5E" w14:textId="2888A02F" w:rsidR="00D065D0" w:rsidRDefault="00D065D0" w:rsidP="00D065D0">
      <w:pPr>
        <w:tabs>
          <w:tab w:val="left" w:pos="709"/>
          <w:tab w:val="left" w:pos="1530"/>
        </w:tabs>
        <w:spacing w:line="276" w:lineRule="auto"/>
        <w:jc w:val="both"/>
        <w:rPr>
          <w:sz w:val="22"/>
          <w:lang w:val="sr-Cyrl-RS"/>
        </w:rPr>
      </w:pPr>
    </w:p>
    <w:p w14:paraId="1C760358" w14:textId="766AF964" w:rsidR="00D065D0" w:rsidRDefault="00D065D0" w:rsidP="00D065D0">
      <w:pPr>
        <w:tabs>
          <w:tab w:val="left" w:pos="709"/>
          <w:tab w:val="left" w:pos="1530"/>
        </w:tabs>
        <w:spacing w:line="276" w:lineRule="auto"/>
        <w:jc w:val="both"/>
        <w:rPr>
          <w:sz w:val="22"/>
          <w:lang w:val="sr-Cyrl-RS"/>
        </w:rPr>
      </w:pPr>
    </w:p>
    <w:p w14:paraId="00EE7AE7" w14:textId="57ED8FE9" w:rsidR="00D065D0" w:rsidRDefault="00D065D0" w:rsidP="00D065D0">
      <w:pPr>
        <w:tabs>
          <w:tab w:val="left" w:pos="709"/>
          <w:tab w:val="left" w:pos="1530"/>
        </w:tabs>
        <w:spacing w:line="276" w:lineRule="auto"/>
        <w:jc w:val="both"/>
        <w:rPr>
          <w:sz w:val="22"/>
          <w:lang w:val="sr-Cyrl-RS"/>
        </w:rPr>
      </w:pPr>
    </w:p>
    <w:p w14:paraId="4FB6CCFD" w14:textId="32E2E811" w:rsidR="00D065D0" w:rsidRDefault="00D065D0" w:rsidP="00D065D0">
      <w:pPr>
        <w:tabs>
          <w:tab w:val="left" w:pos="709"/>
          <w:tab w:val="left" w:pos="1530"/>
        </w:tabs>
        <w:spacing w:line="276" w:lineRule="auto"/>
        <w:jc w:val="both"/>
        <w:rPr>
          <w:sz w:val="22"/>
          <w:lang w:val="sr-Cyrl-RS"/>
        </w:rPr>
      </w:pPr>
    </w:p>
    <w:p w14:paraId="45EDAC11" w14:textId="49EEE47D" w:rsidR="00D065D0" w:rsidRDefault="00D065D0" w:rsidP="00D065D0">
      <w:pPr>
        <w:tabs>
          <w:tab w:val="left" w:pos="709"/>
          <w:tab w:val="left" w:pos="1530"/>
        </w:tabs>
        <w:spacing w:line="276" w:lineRule="auto"/>
        <w:jc w:val="both"/>
        <w:rPr>
          <w:sz w:val="22"/>
          <w:lang w:val="sr-Cyrl-RS"/>
        </w:rPr>
      </w:pPr>
    </w:p>
    <w:p w14:paraId="6CC060DB" w14:textId="2B509C68" w:rsidR="00D065D0" w:rsidRDefault="00D065D0" w:rsidP="00D065D0">
      <w:pPr>
        <w:tabs>
          <w:tab w:val="left" w:pos="709"/>
          <w:tab w:val="left" w:pos="1530"/>
        </w:tabs>
        <w:spacing w:line="276" w:lineRule="auto"/>
        <w:jc w:val="both"/>
        <w:rPr>
          <w:sz w:val="22"/>
          <w:lang w:val="sr-Cyrl-RS"/>
        </w:rPr>
      </w:pPr>
    </w:p>
    <w:p w14:paraId="4E8D1C85" w14:textId="168BF2E2" w:rsidR="00D065D0" w:rsidRDefault="00D065D0" w:rsidP="00D065D0">
      <w:pPr>
        <w:tabs>
          <w:tab w:val="left" w:pos="709"/>
          <w:tab w:val="left" w:pos="1530"/>
        </w:tabs>
        <w:spacing w:line="276" w:lineRule="auto"/>
        <w:jc w:val="both"/>
        <w:rPr>
          <w:sz w:val="22"/>
          <w:lang w:val="sr-Cyrl-RS"/>
        </w:rPr>
      </w:pPr>
    </w:p>
    <w:p w14:paraId="11F19668" w14:textId="7C23C023" w:rsidR="00D065D0" w:rsidRDefault="00D065D0" w:rsidP="00D065D0">
      <w:pPr>
        <w:tabs>
          <w:tab w:val="left" w:pos="709"/>
          <w:tab w:val="left" w:pos="1530"/>
        </w:tabs>
        <w:spacing w:line="276" w:lineRule="auto"/>
        <w:jc w:val="both"/>
        <w:rPr>
          <w:sz w:val="22"/>
          <w:lang w:val="sr-Cyrl-RS"/>
        </w:rPr>
      </w:pPr>
    </w:p>
    <w:p w14:paraId="028EECF0" w14:textId="40246E28" w:rsidR="00D065D0" w:rsidRDefault="00D065D0" w:rsidP="00D065D0">
      <w:pPr>
        <w:tabs>
          <w:tab w:val="left" w:pos="709"/>
          <w:tab w:val="left" w:pos="1530"/>
        </w:tabs>
        <w:spacing w:line="276" w:lineRule="auto"/>
        <w:jc w:val="both"/>
        <w:rPr>
          <w:sz w:val="22"/>
          <w:lang w:val="sr-Cyrl-RS"/>
        </w:rPr>
      </w:pPr>
    </w:p>
    <w:p w14:paraId="50A2CC80" w14:textId="108C1E6C" w:rsidR="00D065D0" w:rsidRDefault="00D065D0" w:rsidP="00D065D0">
      <w:pPr>
        <w:tabs>
          <w:tab w:val="left" w:pos="709"/>
          <w:tab w:val="left" w:pos="1530"/>
        </w:tabs>
        <w:spacing w:line="276" w:lineRule="auto"/>
        <w:jc w:val="both"/>
        <w:rPr>
          <w:sz w:val="22"/>
          <w:lang w:val="sr-Cyrl-RS"/>
        </w:rPr>
      </w:pPr>
    </w:p>
    <w:p w14:paraId="6A77D97E" w14:textId="12DFA2D3" w:rsidR="00D065D0" w:rsidRDefault="00D065D0" w:rsidP="00D065D0">
      <w:pPr>
        <w:tabs>
          <w:tab w:val="left" w:pos="709"/>
          <w:tab w:val="left" w:pos="1530"/>
        </w:tabs>
        <w:spacing w:line="276" w:lineRule="auto"/>
        <w:jc w:val="both"/>
        <w:rPr>
          <w:sz w:val="22"/>
          <w:lang w:val="sr-Cyrl-RS"/>
        </w:rPr>
      </w:pPr>
    </w:p>
    <w:p w14:paraId="28762948" w14:textId="581A8493" w:rsidR="00D065D0" w:rsidRDefault="00D065D0" w:rsidP="00D065D0">
      <w:pPr>
        <w:tabs>
          <w:tab w:val="left" w:pos="709"/>
          <w:tab w:val="left" w:pos="1530"/>
        </w:tabs>
        <w:spacing w:line="276" w:lineRule="auto"/>
        <w:jc w:val="both"/>
        <w:rPr>
          <w:sz w:val="22"/>
          <w:lang w:val="sr-Cyrl-RS"/>
        </w:rPr>
      </w:pPr>
    </w:p>
    <w:p w14:paraId="0C5CD7F1" w14:textId="60D4F88A" w:rsidR="00D065D0" w:rsidRDefault="00D065D0" w:rsidP="00D065D0">
      <w:pPr>
        <w:tabs>
          <w:tab w:val="left" w:pos="709"/>
          <w:tab w:val="left" w:pos="1530"/>
        </w:tabs>
        <w:spacing w:line="276" w:lineRule="auto"/>
        <w:jc w:val="both"/>
        <w:rPr>
          <w:sz w:val="22"/>
          <w:lang w:val="sr-Cyrl-RS"/>
        </w:rPr>
      </w:pPr>
    </w:p>
    <w:p w14:paraId="0C5815A1" w14:textId="77777777" w:rsidR="008518A6" w:rsidRPr="00F66D0A" w:rsidRDefault="00CA07A9" w:rsidP="008D586C">
      <w:pPr>
        <w:pStyle w:val="Heading1"/>
        <w:spacing w:line="276" w:lineRule="auto"/>
        <w:rPr>
          <w:sz w:val="22"/>
        </w:rPr>
      </w:pPr>
      <w:bookmarkStart w:id="2" w:name="_Toc59550005"/>
      <w:bookmarkEnd w:id="1"/>
      <w:r w:rsidRPr="00F66D0A">
        <w:rPr>
          <w:sz w:val="22"/>
          <w:lang w:val="sr-Cyrl-BA"/>
        </w:rPr>
        <w:lastRenderedPageBreak/>
        <w:t>2</w:t>
      </w:r>
      <w:r w:rsidR="007244AC" w:rsidRPr="00F66D0A">
        <w:rPr>
          <w:sz w:val="22"/>
          <w:lang w:val="sr-Cyrl-BA"/>
        </w:rPr>
        <w:t>.</w:t>
      </w:r>
      <w:r w:rsidR="008518A6" w:rsidRPr="00F66D0A">
        <w:rPr>
          <w:sz w:val="22"/>
        </w:rPr>
        <w:t xml:space="preserve"> </w:t>
      </w:r>
      <w:r w:rsidR="005F5B2B" w:rsidRPr="00F66D0A">
        <w:rPr>
          <w:sz w:val="22"/>
          <w:lang w:val="sr-Cyrl-RS"/>
        </w:rPr>
        <w:t>ОПШТИ ЕКОНОМСКИ ОКВИР У 2020. ГОДИНИ</w:t>
      </w:r>
      <w:bookmarkEnd w:id="2"/>
    </w:p>
    <w:p w14:paraId="2A426CCC" w14:textId="77777777" w:rsidR="008518A6" w:rsidRDefault="008518A6" w:rsidP="008D586C">
      <w:pPr>
        <w:spacing w:line="276" w:lineRule="auto"/>
        <w:jc w:val="both"/>
        <w:rPr>
          <w:lang w:val="sr-Cyrl-CS"/>
        </w:rPr>
      </w:pPr>
    </w:p>
    <w:p w14:paraId="5154A780" w14:textId="77777777" w:rsidR="00EF42B1" w:rsidRPr="000E35F1" w:rsidRDefault="00EF42B1" w:rsidP="002C721E">
      <w:pPr>
        <w:spacing w:line="276" w:lineRule="auto"/>
        <w:ind w:firstLine="709"/>
        <w:jc w:val="both"/>
        <w:rPr>
          <w:sz w:val="22"/>
          <w:szCs w:val="22"/>
          <w:lang w:val="sr-Cyrl-RS" w:eastAsia="en-US"/>
        </w:rPr>
      </w:pPr>
      <w:proofErr w:type="spellStart"/>
      <w:r w:rsidRPr="000E35F1">
        <w:rPr>
          <w:sz w:val="22"/>
          <w:szCs w:val="22"/>
          <w:lang w:val="sr-Cyrl-RS"/>
        </w:rPr>
        <w:t>Свјетска</w:t>
      </w:r>
      <w:proofErr w:type="spellEnd"/>
      <w:r w:rsidRPr="000E35F1">
        <w:rPr>
          <w:sz w:val="22"/>
          <w:szCs w:val="22"/>
          <w:lang w:val="sr-Cyrl-RS"/>
        </w:rPr>
        <w:t xml:space="preserve"> зд</w:t>
      </w:r>
      <w:r w:rsidR="005E7D57" w:rsidRPr="000E35F1">
        <w:rPr>
          <w:sz w:val="22"/>
          <w:szCs w:val="22"/>
          <w:lang w:val="sr-Cyrl-RS"/>
        </w:rPr>
        <w:t>равствена организација прогласил</w:t>
      </w:r>
      <w:r w:rsidRPr="000E35F1">
        <w:rPr>
          <w:sz w:val="22"/>
          <w:szCs w:val="22"/>
          <w:lang w:val="sr-Cyrl-RS"/>
        </w:rPr>
        <w:t xml:space="preserve">а је  </w:t>
      </w:r>
      <w:proofErr w:type="spellStart"/>
      <w:r w:rsidR="002C721E" w:rsidRPr="000E35F1">
        <w:rPr>
          <w:sz w:val="22"/>
          <w:szCs w:val="22"/>
          <w:lang w:val="sr-Cyrl-CS"/>
        </w:rPr>
        <w:t>пандемију</w:t>
      </w:r>
      <w:proofErr w:type="spellEnd"/>
      <w:r w:rsidR="002C721E" w:rsidRPr="000E35F1">
        <w:rPr>
          <w:sz w:val="22"/>
          <w:szCs w:val="22"/>
          <w:lang w:val="sr-Cyrl-CS"/>
        </w:rPr>
        <w:t xml:space="preserve"> </w:t>
      </w:r>
      <w:r w:rsidR="002C721E" w:rsidRPr="000E35F1">
        <w:rPr>
          <w:sz w:val="22"/>
          <w:szCs w:val="22"/>
          <w:lang w:val="sr-Cyrl-RS"/>
        </w:rPr>
        <w:t xml:space="preserve"> 11. марта 2020. године, због ширења вируса корона, који изазива болест под називом </w:t>
      </w:r>
      <w:r w:rsidR="002C721E" w:rsidRPr="000E35F1">
        <w:rPr>
          <w:sz w:val="22"/>
          <w:szCs w:val="22"/>
          <w:lang w:val="en-US" w:eastAsia="en-US"/>
        </w:rPr>
        <w:t>COVID</w:t>
      </w:r>
      <w:r w:rsidR="00367473" w:rsidRPr="000E35F1">
        <w:rPr>
          <w:sz w:val="22"/>
          <w:szCs w:val="22"/>
          <w:lang w:val="en-US" w:eastAsia="en-US"/>
        </w:rPr>
        <w:t>-19</w:t>
      </w:r>
      <w:r w:rsidR="002C721E" w:rsidRPr="000E35F1">
        <w:rPr>
          <w:sz w:val="22"/>
          <w:szCs w:val="22"/>
          <w:lang w:val="en-US" w:eastAsia="en-US"/>
        </w:rPr>
        <w:t xml:space="preserve">. </w:t>
      </w:r>
      <w:r w:rsidR="002C721E" w:rsidRPr="000E35F1">
        <w:rPr>
          <w:sz w:val="22"/>
          <w:szCs w:val="22"/>
          <w:lang w:val="sr-Cyrl-RS" w:eastAsia="en-US"/>
        </w:rPr>
        <w:t xml:space="preserve">Почетком марта 2020. године </w:t>
      </w:r>
      <w:proofErr w:type="spellStart"/>
      <w:r w:rsidR="002C721E" w:rsidRPr="000E35F1">
        <w:rPr>
          <w:sz w:val="22"/>
          <w:szCs w:val="22"/>
          <w:lang w:val="sr-Cyrl-RS" w:eastAsia="en-US"/>
        </w:rPr>
        <w:t>забиљежени</w:t>
      </w:r>
      <w:proofErr w:type="spellEnd"/>
      <w:r w:rsidR="002C721E" w:rsidRPr="000E35F1">
        <w:rPr>
          <w:sz w:val="22"/>
          <w:szCs w:val="22"/>
          <w:lang w:val="sr-Cyrl-RS" w:eastAsia="en-US"/>
        </w:rPr>
        <w:t xml:space="preserve"> су први случајеви </w:t>
      </w:r>
      <w:proofErr w:type="spellStart"/>
      <w:r w:rsidR="002C721E" w:rsidRPr="000E35F1">
        <w:rPr>
          <w:sz w:val="22"/>
          <w:szCs w:val="22"/>
          <w:lang w:val="sr-Cyrl-RS" w:eastAsia="en-US"/>
        </w:rPr>
        <w:t>обољелих</w:t>
      </w:r>
      <w:proofErr w:type="spellEnd"/>
      <w:r w:rsidR="002C721E" w:rsidRPr="000E35F1">
        <w:rPr>
          <w:sz w:val="22"/>
          <w:szCs w:val="22"/>
          <w:lang w:val="sr-Cyrl-RS" w:eastAsia="en-US"/>
        </w:rPr>
        <w:t xml:space="preserve"> у БиХ и РС. Влада Републике Српске </w:t>
      </w:r>
      <w:proofErr w:type="spellStart"/>
      <w:r w:rsidR="002C721E" w:rsidRPr="000E35F1">
        <w:rPr>
          <w:sz w:val="22"/>
          <w:szCs w:val="22"/>
          <w:lang w:val="sr-Cyrl-RS" w:eastAsia="en-US"/>
        </w:rPr>
        <w:t>донијела</w:t>
      </w:r>
      <w:proofErr w:type="spellEnd"/>
      <w:r w:rsidR="002C721E" w:rsidRPr="000E35F1">
        <w:rPr>
          <w:sz w:val="22"/>
          <w:szCs w:val="22"/>
          <w:lang w:val="sr-Cyrl-RS" w:eastAsia="en-US"/>
        </w:rPr>
        <w:t xml:space="preserve"> је 16. марта Одлуку о проглашењу ванредне ситуације, а 17. марта </w:t>
      </w:r>
      <w:proofErr w:type="spellStart"/>
      <w:r w:rsidR="002C721E" w:rsidRPr="000E35F1">
        <w:rPr>
          <w:sz w:val="22"/>
          <w:szCs w:val="22"/>
          <w:lang w:val="en-US" w:eastAsia="en-US"/>
        </w:rPr>
        <w:t>Савјет</w:t>
      </w:r>
      <w:proofErr w:type="spellEnd"/>
      <w:r w:rsidR="002C721E" w:rsidRPr="000E35F1">
        <w:rPr>
          <w:sz w:val="22"/>
          <w:szCs w:val="22"/>
          <w:lang w:val="en-US" w:eastAsia="en-US"/>
        </w:rPr>
        <w:t xml:space="preserve"> </w:t>
      </w:r>
      <w:proofErr w:type="spellStart"/>
      <w:r w:rsidR="002C721E" w:rsidRPr="000E35F1">
        <w:rPr>
          <w:sz w:val="22"/>
          <w:szCs w:val="22"/>
          <w:lang w:val="en-US" w:eastAsia="en-US"/>
        </w:rPr>
        <w:t>министара</w:t>
      </w:r>
      <w:proofErr w:type="spellEnd"/>
      <w:r w:rsidR="002C721E" w:rsidRPr="000E35F1">
        <w:rPr>
          <w:sz w:val="22"/>
          <w:szCs w:val="22"/>
          <w:lang w:val="en-US" w:eastAsia="en-US"/>
        </w:rPr>
        <w:t xml:space="preserve"> </w:t>
      </w:r>
      <w:proofErr w:type="spellStart"/>
      <w:r w:rsidR="002C721E" w:rsidRPr="000E35F1">
        <w:rPr>
          <w:sz w:val="22"/>
          <w:szCs w:val="22"/>
          <w:lang w:val="en-US" w:eastAsia="en-US"/>
        </w:rPr>
        <w:t>БиХ</w:t>
      </w:r>
      <w:proofErr w:type="spellEnd"/>
      <w:r w:rsidR="002C721E" w:rsidRPr="000E35F1">
        <w:rPr>
          <w:sz w:val="22"/>
          <w:szCs w:val="22"/>
          <w:lang w:val="en-US" w:eastAsia="en-US"/>
        </w:rPr>
        <w:t xml:space="preserve"> </w:t>
      </w:r>
      <w:r w:rsidR="00367473" w:rsidRPr="000E35F1">
        <w:rPr>
          <w:sz w:val="22"/>
          <w:szCs w:val="22"/>
          <w:lang w:val="sr-Cyrl-RS" w:eastAsia="en-US"/>
        </w:rPr>
        <w:t xml:space="preserve">је </w:t>
      </w:r>
      <w:proofErr w:type="spellStart"/>
      <w:r w:rsidR="00367473" w:rsidRPr="000E35F1">
        <w:rPr>
          <w:sz w:val="22"/>
          <w:szCs w:val="22"/>
          <w:lang w:val="sr-Cyrl-RS" w:eastAsia="en-US"/>
        </w:rPr>
        <w:t>усвјио</w:t>
      </w:r>
      <w:proofErr w:type="spellEnd"/>
      <w:r w:rsidR="00367473" w:rsidRPr="000E35F1">
        <w:rPr>
          <w:sz w:val="22"/>
          <w:szCs w:val="22"/>
          <w:lang w:val="sr-Cyrl-RS" w:eastAsia="en-US"/>
        </w:rPr>
        <w:t xml:space="preserve"> </w:t>
      </w:r>
      <w:r w:rsidR="002C721E" w:rsidRPr="000E35F1">
        <w:rPr>
          <w:sz w:val="22"/>
          <w:szCs w:val="22"/>
          <w:lang w:val="sr-Cyrl-RS" w:eastAsia="en-US"/>
        </w:rPr>
        <w:t xml:space="preserve">одлуку о проглашењу стања природне или друге несреће на подручју БиХ. </w:t>
      </w:r>
    </w:p>
    <w:p w14:paraId="37AAA7BA" w14:textId="77777777" w:rsidR="005E7D57" w:rsidRPr="000E35F1" w:rsidRDefault="005E7D57" w:rsidP="002C721E">
      <w:pPr>
        <w:spacing w:line="276" w:lineRule="auto"/>
        <w:ind w:firstLine="709"/>
        <w:jc w:val="both"/>
        <w:rPr>
          <w:sz w:val="22"/>
          <w:szCs w:val="22"/>
          <w:lang w:val="sr-Cyrl-RS" w:eastAsia="en-US"/>
        </w:rPr>
      </w:pPr>
    </w:p>
    <w:p w14:paraId="28F15653" w14:textId="77777777" w:rsidR="00EF42B1" w:rsidRPr="000E35F1" w:rsidRDefault="002C721E" w:rsidP="005E7D57">
      <w:pPr>
        <w:spacing w:line="276" w:lineRule="auto"/>
        <w:ind w:firstLine="709"/>
        <w:jc w:val="both"/>
        <w:rPr>
          <w:sz w:val="22"/>
          <w:szCs w:val="22"/>
          <w:lang w:val="sr-Cyrl-RS" w:eastAsia="en-US"/>
        </w:rPr>
      </w:pPr>
      <w:r w:rsidRPr="000E35F1">
        <w:rPr>
          <w:sz w:val="22"/>
          <w:szCs w:val="22"/>
          <w:lang w:val="sr-Cyrl-RS" w:eastAsia="en-US"/>
        </w:rPr>
        <w:t xml:space="preserve">Надлежни органи на свим нивоима власти, укључујући и јединице локалне самоуправе предузели су низ </w:t>
      </w:r>
      <w:proofErr w:type="spellStart"/>
      <w:r w:rsidRPr="000E35F1">
        <w:rPr>
          <w:sz w:val="22"/>
          <w:szCs w:val="22"/>
          <w:lang w:val="sr-Cyrl-RS" w:eastAsia="en-US"/>
        </w:rPr>
        <w:t>мјера</w:t>
      </w:r>
      <w:proofErr w:type="spellEnd"/>
      <w:r w:rsidRPr="000E35F1">
        <w:rPr>
          <w:sz w:val="22"/>
          <w:szCs w:val="22"/>
          <w:lang w:val="sr-Cyrl-RS" w:eastAsia="en-US"/>
        </w:rPr>
        <w:t xml:space="preserve"> и активности, а с циљем спречавања ширења ове болести</w:t>
      </w:r>
      <w:r w:rsidRPr="000E35F1">
        <w:rPr>
          <w:color w:val="5D5D5D"/>
          <w:sz w:val="22"/>
          <w:szCs w:val="22"/>
          <w:lang w:val="sr-Cyrl-RS" w:eastAsia="en-US"/>
        </w:rPr>
        <w:t xml:space="preserve">. </w:t>
      </w:r>
      <w:proofErr w:type="spellStart"/>
      <w:r w:rsidRPr="000E35F1">
        <w:rPr>
          <w:sz w:val="22"/>
          <w:szCs w:val="22"/>
          <w:lang w:val="sr-Cyrl-RS" w:eastAsia="en-US"/>
        </w:rPr>
        <w:t>Дио</w:t>
      </w:r>
      <w:proofErr w:type="spellEnd"/>
      <w:r w:rsidRPr="000E35F1">
        <w:rPr>
          <w:sz w:val="22"/>
          <w:szCs w:val="22"/>
          <w:lang w:val="sr-Cyrl-RS" w:eastAsia="en-US"/>
        </w:rPr>
        <w:t xml:space="preserve"> ових </w:t>
      </w:r>
      <w:proofErr w:type="spellStart"/>
      <w:r w:rsidRPr="000E35F1">
        <w:rPr>
          <w:sz w:val="22"/>
          <w:szCs w:val="22"/>
          <w:lang w:val="sr-Cyrl-RS" w:eastAsia="en-US"/>
        </w:rPr>
        <w:t>мјера</w:t>
      </w:r>
      <w:proofErr w:type="spellEnd"/>
      <w:r w:rsidRPr="000E35F1">
        <w:rPr>
          <w:sz w:val="22"/>
          <w:szCs w:val="22"/>
          <w:lang w:val="sr-Cyrl-RS" w:eastAsia="en-US"/>
        </w:rPr>
        <w:t xml:space="preserve"> је укључивао и забрану или</w:t>
      </w:r>
      <w:r w:rsidR="00B2002C" w:rsidRPr="000E35F1">
        <w:rPr>
          <w:sz w:val="22"/>
          <w:szCs w:val="22"/>
          <w:lang w:val="sr-Cyrl-RS" w:eastAsia="en-US"/>
        </w:rPr>
        <w:t xml:space="preserve"> ограничење рада за привредне субјекте</w:t>
      </w:r>
      <w:r w:rsidR="005E7D57" w:rsidRPr="000E35F1">
        <w:rPr>
          <w:sz w:val="22"/>
          <w:szCs w:val="22"/>
          <w:lang w:val="sr-Cyrl-RS" w:eastAsia="en-US"/>
        </w:rPr>
        <w:t xml:space="preserve"> из појединих </w:t>
      </w:r>
      <w:proofErr w:type="spellStart"/>
      <w:r w:rsidR="00BE2EE1" w:rsidRPr="000E35F1">
        <w:rPr>
          <w:sz w:val="22"/>
          <w:szCs w:val="22"/>
          <w:lang w:val="sr-Cyrl-RS" w:eastAsia="en-US"/>
        </w:rPr>
        <w:t>дјелатности</w:t>
      </w:r>
      <w:proofErr w:type="spellEnd"/>
      <w:r w:rsidR="00BE2EE1" w:rsidRPr="000E35F1">
        <w:rPr>
          <w:sz w:val="22"/>
          <w:szCs w:val="22"/>
          <w:lang w:val="sr-Cyrl-RS" w:eastAsia="en-US"/>
        </w:rPr>
        <w:t>, као и за поједине</w:t>
      </w:r>
      <w:r w:rsidR="005208F7" w:rsidRPr="000E35F1">
        <w:rPr>
          <w:sz w:val="22"/>
          <w:szCs w:val="22"/>
          <w:lang w:val="sr-Cyrl-RS" w:eastAsia="en-US"/>
        </w:rPr>
        <w:t xml:space="preserve"> установе</w:t>
      </w:r>
      <w:r w:rsidR="00BE2EE1" w:rsidRPr="000E35F1">
        <w:rPr>
          <w:sz w:val="22"/>
          <w:szCs w:val="22"/>
          <w:lang w:val="sr-Cyrl-RS" w:eastAsia="en-US"/>
        </w:rPr>
        <w:t xml:space="preserve"> и службе</w:t>
      </w:r>
      <w:r w:rsidR="005208F7" w:rsidRPr="000E35F1">
        <w:rPr>
          <w:sz w:val="22"/>
          <w:szCs w:val="22"/>
          <w:lang w:val="sr-Cyrl-RS" w:eastAsia="en-US"/>
        </w:rPr>
        <w:t xml:space="preserve">. </w:t>
      </w:r>
      <w:r w:rsidR="00FA68C2" w:rsidRPr="000E35F1">
        <w:rPr>
          <w:sz w:val="22"/>
          <w:szCs w:val="22"/>
          <w:lang w:val="sr-Cyrl-RS" w:eastAsia="en-US"/>
        </w:rPr>
        <w:t xml:space="preserve"> </w:t>
      </w:r>
      <w:proofErr w:type="spellStart"/>
      <w:r w:rsidR="005E7D57" w:rsidRPr="000E35F1">
        <w:rPr>
          <w:sz w:val="22"/>
          <w:szCs w:val="22"/>
          <w:lang w:val="sr-Cyrl-RS" w:eastAsia="en-US"/>
        </w:rPr>
        <w:t>Извјесно</w:t>
      </w:r>
      <w:proofErr w:type="spellEnd"/>
      <w:r w:rsidR="005E7D57" w:rsidRPr="000E35F1">
        <w:rPr>
          <w:sz w:val="22"/>
          <w:szCs w:val="22"/>
          <w:lang w:val="sr-Cyrl-RS" w:eastAsia="en-US"/>
        </w:rPr>
        <w:t xml:space="preserve"> </w:t>
      </w:r>
      <w:r w:rsidR="005208F7" w:rsidRPr="000E35F1">
        <w:rPr>
          <w:sz w:val="22"/>
          <w:szCs w:val="22"/>
          <w:lang w:val="sr-Cyrl-RS" w:eastAsia="en-US"/>
        </w:rPr>
        <w:t xml:space="preserve"> </w:t>
      </w:r>
      <w:proofErr w:type="spellStart"/>
      <w:r w:rsidR="005208F7" w:rsidRPr="000E35F1">
        <w:rPr>
          <w:sz w:val="22"/>
          <w:szCs w:val="22"/>
          <w:lang w:val="sr-Cyrl-RS" w:eastAsia="en-US"/>
        </w:rPr>
        <w:t>вријеме</w:t>
      </w:r>
      <w:proofErr w:type="spellEnd"/>
      <w:r w:rsidR="00B2002C" w:rsidRPr="000E35F1">
        <w:rPr>
          <w:sz w:val="22"/>
          <w:szCs w:val="22"/>
          <w:lang w:val="sr-Cyrl-RS" w:eastAsia="en-US"/>
        </w:rPr>
        <w:t xml:space="preserve"> </w:t>
      </w:r>
      <w:r w:rsidR="00FA68C2" w:rsidRPr="000E35F1">
        <w:rPr>
          <w:sz w:val="22"/>
          <w:szCs w:val="22"/>
          <w:lang w:val="sr-Cyrl-RS" w:eastAsia="en-US"/>
        </w:rPr>
        <w:t xml:space="preserve">у БиХ , односно РС, </w:t>
      </w:r>
      <w:r w:rsidR="00B2002C" w:rsidRPr="000E35F1">
        <w:rPr>
          <w:sz w:val="22"/>
          <w:szCs w:val="22"/>
          <w:lang w:val="sr-Cyrl-RS" w:eastAsia="en-US"/>
        </w:rPr>
        <w:t xml:space="preserve">је </w:t>
      </w:r>
      <w:r w:rsidR="00FA68C2" w:rsidRPr="000E35F1">
        <w:rPr>
          <w:sz w:val="22"/>
          <w:szCs w:val="22"/>
          <w:lang w:val="sr-Cyrl-RS" w:eastAsia="en-US"/>
        </w:rPr>
        <w:t xml:space="preserve">било </w:t>
      </w:r>
      <w:r w:rsidR="00B2002C" w:rsidRPr="000E35F1">
        <w:rPr>
          <w:sz w:val="22"/>
          <w:szCs w:val="22"/>
          <w:lang w:val="sr-Cyrl-RS" w:eastAsia="en-US"/>
        </w:rPr>
        <w:t>ог</w:t>
      </w:r>
      <w:r w:rsidR="00FA68C2" w:rsidRPr="000E35F1">
        <w:rPr>
          <w:sz w:val="22"/>
          <w:szCs w:val="22"/>
          <w:lang w:val="sr-Cyrl-RS" w:eastAsia="en-US"/>
        </w:rPr>
        <w:t xml:space="preserve">раничено и кретање становништва, </w:t>
      </w:r>
      <w:proofErr w:type="spellStart"/>
      <w:r w:rsidR="005E7D57" w:rsidRPr="000E35F1">
        <w:rPr>
          <w:sz w:val="22"/>
          <w:szCs w:val="22"/>
          <w:lang w:val="en-US" w:eastAsia="en-US"/>
        </w:rPr>
        <w:t>како</w:t>
      </w:r>
      <w:proofErr w:type="spellEnd"/>
      <w:r w:rsidR="005E7D57" w:rsidRPr="000E35F1">
        <w:rPr>
          <w:sz w:val="22"/>
          <w:szCs w:val="22"/>
          <w:lang w:val="en-US" w:eastAsia="en-US"/>
        </w:rPr>
        <w:t xml:space="preserve"> у </w:t>
      </w:r>
      <w:proofErr w:type="spellStart"/>
      <w:r w:rsidR="005E7D57" w:rsidRPr="000E35F1">
        <w:rPr>
          <w:sz w:val="22"/>
          <w:szCs w:val="22"/>
          <w:lang w:val="en-US" w:eastAsia="en-US"/>
        </w:rPr>
        <w:t>земљи</w:t>
      </w:r>
      <w:proofErr w:type="spellEnd"/>
      <w:r w:rsidR="005E7D57" w:rsidRPr="000E35F1">
        <w:rPr>
          <w:sz w:val="22"/>
          <w:szCs w:val="22"/>
          <w:lang w:val="en-US" w:eastAsia="en-US"/>
        </w:rPr>
        <w:t xml:space="preserve">, </w:t>
      </w:r>
      <w:proofErr w:type="spellStart"/>
      <w:r w:rsidR="005E7D57" w:rsidRPr="000E35F1">
        <w:rPr>
          <w:sz w:val="22"/>
          <w:szCs w:val="22"/>
          <w:lang w:val="en-US" w:eastAsia="en-US"/>
        </w:rPr>
        <w:t>тако</w:t>
      </w:r>
      <w:proofErr w:type="spellEnd"/>
      <w:r w:rsidR="005E7D57" w:rsidRPr="000E35F1">
        <w:rPr>
          <w:sz w:val="22"/>
          <w:szCs w:val="22"/>
          <w:lang w:val="en-US" w:eastAsia="en-US"/>
        </w:rPr>
        <w:t xml:space="preserve"> и у </w:t>
      </w:r>
      <w:proofErr w:type="spellStart"/>
      <w:r w:rsidR="005E7D57" w:rsidRPr="000E35F1">
        <w:rPr>
          <w:sz w:val="22"/>
          <w:szCs w:val="22"/>
          <w:lang w:val="en-US" w:eastAsia="en-US"/>
        </w:rPr>
        <w:t>међународном</w:t>
      </w:r>
      <w:proofErr w:type="spellEnd"/>
      <w:r w:rsidR="005E7D57" w:rsidRPr="000E35F1">
        <w:rPr>
          <w:sz w:val="22"/>
          <w:szCs w:val="22"/>
          <w:lang w:val="en-US" w:eastAsia="en-US"/>
        </w:rPr>
        <w:t xml:space="preserve"> </w:t>
      </w:r>
      <w:proofErr w:type="spellStart"/>
      <w:r w:rsidR="005E7D57" w:rsidRPr="000E35F1">
        <w:rPr>
          <w:sz w:val="22"/>
          <w:szCs w:val="22"/>
          <w:lang w:val="en-US" w:eastAsia="en-US"/>
        </w:rPr>
        <w:t>промету</w:t>
      </w:r>
      <w:proofErr w:type="spellEnd"/>
      <w:r w:rsidR="00FA68C2" w:rsidRPr="000E35F1">
        <w:rPr>
          <w:sz w:val="22"/>
          <w:szCs w:val="22"/>
          <w:lang w:val="sr-Cyrl-RS" w:eastAsia="en-US"/>
        </w:rPr>
        <w:t xml:space="preserve">. На снази је још </w:t>
      </w:r>
      <w:proofErr w:type="spellStart"/>
      <w:r w:rsidR="00FA68C2" w:rsidRPr="000E35F1">
        <w:rPr>
          <w:sz w:val="22"/>
          <w:szCs w:val="22"/>
          <w:lang w:val="sr-Cyrl-RS" w:eastAsia="en-US"/>
        </w:rPr>
        <w:t>увијек</w:t>
      </w:r>
      <w:proofErr w:type="spellEnd"/>
      <w:r w:rsidR="00FA68C2" w:rsidRPr="000E35F1">
        <w:rPr>
          <w:sz w:val="22"/>
          <w:szCs w:val="22"/>
          <w:lang w:val="sr-Cyrl-RS" w:eastAsia="en-US"/>
        </w:rPr>
        <w:t xml:space="preserve">  забрана већих и јавних окупљања. </w:t>
      </w:r>
    </w:p>
    <w:p w14:paraId="4D897A21" w14:textId="77777777" w:rsidR="00FA68C2" w:rsidRPr="000E35F1" w:rsidRDefault="00FA68C2" w:rsidP="005E7D57">
      <w:pPr>
        <w:spacing w:line="276" w:lineRule="auto"/>
        <w:ind w:firstLine="709"/>
        <w:jc w:val="both"/>
        <w:rPr>
          <w:sz w:val="22"/>
          <w:szCs w:val="22"/>
          <w:lang w:val="sr-Cyrl-RS" w:eastAsia="en-US"/>
        </w:rPr>
      </w:pPr>
    </w:p>
    <w:p w14:paraId="2E1F24DF" w14:textId="77777777" w:rsidR="00971E17" w:rsidRPr="000E35F1" w:rsidRDefault="00FD3BA4" w:rsidP="00971E17">
      <w:pPr>
        <w:spacing w:line="276" w:lineRule="auto"/>
        <w:ind w:firstLine="709"/>
        <w:jc w:val="both"/>
        <w:rPr>
          <w:sz w:val="22"/>
          <w:szCs w:val="22"/>
          <w:lang w:val="sr-Cyrl-RS"/>
        </w:rPr>
      </w:pPr>
      <w:r w:rsidRPr="000E35F1">
        <w:rPr>
          <w:sz w:val="22"/>
          <w:szCs w:val="22"/>
          <w:lang w:val="sr-Cyrl-RS" w:eastAsia="en-US"/>
        </w:rPr>
        <w:t xml:space="preserve"> </w:t>
      </w:r>
      <w:proofErr w:type="spellStart"/>
      <w:r w:rsidRPr="000E35F1">
        <w:rPr>
          <w:sz w:val="22"/>
          <w:szCs w:val="22"/>
          <w:lang w:val="sr-Cyrl-RS" w:eastAsia="en-US"/>
        </w:rPr>
        <w:t>П</w:t>
      </w:r>
      <w:r w:rsidR="00FA68C2" w:rsidRPr="000E35F1">
        <w:rPr>
          <w:sz w:val="22"/>
          <w:szCs w:val="22"/>
          <w:lang w:val="sr-Cyrl-RS" w:eastAsia="en-US"/>
        </w:rPr>
        <w:t>андемија</w:t>
      </w:r>
      <w:proofErr w:type="spellEnd"/>
      <w:r w:rsidR="00FA68C2" w:rsidRPr="000E35F1">
        <w:rPr>
          <w:sz w:val="22"/>
          <w:szCs w:val="22"/>
          <w:lang w:val="sr-Cyrl-RS" w:eastAsia="en-US"/>
        </w:rPr>
        <w:t xml:space="preserve"> </w:t>
      </w:r>
      <w:r w:rsidR="00FA68C2" w:rsidRPr="000E35F1">
        <w:rPr>
          <w:sz w:val="22"/>
          <w:szCs w:val="22"/>
          <w:lang w:val="en-US" w:eastAsia="en-US"/>
        </w:rPr>
        <w:t xml:space="preserve">COVID-19 </w:t>
      </w:r>
      <w:r w:rsidR="00FA68C2" w:rsidRPr="000E35F1">
        <w:rPr>
          <w:sz w:val="22"/>
          <w:szCs w:val="22"/>
          <w:lang w:val="sr-Cyrl-RS" w:eastAsia="en-US"/>
        </w:rPr>
        <w:t>има глобалне размјене, односно захватила је различитим</w:t>
      </w:r>
      <w:r w:rsidR="00971E17" w:rsidRPr="000E35F1">
        <w:rPr>
          <w:sz w:val="22"/>
          <w:szCs w:val="22"/>
          <w:lang w:val="sr-Cyrl-RS" w:eastAsia="en-US"/>
        </w:rPr>
        <w:t xml:space="preserve"> интензитетом готово све земље. </w:t>
      </w:r>
      <w:r w:rsidR="00A6523A" w:rsidRPr="000E35F1">
        <w:rPr>
          <w:sz w:val="22"/>
          <w:szCs w:val="22"/>
          <w:lang w:val="sr-Cyrl-RS"/>
        </w:rPr>
        <w:t xml:space="preserve"> </w:t>
      </w:r>
      <w:r w:rsidR="00CB2105" w:rsidRPr="000E35F1">
        <w:rPr>
          <w:sz w:val="22"/>
          <w:szCs w:val="22"/>
          <w:lang w:val="sr-Cyrl-RS"/>
        </w:rPr>
        <w:t>Први на удару су били здравствени системи, како са становишта додатних трошкова, тако и у погледу ограничености расположивих ресурса  у свим облицима. Већина земаља</w:t>
      </w:r>
      <w:r w:rsidR="00A6523A" w:rsidRPr="000E35F1">
        <w:rPr>
          <w:sz w:val="22"/>
          <w:szCs w:val="22"/>
          <w:lang w:val="sr-Cyrl-RS"/>
        </w:rPr>
        <w:t xml:space="preserve"> је одмах увела </w:t>
      </w:r>
      <w:r w:rsidR="005208F7" w:rsidRPr="000E35F1">
        <w:rPr>
          <w:sz w:val="22"/>
          <w:szCs w:val="22"/>
          <w:lang w:val="sr-Cyrl-RS"/>
        </w:rPr>
        <w:t xml:space="preserve"> </w:t>
      </w:r>
      <w:proofErr w:type="spellStart"/>
      <w:r w:rsidR="00971E17" w:rsidRPr="000E35F1">
        <w:rPr>
          <w:sz w:val="22"/>
          <w:szCs w:val="22"/>
          <w:lang w:val="sr-Cyrl-RS"/>
        </w:rPr>
        <w:t>мјере</w:t>
      </w:r>
      <w:proofErr w:type="spellEnd"/>
      <w:r w:rsidR="00971E17" w:rsidRPr="000E35F1">
        <w:rPr>
          <w:sz w:val="22"/>
          <w:szCs w:val="22"/>
          <w:lang w:val="sr-Cyrl-RS"/>
        </w:rPr>
        <w:t xml:space="preserve"> социјалног дистанцирања и тзв. „закључавање“</w:t>
      </w:r>
      <w:r w:rsidR="001A4CD5" w:rsidRPr="000E35F1">
        <w:rPr>
          <w:sz w:val="22"/>
          <w:szCs w:val="22"/>
          <w:lang w:val="sr-Latn-BA"/>
        </w:rPr>
        <w:t xml:space="preserve"> </w:t>
      </w:r>
      <w:r w:rsidR="00A6523A" w:rsidRPr="000E35F1">
        <w:rPr>
          <w:sz w:val="22"/>
          <w:szCs w:val="22"/>
        </w:rPr>
        <w:t xml:space="preserve">(engl. </w:t>
      </w:r>
      <w:proofErr w:type="spellStart"/>
      <w:r w:rsidR="00A6523A" w:rsidRPr="000E35F1">
        <w:rPr>
          <w:sz w:val="22"/>
          <w:szCs w:val="22"/>
        </w:rPr>
        <w:t>lockdown</w:t>
      </w:r>
      <w:proofErr w:type="spellEnd"/>
      <w:r w:rsidR="00A6523A" w:rsidRPr="000E35F1">
        <w:rPr>
          <w:sz w:val="22"/>
          <w:szCs w:val="22"/>
        </w:rPr>
        <w:t xml:space="preserve">), </w:t>
      </w:r>
      <w:r w:rsidR="00971E17" w:rsidRPr="000E35F1">
        <w:rPr>
          <w:sz w:val="22"/>
          <w:szCs w:val="22"/>
          <w:lang w:val="sr-Cyrl-RS"/>
        </w:rPr>
        <w:t>што је би</w:t>
      </w:r>
      <w:r w:rsidR="00CB2105" w:rsidRPr="000E35F1">
        <w:rPr>
          <w:sz w:val="22"/>
          <w:szCs w:val="22"/>
          <w:lang w:val="sr-Cyrl-RS"/>
        </w:rPr>
        <w:t>л</w:t>
      </w:r>
      <w:r w:rsidR="00971E17" w:rsidRPr="000E35F1">
        <w:rPr>
          <w:sz w:val="22"/>
          <w:szCs w:val="22"/>
          <w:lang w:val="sr-Cyrl-RS"/>
        </w:rPr>
        <w:t>о окидач за почетак негатив</w:t>
      </w:r>
      <w:r w:rsidR="00CB2105" w:rsidRPr="000E35F1">
        <w:rPr>
          <w:sz w:val="22"/>
          <w:szCs w:val="22"/>
          <w:lang w:val="sr-Cyrl-RS"/>
        </w:rPr>
        <w:t>них економских кретања</w:t>
      </w:r>
      <w:r w:rsidR="00971E17" w:rsidRPr="000E35F1">
        <w:rPr>
          <w:sz w:val="22"/>
          <w:szCs w:val="22"/>
          <w:lang w:val="sr-Cyrl-RS"/>
        </w:rPr>
        <w:t xml:space="preserve">. </w:t>
      </w:r>
      <w:r w:rsidR="00A6523A" w:rsidRPr="000E35F1">
        <w:rPr>
          <w:sz w:val="22"/>
          <w:szCs w:val="22"/>
        </w:rPr>
        <w:t xml:space="preserve"> </w:t>
      </w:r>
      <w:r w:rsidR="005208F7" w:rsidRPr="000E35F1">
        <w:rPr>
          <w:sz w:val="22"/>
          <w:szCs w:val="22"/>
          <w:lang w:val="sr-Cyrl-RS"/>
        </w:rPr>
        <w:t xml:space="preserve">Сада,  међутим, пола године од избијања епидемије,  евидентно, је да ће негативни економски ефекти бити </w:t>
      </w:r>
      <w:r w:rsidR="00A6523A" w:rsidRPr="000E35F1">
        <w:rPr>
          <w:sz w:val="22"/>
          <w:szCs w:val="22"/>
          <w:lang w:val="sr-Cyrl-RS"/>
        </w:rPr>
        <w:t xml:space="preserve">глобални и </w:t>
      </w:r>
      <w:r w:rsidR="005208F7" w:rsidRPr="000E35F1">
        <w:rPr>
          <w:sz w:val="22"/>
          <w:szCs w:val="22"/>
          <w:lang w:val="sr-Cyrl-RS"/>
        </w:rPr>
        <w:t xml:space="preserve"> </w:t>
      </w:r>
      <w:r w:rsidR="00A6523A" w:rsidRPr="000E35F1">
        <w:rPr>
          <w:sz w:val="22"/>
          <w:szCs w:val="22"/>
          <w:lang w:val="sr-Cyrl-RS"/>
        </w:rPr>
        <w:t xml:space="preserve">дугорочни. </w:t>
      </w:r>
      <w:proofErr w:type="spellStart"/>
      <w:r w:rsidR="00A6523A" w:rsidRPr="000E35F1">
        <w:rPr>
          <w:sz w:val="22"/>
          <w:szCs w:val="22"/>
          <w:lang w:val="sr-Cyrl-RS"/>
        </w:rPr>
        <w:t>Пандемија</w:t>
      </w:r>
      <w:proofErr w:type="spellEnd"/>
      <w:r w:rsidR="00A6523A" w:rsidRPr="000E35F1">
        <w:rPr>
          <w:sz w:val="22"/>
          <w:szCs w:val="22"/>
          <w:lang w:val="sr-Cyrl-RS"/>
        </w:rPr>
        <w:t xml:space="preserve"> је постала </w:t>
      </w:r>
      <w:r w:rsidR="00971E17" w:rsidRPr="000E35F1">
        <w:rPr>
          <w:sz w:val="22"/>
          <w:szCs w:val="22"/>
          <w:lang w:val="sr-Cyrl-RS"/>
        </w:rPr>
        <w:t xml:space="preserve">глобални </w:t>
      </w:r>
      <w:r w:rsidR="00A6523A" w:rsidRPr="000E35F1">
        <w:rPr>
          <w:sz w:val="22"/>
          <w:szCs w:val="22"/>
          <w:lang w:val="sr-Cyrl-RS"/>
        </w:rPr>
        <w:t>егзогени фактор, која</w:t>
      </w:r>
      <w:r w:rsidR="00971E17" w:rsidRPr="000E35F1">
        <w:rPr>
          <w:sz w:val="22"/>
          <w:szCs w:val="22"/>
          <w:lang w:val="sr-Cyrl-RS"/>
        </w:rPr>
        <w:t xml:space="preserve"> </w:t>
      </w:r>
      <w:r w:rsidR="00CB2105" w:rsidRPr="000E35F1">
        <w:rPr>
          <w:sz w:val="22"/>
          <w:szCs w:val="22"/>
          <w:lang w:val="sr-Cyrl-RS"/>
        </w:rPr>
        <w:t>директно и индиректно утиче</w:t>
      </w:r>
      <w:r w:rsidR="00971E17" w:rsidRPr="000E35F1">
        <w:rPr>
          <w:sz w:val="22"/>
          <w:szCs w:val="22"/>
          <w:lang w:val="sr-Cyrl-RS"/>
        </w:rPr>
        <w:t xml:space="preserve"> на економске </w:t>
      </w:r>
      <w:proofErr w:type="spellStart"/>
      <w:r w:rsidR="00971E17" w:rsidRPr="000E35F1">
        <w:rPr>
          <w:sz w:val="22"/>
          <w:szCs w:val="22"/>
          <w:lang w:val="sr-Cyrl-RS"/>
        </w:rPr>
        <w:t>системе</w:t>
      </w:r>
      <w:r w:rsidR="00E94D1B" w:rsidRPr="000E35F1">
        <w:rPr>
          <w:sz w:val="22"/>
          <w:szCs w:val="22"/>
          <w:lang w:val="sr-Cyrl-RS"/>
        </w:rPr>
        <w:t>,</w:t>
      </w:r>
      <w:r w:rsidR="00971E17" w:rsidRPr="000E35F1">
        <w:rPr>
          <w:sz w:val="22"/>
          <w:szCs w:val="22"/>
          <w:lang w:val="sr-Cyrl-RS"/>
        </w:rPr>
        <w:t>на</w:t>
      </w:r>
      <w:proofErr w:type="spellEnd"/>
      <w:r w:rsidR="00971E17" w:rsidRPr="000E35F1">
        <w:rPr>
          <w:sz w:val="22"/>
          <w:szCs w:val="22"/>
          <w:lang w:val="sr-Cyrl-RS"/>
        </w:rPr>
        <w:t xml:space="preserve"> начин да </w:t>
      </w:r>
      <w:r w:rsidR="00A6523A" w:rsidRPr="000E35F1">
        <w:rPr>
          <w:sz w:val="22"/>
          <w:szCs w:val="22"/>
          <w:lang w:val="sr-Cyrl-RS"/>
        </w:rPr>
        <w:t>изазива пад и рецесију</w:t>
      </w:r>
      <w:r w:rsidRPr="000E35F1">
        <w:rPr>
          <w:sz w:val="22"/>
          <w:szCs w:val="22"/>
          <w:lang w:val="sr-Cyrl-RS"/>
        </w:rPr>
        <w:t xml:space="preserve">, са </w:t>
      </w:r>
      <w:proofErr w:type="spellStart"/>
      <w:r w:rsidRPr="000E35F1">
        <w:rPr>
          <w:sz w:val="22"/>
          <w:szCs w:val="22"/>
          <w:lang w:val="sr-Cyrl-RS"/>
        </w:rPr>
        <w:t>неизвјесним</w:t>
      </w:r>
      <w:proofErr w:type="spellEnd"/>
      <w:r w:rsidRPr="000E35F1">
        <w:rPr>
          <w:sz w:val="22"/>
          <w:szCs w:val="22"/>
          <w:lang w:val="sr-Cyrl-RS"/>
        </w:rPr>
        <w:t xml:space="preserve"> дугорочним прогнозама. </w:t>
      </w:r>
      <w:proofErr w:type="spellStart"/>
      <w:r w:rsidR="00E94D1B" w:rsidRPr="000E35F1">
        <w:rPr>
          <w:sz w:val="22"/>
          <w:szCs w:val="22"/>
        </w:rPr>
        <w:t>Пандемија</w:t>
      </w:r>
      <w:proofErr w:type="spellEnd"/>
      <w:r w:rsidR="00E94D1B" w:rsidRPr="000E35F1">
        <w:rPr>
          <w:sz w:val="22"/>
          <w:szCs w:val="22"/>
        </w:rPr>
        <w:t xml:space="preserve"> </w:t>
      </w:r>
      <w:proofErr w:type="spellStart"/>
      <w:r w:rsidR="00E94D1B" w:rsidRPr="000E35F1">
        <w:rPr>
          <w:sz w:val="22"/>
          <w:szCs w:val="22"/>
        </w:rPr>
        <w:t>је</w:t>
      </w:r>
      <w:proofErr w:type="spellEnd"/>
      <w:r w:rsidR="00E94D1B" w:rsidRPr="000E35F1">
        <w:rPr>
          <w:sz w:val="22"/>
          <w:szCs w:val="22"/>
          <w:lang w:val="sr-Cyrl-RS"/>
        </w:rPr>
        <w:t xml:space="preserve"> негативно </w:t>
      </w:r>
      <w:r w:rsidR="00E94D1B" w:rsidRPr="000E35F1">
        <w:rPr>
          <w:sz w:val="22"/>
          <w:szCs w:val="22"/>
        </w:rPr>
        <w:t xml:space="preserve"> </w:t>
      </w:r>
      <w:proofErr w:type="spellStart"/>
      <w:r w:rsidR="00E94D1B" w:rsidRPr="000E35F1">
        <w:rPr>
          <w:sz w:val="22"/>
          <w:szCs w:val="22"/>
        </w:rPr>
        <w:t>утицала</w:t>
      </w:r>
      <w:proofErr w:type="spellEnd"/>
      <w:r w:rsidR="00E94D1B" w:rsidRPr="000E35F1">
        <w:rPr>
          <w:sz w:val="22"/>
          <w:szCs w:val="22"/>
        </w:rPr>
        <w:t xml:space="preserve"> </w:t>
      </w:r>
      <w:proofErr w:type="spellStart"/>
      <w:r w:rsidR="00E94D1B" w:rsidRPr="000E35F1">
        <w:rPr>
          <w:sz w:val="22"/>
          <w:szCs w:val="22"/>
        </w:rPr>
        <w:t>на</w:t>
      </w:r>
      <w:proofErr w:type="spellEnd"/>
      <w:r w:rsidR="00E94D1B" w:rsidRPr="000E35F1">
        <w:rPr>
          <w:sz w:val="22"/>
          <w:szCs w:val="22"/>
        </w:rPr>
        <w:t xml:space="preserve"> </w:t>
      </w:r>
      <w:proofErr w:type="spellStart"/>
      <w:r w:rsidR="00E94D1B" w:rsidRPr="000E35F1">
        <w:rPr>
          <w:sz w:val="22"/>
          <w:szCs w:val="22"/>
        </w:rPr>
        <w:t>потрошњу</w:t>
      </w:r>
      <w:proofErr w:type="spellEnd"/>
      <w:r w:rsidR="00E94D1B" w:rsidRPr="000E35F1">
        <w:rPr>
          <w:sz w:val="22"/>
          <w:szCs w:val="22"/>
        </w:rPr>
        <w:t xml:space="preserve">, </w:t>
      </w:r>
      <w:proofErr w:type="spellStart"/>
      <w:r w:rsidR="00E94D1B" w:rsidRPr="000E35F1">
        <w:rPr>
          <w:sz w:val="22"/>
          <w:szCs w:val="22"/>
        </w:rPr>
        <w:t>индустријску</w:t>
      </w:r>
      <w:proofErr w:type="spellEnd"/>
      <w:r w:rsidR="00E94D1B" w:rsidRPr="000E35F1">
        <w:rPr>
          <w:sz w:val="22"/>
          <w:szCs w:val="22"/>
        </w:rPr>
        <w:t xml:space="preserve"> </w:t>
      </w:r>
      <w:proofErr w:type="spellStart"/>
      <w:r w:rsidR="00E94D1B" w:rsidRPr="000E35F1">
        <w:rPr>
          <w:sz w:val="22"/>
          <w:szCs w:val="22"/>
        </w:rPr>
        <w:t>производњу</w:t>
      </w:r>
      <w:proofErr w:type="spellEnd"/>
      <w:r w:rsidR="00E94D1B" w:rsidRPr="000E35F1">
        <w:rPr>
          <w:sz w:val="22"/>
          <w:szCs w:val="22"/>
        </w:rPr>
        <w:t xml:space="preserve">, </w:t>
      </w:r>
      <w:proofErr w:type="spellStart"/>
      <w:r w:rsidR="00E94D1B" w:rsidRPr="000E35F1">
        <w:rPr>
          <w:sz w:val="22"/>
          <w:szCs w:val="22"/>
        </w:rPr>
        <w:t>улагања</w:t>
      </w:r>
      <w:proofErr w:type="spellEnd"/>
      <w:r w:rsidR="00E94D1B" w:rsidRPr="000E35F1">
        <w:rPr>
          <w:sz w:val="22"/>
          <w:szCs w:val="22"/>
        </w:rPr>
        <w:t xml:space="preserve">, </w:t>
      </w:r>
      <w:proofErr w:type="spellStart"/>
      <w:r w:rsidR="00E94D1B" w:rsidRPr="000E35F1">
        <w:rPr>
          <w:sz w:val="22"/>
          <w:szCs w:val="22"/>
        </w:rPr>
        <w:t>трговину</w:t>
      </w:r>
      <w:proofErr w:type="spellEnd"/>
      <w:r w:rsidR="00E94D1B" w:rsidRPr="000E35F1">
        <w:rPr>
          <w:sz w:val="22"/>
          <w:szCs w:val="22"/>
        </w:rPr>
        <w:t xml:space="preserve">, </w:t>
      </w:r>
      <w:proofErr w:type="spellStart"/>
      <w:r w:rsidR="00E94D1B" w:rsidRPr="000E35F1">
        <w:rPr>
          <w:sz w:val="22"/>
          <w:szCs w:val="22"/>
        </w:rPr>
        <w:t>токове</w:t>
      </w:r>
      <w:proofErr w:type="spellEnd"/>
      <w:r w:rsidR="00E94D1B" w:rsidRPr="000E35F1">
        <w:rPr>
          <w:sz w:val="22"/>
          <w:szCs w:val="22"/>
        </w:rPr>
        <w:t xml:space="preserve"> </w:t>
      </w:r>
      <w:proofErr w:type="spellStart"/>
      <w:r w:rsidR="00E94D1B" w:rsidRPr="000E35F1">
        <w:rPr>
          <w:sz w:val="22"/>
          <w:szCs w:val="22"/>
        </w:rPr>
        <w:t>кап</w:t>
      </w:r>
      <w:r w:rsidR="00BE2EE1" w:rsidRPr="000E35F1">
        <w:rPr>
          <w:sz w:val="22"/>
          <w:szCs w:val="22"/>
        </w:rPr>
        <w:t>итала</w:t>
      </w:r>
      <w:proofErr w:type="spellEnd"/>
      <w:r w:rsidR="00BE2EE1" w:rsidRPr="000E35F1">
        <w:rPr>
          <w:sz w:val="22"/>
          <w:szCs w:val="22"/>
        </w:rPr>
        <w:t xml:space="preserve">, </w:t>
      </w:r>
      <w:proofErr w:type="spellStart"/>
      <w:r w:rsidR="00E94D1B" w:rsidRPr="000E35F1">
        <w:rPr>
          <w:sz w:val="22"/>
          <w:szCs w:val="22"/>
        </w:rPr>
        <w:t>ланце</w:t>
      </w:r>
      <w:proofErr w:type="spellEnd"/>
      <w:r w:rsidR="00E94D1B" w:rsidRPr="000E35F1">
        <w:rPr>
          <w:sz w:val="22"/>
          <w:szCs w:val="22"/>
        </w:rPr>
        <w:t xml:space="preserve"> </w:t>
      </w:r>
      <w:proofErr w:type="spellStart"/>
      <w:r w:rsidR="00E94D1B" w:rsidRPr="000E35F1">
        <w:rPr>
          <w:sz w:val="22"/>
          <w:szCs w:val="22"/>
        </w:rPr>
        <w:t>снабдијевања</w:t>
      </w:r>
      <w:proofErr w:type="spellEnd"/>
      <w:r w:rsidR="008773E3">
        <w:rPr>
          <w:sz w:val="22"/>
          <w:szCs w:val="22"/>
          <w:lang w:val="sr-Cyrl-RS"/>
        </w:rPr>
        <w:t>.</w:t>
      </w:r>
    </w:p>
    <w:p w14:paraId="7BD65387" w14:textId="77777777" w:rsidR="00423962" w:rsidRDefault="00423962" w:rsidP="00971E17">
      <w:pPr>
        <w:spacing w:line="276" w:lineRule="auto"/>
        <w:ind w:firstLine="709"/>
        <w:jc w:val="both"/>
        <w:rPr>
          <w:lang w:val="sr-Cyrl-RS" w:eastAsia="en-US"/>
        </w:rPr>
      </w:pPr>
    </w:p>
    <w:p w14:paraId="684F5E0C" w14:textId="77777777" w:rsidR="00423962" w:rsidRPr="000E35F1" w:rsidRDefault="00CB2105" w:rsidP="001A4CD5">
      <w:pPr>
        <w:spacing w:line="276" w:lineRule="auto"/>
        <w:ind w:firstLine="709"/>
        <w:jc w:val="both"/>
        <w:rPr>
          <w:sz w:val="22"/>
          <w:lang w:val="sr-Cyrl-RS"/>
        </w:rPr>
      </w:pPr>
      <w:r w:rsidRPr="000E35F1">
        <w:rPr>
          <w:sz w:val="22"/>
          <w:lang w:val="sr-Cyrl-RS" w:eastAsia="en-US"/>
        </w:rPr>
        <w:t>Макроек</w:t>
      </w:r>
      <w:r w:rsidR="00A6523A" w:rsidRPr="000E35F1">
        <w:rPr>
          <w:sz w:val="22"/>
          <w:lang w:val="sr-Cyrl-RS" w:eastAsia="en-US"/>
        </w:rPr>
        <w:t xml:space="preserve">ономски губици односе се на успоравање привредног раста, пад бруто домаћег производа </w:t>
      </w:r>
      <w:r w:rsidR="00A6523A" w:rsidRPr="000E35F1">
        <w:rPr>
          <w:sz w:val="22"/>
        </w:rPr>
        <w:t>(GDP)</w:t>
      </w:r>
      <w:r w:rsidR="00A6523A" w:rsidRPr="000E35F1">
        <w:rPr>
          <w:sz w:val="22"/>
          <w:lang w:val="sr-Cyrl-RS"/>
        </w:rPr>
        <w:t xml:space="preserve">, повећање незапослености, </w:t>
      </w:r>
      <w:r w:rsidR="008F4F24" w:rsidRPr="000E35F1">
        <w:rPr>
          <w:sz w:val="22"/>
          <w:lang w:val="sr-Cyrl-RS"/>
        </w:rPr>
        <w:t xml:space="preserve">повећање броја </w:t>
      </w:r>
      <w:proofErr w:type="spellStart"/>
      <w:r w:rsidR="008F4F24" w:rsidRPr="000E35F1">
        <w:rPr>
          <w:sz w:val="22"/>
          <w:lang w:val="sr-Cyrl-RS"/>
        </w:rPr>
        <w:t>броја</w:t>
      </w:r>
      <w:proofErr w:type="spellEnd"/>
      <w:r w:rsidR="008F4F24" w:rsidRPr="000E35F1">
        <w:rPr>
          <w:sz w:val="22"/>
          <w:lang w:val="sr-Cyrl-RS"/>
        </w:rPr>
        <w:t xml:space="preserve"> предузећа која проглашавају стечај, погоршање ликвидности, пад </w:t>
      </w:r>
      <w:proofErr w:type="spellStart"/>
      <w:r w:rsidR="008F4F24" w:rsidRPr="000E35F1">
        <w:rPr>
          <w:sz w:val="22"/>
          <w:lang w:val="sr-Cyrl-RS"/>
        </w:rPr>
        <w:t>цијена</w:t>
      </w:r>
      <w:proofErr w:type="spellEnd"/>
      <w:r w:rsidR="008F4F24" w:rsidRPr="000E35F1">
        <w:rPr>
          <w:sz w:val="22"/>
          <w:lang w:val="sr-Cyrl-RS"/>
        </w:rPr>
        <w:t xml:space="preserve"> на тржиштима хартија од </w:t>
      </w:r>
      <w:proofErr w:type="spellStart"/>
      <w:r w:rsidR="008F4F24" w:rsidRPr="000E35F1">
        <w:rPr>
          <w:sz w:val="22"/>
          <w:lang w:val="sr-Cyrl-RS"/>
        </w:rPr>
        <w:t>вриједности</w:t>
      </w:r>
      <w:proofErr w:type="spellEnd"/>
      <w:r w:rsidR="008F4F24" w:rsidRPr="000E35F1">
        <w:rPr>
          <w:sz w:val="22"/>
          <w:lang w:val="sr-Cyrl-RS"/>
        </w:rPr>
        <w:t xml:space="preserve">, утицај на </w:t>
      </w:r>
      <w:proofErr w:type="spellStart"/>
      <w:r w:rsidR="008F4F24" w:rsidRPr="000E35F1">
        <w:rPr>
          <w:sz w:val="22"/>
          <w:lang w:val="sr-Cyrl-RS"/>
        </w:rPr>
        <w:t>цијене</w:t>
      </w:r>
      <w:proofErr w:type="spellEnd"/>
      <w:r w:rsidR="008F4F24" w:rsidRPr="000E35F1">
        <w:rPr>
          <w:sz w:val="22"/>
          <w:lang w:val="sr-Cyrl-RS"/>
        </w:rPr>
        <w:t xml:space="preserve"> </w:t>
      </w:r>
      <w:proofErr w:type="spellStart"/>
      <w:r w:rsidR="008F4F24" w:rsidRPr="000E35F1">
        <w:rPr>
          <w:sz w:val="22"/>
          <w:lang w:val="sr-Cyrl-RS"/>
        </w:rPr>
        <w:t>свјетских</w:t>
      </w:r>
      <w:proofErr w:type="spellEnd"/>
      <w:r w:rsidR="008F4F24" w:rsidRPr="000E35F1">
        <w:rPr>
          <w:sz w:val="22"/>
          <w:lang w:val="sr-Cyrl-RS"/>
        </w:rPr>
        <w:t xml:space="preserve">  енергената, </w:t>
      </w:r>
      <w:r w:rsidR="00A6523A" w:rsidRPr="000E35F1">
        <w:rPr>
          <w:sz w:val="22"/>
          <w:lang w:val="sr-Cyrl-RS"/>
        </w:rPr>
        <w:t>као и погоршање других макроекономских показатеља</w:t>
      </w:r>
      <w:r w:rsidR="00423962" w:rsidRPr="000E35F1">
        <w:rPr>
          <w:sz w:val="22"/>
          <w:lang w:val="sr-Cyrl-RS"/>
        </w:rPr>
        <w:t xml:space="preserve">, укључујући повећање јавног дуга и буџетских дефицита. Наравно, нису све земље једнако погођене, нити су све земље предузимале исте </w:t>
      </w:r>
      <w:proofErr w:type="spellStart"/>
      <w:r w:rsidR="00423962" w:rsidRPr="000E35F1">
        <w:rPr>
          <w:sz w:val="22"/>
          <w:lang w:val="sr-Cyrl-RS"/>
        </w:rPr>
        <w:t>мјере</w:t>
      </w:r>
      <w:proofErr w:type="spellEnd"/>
      <w:r w:rsidR="00423962" w:rsidRPr="000E35F1">
        <w:rPr>
          <w:sz w:val="22"/>
          <w:lang w:val="sr-Cyrl-RS"/>
        </w:rPr>
        <w:t xml:space="preserve"> и активности.  Показало се да не постоји универзални </w:t>
      </w:r>
      <w:r w:rsidR="00BE2EE1" w:rsidRPr="000E35F1">
        <w:rPr>
          <w:sz w:val="22"/>
          <w:lang w:val="sr-Cyrl-RS"/>
        </w:rPr>
        <w:t xml:space="preserve">и </w:t>
      </w:r>
      <w:proofErr w:type="spellStart"/>
      <w:r w:rsidR="00423962" w:rsidRPr="000E35F1">
        <w:rPr>
          <w:sz w:val="22"/>
          <w:lang w:val="sr-Cyrl-RS"/>
        </w:rPr>
        <w:t>ефиксани</w:t>
      </w:r>
      <w:proofErr w:type="spellEnd"/>
      <w:r w:rsidR="00423962" w:rsidRPr="000E35F1">
        <w:rPr>
          <w:sz w:val="22"/>
          <w:lang w:val="sr-Cyrl-RS"/>
        </w:rPr>
        <w:t xml:space="preserve"> модел б</w:t>
      </w:r>
      <w:r w:rsidR="00BE2EE1" w:rsidRPr="000E35F1">
        <w:rPr>
          <w:sz w:val="22"/>
          <w:lang w:val="sr-Cyrl-RS"/>
        </w:rPr>
        <w:t xml:space="preserve">орбе и </w:t>
      </w:r>
      <w:proofErr w:type="spellStart"/>
      <w:r w:rsidR="00BE2EE1" w:rsidRPr="000E35F1">
        <w:rPr>
          <w:sz w:val="22"/>
          <w:lang w:val="sr-Cyrl-RS"/>
        </w:rPr>
        <w:t>мјера</w:t>
      </w:r>
      <w:proofErr w:type="spellEnd"/>
      <w:r w:rsidR="00BE2EE1" w:rsidRPr="000E35F1">
        <w:rPr>
          <w:sz w:val="22"/>
          <w:lang w:val="sr-Cyrl-RS"/>
        </w:rPr>
        <w:t xml:space="preserve"> против </w:t>
      </w:r>
      <w:proofErr w:type="spellStart"/>
      <w:r w:rsidR="00BE2EE1" w:rsidRPr="000E35F1">
        <w:rPr>
          <w:sz w:val="22"/>
          <w:lang w:val="sr-Cyrl-RS"/>
        </w:rPr>
        <w:t>пандемије</w:t>
      </w:r>
      <w:proofErr w:type="spellEnd"/>
      <w:r w:rsidR="00BE2EE1" w:rsidRPr="000E35F1">
        <w:rPr>
          <w:sz w:val="22"/>
          <w:lang w:val="sr-Cyrl-RS"/>
        </w:rPr>
        <w:t xml:space="preserve">, </w:t>
      </w:r>
      <w:r w:rsidR="00423962" w:rsidRPr="000E35F1">
        <w:rPr>
          <w:sz w:val="22"/>
          <w:lang w:val="sr-Cyrl-RS"/>
        </w:rPr>
        <w:t xml:space="preserve">ни у здравственом, социјалном, нити у економском смислу. </w:t>
      </w:r>
    </w:p>
    <w:p w14:paraId="47D7E3E0" w14:textId="77777777" w:rsidR="007D6805" w:rsidRPr="000E35F1" w:rsidRDefault="00A6523A" w:rsidP="00E94D1B">
      <w:pPr>
        <w:spacing w:line="276" w:lineRule="auto"/>
        <w:ind w:firstLine="709"/>
        <w:jc w:val="both"/>
        <w:rPr>
          <w:sz w:val="22"/>
        </w:rPr>
      </w:pPr>
      <w:r w:rsidRPr="000E35F1">
        <w:rPr>
          <w:sz w:val="22"/>
        </w:rPr>
        <w:t xml:space="preserve"> </w:t>
      </w:r>
    </w:p>
    <w:p w14:paraId="404DE955" w14:textId="77777777" w:rsidR="00716653" w:rsidRDefault="00E26C1F" w:rsidP="00A25B2F">
      <w:pPr>
        <w:pStyle w:val="Heading1"/>
        <w:spacing w:line="276" w:lineRule="auto"/>
        <w:rPr>
          <w:sz w:val="22"/>
          <w:lang w:val="sr-Cyrl-RS"/>
        </w:rPr>
      </w:pPr>
      <w:bookmarkStart w:id="3" w:name="_Toc59550006"/>
      <w:r w:rsidRPr="000E35F1">
        <w:rPr>
          <w:sz w:val="22"/>
        </w:rPr>
        <w:t>2.1. Макроекономска кретања у међународном окружењу</w:t>
      </w:r>
      <w:bookmarkEnd w:id="3"/>
      <w:r w:rsidR="005B7584">
        <w:rPr>
          <w:sz w:val="22"/>
          <w:lang w:val="sr-Cyrl-RS"/>
        </w:rPr>
        <w:t xml:space="preserve">   </w:t>
      </w:r>
    </w:p>
    <w:p w14:paraId="07FD3D5F" w14:textId="77777777" w:rsidR="00716653" w:rsidRPr="00914FE7" w:rsidRDefault="00716653" w:rsidP="00914FE7">
      <w:pPr>
        <w:pStyle w:val="BodyTekst"/>
        <w:spacing w:after="0" w:line="276" w:lineRule="auto"/>
        <w:jc w:val="both"/>
        <w:rPr>
          <w:sz w:val="20"/>
        </w:rPr>
      </w:pPr>
    </w:p>
    <w:p w14:paraId="192810AC" w14:textId="77777777" w:rsidR="00014DE1" w:rsidRPr="00914FE7" w:rsidRDefault="00761BCE" w:rsidP="00914FE7">
      <w:pPr>
        <w:spacing w:line="276" w:lineRule="auto"/>
        <w:ind w:firstLine="709"/>
        <w:jc w:val="both"/>
        <w:rPr>
          <w:sz w:val="22"/>
        </w:rPr>
      </w:pPr>
      <w:r w:rsidRPr="00914FE7">
        <w:rPr>
          <w:sz w:val="22"/>
          <w:lang w:val="sr-Cyrl-RS"/>
        </w:rPr>
        <w:t xml:space="preserve">У наставку се даје преглед међународних макроекономских </w:t>
      </w:r>
      <w:proofErr w:type="spellStart"/>
      <w:r w:rsidRPr="00914FE7">
        <w:rPr>
          <w:sz w:val="22"/>
          <w:lang w:val="sr-Cyrl-RS"/>
        </w:rPr>
        <w:t>креатања</w:t>
      </w:r>
      <w:proofErr w:type="spellEnd"/>
      <w:r w:rsidRPr="00914FE7">
        <w:rPr>
          <w:sz w:val="22"/>
          <w:lang w:val="sr-Cyrl-RS"/>
        </w:rPr>
        <w:t xml:space="preserve">, у виду извода </w:t>
      </w:r>
      <w:r w:rsidR="00157B36" w:rsidRPr="00914FE7">
        <w:rPr>
          <w:sz w:val="22"/>
          <w:lang w:val="sr-Cyrl-RS"/>
        </w:rPr>
        <w:t xml:space="preserve">из </w:t>
      </w:r>
      <w:r w:rsidR="005208F7" w:rsidRPr="00914FE7">
        <w:rPr>
          <w:sz w:val="22"/>
          <w:lang w:val="sr-Cyrl-RS"/>
        </w:rPr>
        <w:t>Документа оквирног буџета</w:t>
      </w:r>
      <w:r w:rsidR="00006AAF" w:rsidRPr="00914FE7">
        <w:rPr>
          <w:sz w:val="22"/>
          <w:vertAlign w:val="superscript"/>
        </w:rPr>
        <w:footnoteReference w:id="1"/>
      </w:r>
      <w:r w:rsidRPr="00914FE7">
        <w:rPr>
          <w:sz w:val="22"/>
          <w:lang w:val="sr-Cyrl-RS"/>
        </w:rPr>
        <w:t>.</w:t>
      </w:r>
      <w:r w:rsidR="005E7D57" w:rsidRPr="00914FE7">
        <w:rPr>
          <w:sz w:val="22"/>
        </w:rPr>
        <w:t xml:space="preserve"> </w:t>
      </w:r>
      <w:proofErr w:type="spellStart"/>
      <w:r w:rsidR="00014DE1" w:rsidRPr="00914FE7">
        <w:rPr>
          <w:sz w:val="22"/>
        </w:rPr>
        <w:t>Међународне</w:t>
      </w:r>
      <w:proofErr w:type="spellEnd"/>
      <w:r w:rsidR="00014DE1" w:rsidRPr="00914FE7">
        <w:rPr>
          <w:sz w:val="22"/>
        </w:rPr>
        <w:t xml:space="preserve"> </w:t>
      </w:r>
      <w:proofErr w:type="spellStart"/>
      <w:r w:rsidR="00014DE1" w:rsidRPr="00914FE7">
        <w:rPr>
          <w:sz w:val="22"/>
        </w:rPr>
        <w:t>институције</w:t>
      </w:r>
      <w:proofErr w:type="spellEnd"/>
      <w:r w:rsidR="00014DE1" w:rsidRPr="00914FE7">
        <w:rPr>
          <w:sz w:val="22"/>
        </w:rPr>
        <w:t xml:space="preserve"> (ММФ, </w:t>
      </w:r>
      <w:proofErr w:type="spellStart"/>
      <w:r w:rsidR="00014DE1" w:rsidRPr="00914FE7">
        <w:rPr>
          <w:sz w:val="22"/>
        </w:rPr>
        <w:t>Свјетска</w:t>
      </w:r>
      <w:proofErr w:type="spellEnd"/>
      <w:r w:rsidR="00014DE1" w:rsidRPr="00914FE7">
        <w:rPr>
          <w:sz w:val="22"/>
        </w:rPr>
        <w:t xml:space="preserve"> </w:t>
      </w:r>
      <w:proofErr w:type="spellStart"/>
      <w:r w:rsidR="00014DE1" w:rsidRPr="00914FE7">
        <w:rPr>
          <w:sz w:val="22"/>
        </w:rPr>
        <w:t>банка</w:t>
      </w:r>
      <w:proofErr w:type="spellEnd"/>
      <w:r w:rsidR="00014DE1" w:rsidRPr="00914FE7">
        <w:rPr>
          <w:sz w:val="22"/>
        </w:rPr>
        <w:t xml:space="preserve">, </w:t>
      </w:r>
      <w:proofErr w:type="spellStart"/>
      <w:r w:rsidR="00014DE1" w:rsidRPr="00914FE7">
        <w:rPr>
          <w:sz w:val="22"/>
        </w:rPr>
        <w:t>Европска</w:t>
      </w:r>
      <w:proofErr w:type="spellEnd"/>
      <w:r w:rsidR="00014DE1" w:rsidRPr="00914FE7">
        <w:rPr>
          <w:sz w:val="22"/>
        </w:rPr>
        <w:t xml:space="preserve"> </w:t>
      </w:r>
      <w:proofErr w:type="spellStart"/>
      <w:r w:rsidR="00014DE1" w:rsidRPr="00914FE7">
        <w:rPr>
          <w:sz w:val="22"/>
        </w:rPr>
        <w:t>комисија</w:t>
      </w:r>
      <w:proofErr w:type="spellEnd"/>
      <w:r w:rsidR="00014DE1" w:rsidRPr="00914FE7">
        <w:rPr>
          <w:sz w:val="22"/>
        </w:rPr>
        <w:t xml:space="preserve">) </w:t>
      </w:r>
      <w:proofErr w:type="spellStart"/>
      <w:r w:rsidR="00014DE1" w:rsidRPr="00914FE7">
        <w:rPr>
          <w:sz w:val="22"/>
        </w:rPr>
        <w:t>више</w:t>
      </w:r>
      <w:proofErr w:type="spellEnd"/>
      <w:r w:rsidR="00014DE1" w:rsidRPr="00914FE7">
        <w:rPr>
          <w:sz w:val="22"/>
        </w:rPr>
        <w:t xml:space="preserve"> </w:t>
      </w:r>
      <w:proofErr w:type="spellStart"/>
      <w:r w:rsidR="00014DE1" w:rsidRPr="00914FE7">
        <w:rPr>
          <w:sz w:val="22"/>
        </w:rPr>
        <w:t>пута</w:t>
      </w:r>
      <w:proofErr w:type="spellEnd"/>
      <w:r w:rsidR="00014DE1" w:rsidRPr="00914FE7">
        <w:rPr>
          <w:sz w:val="22"/>
        </w:rPr>
        <w:t xml:space="preserve"> </w:t>
      </w:r>
      <w:proofErr w:type="spellStart"/>
      <w:r w:rsidR="00014DE1" w:rsidRPr="00914FE7">
        <w:rPr>
          <w:sz w:val="22"/>
        </w:rPr>
        <w:t>су</w:t>
      </w:r>
      <w:proofErr w:type="spellEnd"/>
      <w:r w:rsidR="00014DE1" w:rsidRPr="00914FE7">
        <w:rPr>
          <w:sz w:val="22"/>
        </w:rPr>
        <w:t xml:space="preserve"> </w:t>
      </w:r>
      <w:proofErr w:type="spellStart"/>
      <w:r w:rsidR="00014DE1" w:rsidRPr="00914FE7">
        <w:rPr>
          <w:sz w:val="22"/>
        </w:rPr>
        <w:t>вршиле</w:t>
      </w:r>
      <w:proofErr w:type="spellEnd"/>
      <w:r w:rsidR="00014DE1" w:rsidRPr="00914FE7">
        <w:rPr>
          <w:sz w:val="22"/>
        </w:rPr>
        <w:t xml:space="preserve"> </w:t>
      </w:r>
      <w:proofErr w:type="spellStart"/>
      <w:r w:rsidR="00014DE1" w:rsidRPr="00914FE7">
        <w:rPr>
          <w:sz w:val="22"/>
        </w:rPr>
        <w:t>ревизију</w:t>
      </w:r>
      <w:proofErr w:type="spellEnd"/>
      <w:r w:rsidR="00014DE1" w:rsidRPr="00914FE7">
        <w:rPr>
          <w:sz w:val="22"/>
        </w:rPr>
        <w:t xml:space="preserve"> </w:t>
      </w:r>
      <w:proofErr w:type="spellStart"/>
      <w:r w:rsidR="00014DE1" w:rsidRPr="00914FE7">
        <w:rPr>
          <w:sz w:val="22"/>
        </w:rPr>
        <w:t>пројекција</w:t>
      </w:r>
      <w:proofErr w:type="spellEnd"/>
      <w:r w:rsidR="00014DE1" w:rsidRPr="00914FE7">
        <w:rPr>
          <w:sz w:val="22"/>
        </w:rPr>
        <w:t xml:space="preserve"> </w:t>
      </w:r>
      <w:r w:rsidR="00014DE1" w:rsidRPr="00914FE7">
        <w:rPr>
          <w:sz w:val="22"/>
          <w:lang w:val="sr-Cyrl-RS"/>
        </w:rPr>
        <w:t>макро</w:t>
      </w:r>
      <w:proofErr w:type="spellStart"/>
      <w:r w:rsidR="00014DE1" w:rsidRPr="00914FE7">
        <w:rPr>
          <w:sz w:val="22"/>
        </w:rPr>
        <w:t>економског</w:t>
      </w:r>
      <w:proofErr w:type="spellEnd"/>
      <w:r w:rsidR="00014DE1" w:rsidRPr="00914FE7">
        <w:rPr>
          <w:sz w:val="22"/>
        </w:rPr>
        <w:t xml:space="preserve"> </w:t>
      </w:r>
      <w:proofErr w:type="spellStart"/>
      <w:r w:rsidR="00014DE1" w:rsidRPr="00914FE7">
        <w:rPr>
          <w:sz w:val="22"/>
        </w:rPr>
        <w:t>кретања</w:t>
      </w:r>
      <w:proofErr w:type="spellEnd"/>
      <w:r w:rsidR="00014DE1" w:rsidRPr="00914FE7">
        <w:rPr>
          <w:sz w:val="22"/>
        </w:rPr>
        <w:t xml:space="preserve"> </w:t>
      </w:r>
      <w:proofErr w:type="spellStart"/>
      <w:r w:rsidR="00014DE1" w:rsidRPr="00914FE7">
        <w:rPr>
          <w:sz w:val="22"/>
        </w:rPr>
        <w:t>за</w:t>
      </w:r>
      <w:proofErr w:type="spellEnd"/>
      <w:r w:rsidR="00014DE1" w:rsidRPr="00914FE7">
        <w:rPr>
          <w:sz w:val="22"/>
        </w:rPr>
        <w:t xml:space="preserve"> 2020. </w:t>
      </w:r>
      <w:proofErr w:type="spellStart"/>
      <w:r w:rsidR="00014DE1" w:rsidRPr="00914FE7">
        <w:rPr>
          <w:sz w:val="22"/>
        </w:rPr>
        <w:t>годину</w:t>
      </w:r>
      <w:proofErr w:type="spellEnd"/>
      <w:r w:rsidR="00014DE1" w:rsidRPr="00914FE7">
        <w:rPr>
          <w:sz w:val="22"/>
        </w:rPr>
        <w:t xml:space="preserve"> и </w:t>
      </w:r>
      <w:proofErr w:type="spellStart"/>
      <w:r w:rsidR="00014DE1" w:rsidRPr="00914FE7">
        <w:rPr>
          <w:sz w:val="22"/>
        </w:rPr>
        <w:t>наредни</w:t>
      </w:r>
      <w:proofErr w:type="spellEnd"/>
      <w:r w:rsidR="00014DE1" w:rsidRPr="00914FE7">
        <w:rPr>
          <w:sz w:val="22"/>
        </w:rPr>
        <w:t xml:space="preserve"> </w:t>
      </w:r>
      <w:proofErr w:type="spellStart"/>
      <w:r w:rsidR="00014DE1" w:rsidRPr="00914FE7">
        <w:rPr>
          <w:sz w:val="22"/>
        </w:rPr>
        <w:t>период</w:t>
      </w:r>
      <w:proofErr w:type="spellEnd"/>
      <w:r w:rsidR="00014DE1" w:rsidRPr="00914FE7">
        <w:rPr>
          <w:sz w:val="22"/>
        </w:rPr>
        <w:t xml:space="preserve">. </w:t>
      </w:r>
    </w:p>
    <w:p w14:paraId="311461F0" w14:textId="77777777" w:rsidR="001934C0" w:rsidRPr="000E35F1" w:rsidRDefault="001934C0" w:rsidP="001934C0">
      <w:pPr>
        <w:rPr>
          <w:sz w:val="22"/>
          <w:lang w:val="sr-Cyrl-CS" w:eastAsia="en-US"/>
        </w:rPr>
      </w:pPr>
    </w:p>
    <w:p w14:paraId="75FE0AA7" w14:textId="77777777" w:rsidR="00F4435D" w:rsidRPr="000E35F1" w:rsidRDefault="00F4435D" w:rsidP="00014DE1">
      <w:pPr>
        <w:spacing w:line="276" w:lineRule="auto"/>
        <w:ind w:firstLine="709"/>
        <w:jc w:val="both"/>
        <w:rPr>
          <w:sz w:val="22"/>
        </w:rPr>
      </w:pPr>
      <w:proofErr w:type="spellStart"/>
      <w:r w:rsidRPr="000E35F1">
        <w:rPr>
          <w:sz w:val="22"/>
        </w:rPr>
        <w:t>Пандемија</w:t>
      </w:r>
      <w:proofErr w:type="spellEnd"/>
      <w:r w:rsidRPr="000E35F1">
        <w:rPr>
          <w:sz w:val="22"/>
        </w:rPr>
        <w:t xml:space="preserve"> </w:t>
      </w:r>
      <w:proofErr w:type="spellStart"/>
      <w:r w:rsidRPr="000E35F1">
        <w:rPr>
          <w:sz w:val="22"/>
        </w:rPr>
        <w:t>вируса</w:t>
      </w:r>
      <w:proofErr w:type="spellEnd"/>
      <w:r w:rsidRPr="000E35F1">
        <w:rPr>
          <w:sz w:val="22"/>
        </w:rPr>
        <w:t xml:space="preserve"> </w:t>
      </w:r>
      <w:proofErr w:type="spellStart"/>
      <w:r w:rsidRPr="000E35F1">
        <w:rPr>
          <w:sz w:val="22"/>
        </w:rPr>
        <w:t>корона</w:t>
      </w:r>
      <w:proofErr w:type="spellEnd"/>
      <w:r w:rsidRPr="000E35F1">
        <w:rPr>
          <w:sz w:val="22"/>
        </w:rPr>
        <w:t xml:space="preserve">, </w:t>
      </w:r>
      <w:proofErr w:type="spellStart"/>
      <w:r w:rsidR="001934C0" w:rsidRPr="000E35F1">
        <w:rPr>
          <w:sz w:val="22"/>
        </w:rPr>
        <w:t>према</w:t>
      </w:r>
      <w:proofErr w:type="spellEnd"/>
      <w:r w:rsidR="001934C0" w:rsidRPr="000E35F1">
        <w:rPr>
          <w:sz w:val="22"/>
        </w:rPr>
        <w:t xml:space="preserve"> </w:t>
      </w:r>
      <w:proofErr w:type="spellStart"/>
      <w:r w:rsidR="001934C0" w:rsidRPr="000E35F1">
        <w:rPr>
          <w:sz w:val="22"/>
        </w:rPr>
        <w:t>процјенама</w:t>
      </w:r>
      <w:proofErr w:type="spellEnd"/>
      <w:r w:rsidRPr="000E35F1">
        <w:rPr>
          <w:sz w:val="22"/>
        </w:rPr>
        <w:t xml:space="preserve"> </w:t>
      </w:r>
      <w:proofErr w:type="spellStart"/>
      <w:r w:rsidRPr="000E35F1">
        <w:rPr>
          <w:b/>
          <w:sz w:val="22"/>
        </w:rPr>
        <w:t>Међународног</w:t>
      </w:r>
      <w:proofErr w:type="spellEnd"/>
      <w:r w:rsidRPr="000E35F1">
        <w:rPr>
          <w:b/>
          <w:sz w:val="22"/>
        </w:rPr>
        <w:t xml:space="preserve"> </w:t>
      </w:r>
      <w:proofErr w:type="spellStart"/>
      <w:r w:rsidRPr="000E35F1">
        <w:rPr>
          <w:b/>
          <w:sz w:val="22"/>
        </w:rPr>
        <w:t>монетарног</w:t>
      </w:r>
      <w:proofErr w:type="spellEnd"/>
      <w:r w:rsidRPr="000E35F1">
        <w:rPr>
          <w:b/>
          <w:sz w:val="22"/>
        </w:rPr>
        <w:t xml:space="preserve"> </w:t>
      </w:r>
      <w:proofErr w:type="spellStart"/>
      <w:r w:rsidRPr="000E35F1">
        <w:rPr>
          <w:b/>
          <w:sz w:val="22"/>
        </w:rPr>
        <w:t>фонда</w:t>
      </w:r>
      <w:proofErr w:type="spellEnd"/>
      <w:r w:rsidRPr="000E35F1">
        <w:rPr>
          <w:sz w:val="22"/>
        </w:rPr>
        <w:t xml:space="preserve"> (ММФ)</w:t>
      </w:r>
      <w:r w:rsidR="00006AAF" w:rsidRPr="000E35F1">
        <w:rPr>
          <w:color w:val="212529"/>
          <w:sz w:val="22"/>
          <w:vertAlign w:val="superscript"/>
          <w:lang w:val="sr-Cyrl-RS" w:eastAsia="sr-Latn-BA"/>
        </w:rPr>
        <w:footnoteReference w:id="2"/>
      </w:r>
      <w:r w:rsidR="00BE2EE1" w:rsidRPr="000E35F1">
        <w:rPr>
          <w:color w:val="212529"/>
          <w:sz w:val="22"/>
          <w:lang w:val="sr-Cyrl-RS" w:eastAsia="sr-Latn-BA"/>
        </w:rPr>
        <w:t xml:space="preserve"> </w:t>
      </w:r>
      <w:r w:rsidR="006A1051" w:rsidRPr="000E35F1">
        <w:rPr>
          <w:sz w:val="22"/>
          <w:lang w:val="sr-Cyrl-RS"/>
        </w:rPr>
        <w:t xml:space="preserve">из документа „Ажуриране </w:t>
      </w:r>
      <w:proofErr w:type="spellStart"/>
      <w:r w:rsidR="006A1051" w:rsidRPr="000E35F1">
        <w:rPr>
          <w:sz w:val="22"/>
          <w:lang w:val="sr-Cyrl-RS"/>
        </w:rPr>
        <w:t>свјетске</w:t>
      </w:r>
      <w:proofErr w:type="spellEnd"/>
      <w:r w:rsidR="006A1051" w:rsidRPr="000E35F1">
        <w:rPr>
          <w:sz w:val="22"/>
          <w:lang w:val="sr-Cyrl-RS"/>
        </w:rPr>
        <w:t xml:space="preserve"> економске прогнозе“</w:t>
      </w:r>
      <w:r w:rsidRPr="000E35F1">
        <w:rPr>
          <w:sz w:val="22"/>
        </w:rPr>
        <w:t xml:space="preserve">, </w:t>
      </w:r>
      <w:proofErr w:type="spellStart"/>
      <w:r w:rsidRPr="000E35F1">
        <w:rPr>
          <w:sz w:val="22"/>
        </w:rPr>
        <w:t>изазива</w:t>
      </w:r>
      <w:proofErr w:type="spellEnd"/>
      <w:r w:rsidRPr="000E35F1">
        <w:rPr>
          <w:sz w:val="22"/>
        </w:rPr>
        <w:t xml:space="preserve"> </w:t>
      </w:r>
      <w:proofErr w:type="spellStart"/>
      <w:r w:rsidRPr="000E35F1">
        <w:rPr>
          <w:sz w:val="22"/>
        </w:rPr>
        <w:t>највећи</w:t>
      </w:r>
      <w:proofErr w:type="spellEnd"/>
      <w:r w:rsidRPr="000E35F1">
        <w:rPr>
          <w:sz w:val="22"/>
        </w:rPr>
        <w:t xml:space="preserve"> </w:t>
      </w:r>
      <w:proofErr w:type="spellStart"/>
      <w:r w:rsidRPr="000E35F1">
        <w:rPr>
          <w:sz w:val="22"/>
        </w:rPr>
        <w:t>еконо</w:t>
      </w:r>
      <w:r w:rsidR="00761BCE" w:rsidRPr="000E35F1">
        <w:rPr>
          <w:sz w:val="22"/>
        </w:rPr>
        <w:t>мски</w:t>
      </w:r>
      <w:proofErr w:type="spellEnd"/>
      <w:r w:rsidR="00761BCE" w:rsidRPr="000E35F1">
        <w:rPr>
          <w:sz w:val="22"/>
        </w:rPr>
        <w:t xml:space="preserve"> </w:t>
      </w:r>
      <w:proofErr w:type="spellStart"/>
      <w:r w:rsidR="00761BCE" w:rsidRPr="000E35F1">
        <w:rPr>
          <w:sz w:val="22"/>
        </w:rPr>
        <w:t>пад</w:t>
      </w:r>
      <w:proofErr w:type="spellEnd"/>
      <w:r w:rsidR="00C87C52">
        <w:rPr>
          <w:sz w:val="22"/>
        </w:rPr>
        <w:t xml:space="preserve"> у </w:t>
      </w:r>
      <w:proofErr w:type="spellStart"/>
      <w:r w:rsidR="00C87C52">
        <w:rPr>
          <w:sz w:val="22"/>
        </w:rPr>
        <w:t>посљедњих</w:t>
      </w:r>
      <w:proofErr w:type="spellEnd"/>
      <w:r w:rsidR="00C87C52">
        <w:rPr>
          <w:sz w:val="22"/>
        </w:rPr>
        <w:t xml:space="preserve"> </w:t>
      </w:r>
      <w:proofErr w:type="spellStart"/>
      <w:r w:rsidR="00C87C52">
        <w:rPr>
          <w:sz w:val="22"/>
        </w:rPr>
        <w:t>сто</w:t>
      </w:r>
      <w:proofErr w:type="spellEnd"/>
      <w:r w:rsidR="00C87C52">
        <w:rPr>
          <w:sz w:val="22"/>
        </w:rPr>
        <w:t xml:space="preserve"> </w:t>
      </w:r>
      <w:proofErr w:type="spellStart"/>
      <w:r w:rsidR="00C87C52">
        <w:rPr>
          <w:sz w:val="22"/>
        </w:rPr>
        <w:t>година</w:t>
      </w:r>
      <w:proofErr w:type="spellEnd"/>
      <w:r w:rsidRPr="000E35F1">
        <w:rPr>
          <w:sz w:val="22"/>
        </w:rPr>
        <w:t xml:space="preserve">. ММФ </w:t>
      </w:r>
      <w:proofErr w:type="spellStart"/>
      <w:r w:rsidRPr="000E35F1">
        <w:rPr>
          <w:sz w:val="22"/>
        </w:rPr>
        <w:t>процјењује</w:t>
      </w:r>
      <w:proofErr w:type="spellEnd"/>
      <w:r w:rsidRPr="000E35F1">
        <w:rPr>
          <w:sz w:val="22"/>
        </w:rPr>
        <w:t xml:space="preserve"> </w:t>
      </w:r>
      <w:proofErr w:type="spellStart"/>
      <w:r w:rsidRPr="000E35F1">
        <w:rPr>
          <w:sz w:val="22"/>
        </w:rPr>
        <w:t>да</w:t>
      </w:r>
      <w:proofErr w:type="spellEnd"/>
      <w:r w:rsidRPr="000E35F1">
        <w:rPr>
          <w:sz w:val="22"/>
        </w:rPr>
        <w:t xml:space="preserve"> </w:t>
      </w:r>
      <w:proofErr w:type="spellStart"/>
      <w:r w:rsidRPr="000E35F1">
        <w:rPr>
          <w:sz w:val="22"/>
        </w:rPr>
        <w:t>ће</w:t>
      </w:r>
      <w:proofErr w:type="spellEnd"/>
      <w:r w:rsidRPr="000E35F1">
        <w:rPr>
          <w:sz w:val="22"/>
        </w:rPr>
        <w:t xml:space="preserve"> </w:t>
      </w:r>
      <w:proofErr w:type="spellStart"/>
      <w:r w:rsidRPr="000E35F1">
        <w:rPr>
          <w:sz w:val="22"/>
        </w:rPr>
        <w:t>п</w:t>
      </w:r>
      <w:r w:rsidR="00761BCE" w:rsidRPr="000E35F1">
        <w:rPr>
          <w:sz w:val="22"/>
        </w:rPr>
        <w:t>ривредни</w:t>
      </w:r>
      <w:proofErr w:type="spellEnd"/>
      <w:r w:rsidR="00761BCE" w:rsidRPr="000E35F1">
        <w:rPr>
          <w:sz w:val="22"/>
        </w:rPr>
        <w:t xml:space="preserve"> </w:t>
      </w:r>
      <w:proofErr w:type="spellStart"/>
      <w:r w:rsidR="00761BCE" w:rsidRPr="000E35F1">
        <w:rPr>
          <w:sz w:val="22"/>
        </w:rPr>
        <w:t>пад</w:t>
      </w:r>
      <w:proofErr w:type="spellEnd"/>
      <w:r w:rsidR="00761BCE" w:rsidRPr="000E35F1">
        <w:rPr>
          <w:sz w:val="22"/>
        </w:rPr>
        <w:t xml:space="preserve"> </w:t>
      </w:r>
      <w:proofErr w:type="spellStart"/>
      <w:r w:rsidR="00761BCE" w:rsidRPr="000E35F1">
        <w:rPr>
          <w:sz w:val="22"/>
        </w:rPr>
        <w:t>на</w:t>
      </w:r>
      <w:proofErr w:type="spellEnd"/>
      <w:r w:rsidR="00761BCE" w:rsidRPr="000E35F1">
        <w:rPr>
          <w:sz w:val="22"/>
        </w:rPr>
        <w:t xml:space="preserve"> </w:t>
      </w:r>
      <w:proofErr w:type="spellStart"/>
      <w:r w:rsidR="00761BCE" w:rsidRPr="000E35F1">
        <w:rPr>
          <w:sz w:val="22"/>
        </w:rPr>
        <w:t>свјетском</w:t>
      </w:r>
      <w:proofErr w:type="spellEnd"/>
      <w:r w:rsidR="00761BCE" w:rsidRPr="000E35F1">
        <w:rPr>
          <w:sz w:val="22"/>
        </w:rPr>
        <w:t xml:space="preserve"> </w:t>
      </w:r>
      <w:proofErr w:type="spellStart"/>
      <w:r w:rsidR="00761BCE" w:rsidRPr="000E35F1">
        <w:rPr>
          <w:sz w:val="22"/>
        </w:rPr>
        <w:t>нивоу</w:t>
      </w:r>
      <w:proofErr w:type="spellEnd"/>
      <w:r w:rsidR="00761BCE" w:rsidRPr="000E35F1">
        <w:rPr>
          <w:sz w:val="22"/>
        </w:rPr>
        <w:t xml:space="preserve">, у 2020. </w:t>
      </w:r>
      <w:proofErr w:type="spellStart"/>
      <w:r w:rsidR="00761BCE" w:rsidRPr="000E35F1">
        <w:rPr>
          <w:sz w:val="22"/>
        </w:rPr>
        <w:t>години</w:t>
      </w:r>
      <w:proofErr w:type="spellEnd"/>
      <w:r w:rsidR="00761BCE" w:rsidRPr="000E35F1">
        <w:rPr>
          <w:sz w:val="22"/>
        </w:rPr>
        <w:t xml:space="preserve">, </w:t>
      </w:r>
      <w:proofErr w:type="spellStart"/>
      <w:r w:rsidR="00C87C52">
        <w:rPr>
          <w:sz w:val="22"/>
        </w:rPr>
        <w:t>износити</w:t>
      </w:r>
      <w:proofErr w:type="spellEnd"/>
      <w:r w:rsidR="00C87C52">
        <w:rPr>
          <w:sz w:val="22"/>
        </w:rPr>
        <w:t xml:space="preserve"> 3%, у Е</w:t>
      </w:r>
      <w:r w:rsidR="00C87C52">
        <w:rPr>
          <w:sz w:val="22"/>
          <w:lang w:val="sr-Cyrl-RS"/>
        </w:rPr>
        <w:t>У</w:t>
      </w:r>
      <w:r w:rsidRPr="000E35F1">
        <w:rPr>
          <w:sz w:val="22"/>
        </w:rPr>
        <w:t xml:space="preserve"> </w:t>
      </w:r>
      <w:proofErr w:type="spellStart"/>
      <w:r w:rsidRPr="000E35F1">
        <w:rPr>
          <w:sz w:val="22"/>
        </w:rPr>
        <w:t>се</w:t>
      </w:r>
      <w:proofErr w:type="spellEnd"/>
      <w:r w:rsidRPr="000E35F1">
        <w:rPr>
          <w:sz w:val="22"/>
        </w:rPr>
        <w:t xml:space="preserve"> </w:t>
      </w:r>
      <w:r w:rsidR="00BA02EE" w:rsidRPr="000E35F1">
        <w:rPr>
          <w:sz w:val="22"/>
          <w:lang w:val="sr-Cyrl-RS"/>
        </w:rPr>
        <w:lastRenderedPageBreak/>
        <w:t>о</w:t>
      </w:r>
      <w:proofErr w:type="spellStart"/>
      <w:r w:rsidRPr="000E35F1">
        <w:rPr>
          <w:sz w:val="22"/>
        </w:rPr>
        <w:t>чекује</w:t>
      </w:r>
      <w:proofErr w:type="spellEnd"/>
      <w:r w:rsidRPr="000E35F1">
        <w:rPr>
          <w:sz w:val="22"/>
        </w:rPr>
        <w:t xml:space="preserve"> </w:t>
      </w:r>
      <w:proofErr w:type="spellStart"/>
      <w:r w:rsidRPr="000E35F1">
        <w:rPr>
          <w:sz w:val="22"/>
        </w:rPr>
        <w:t>пад</w:t>
      </w:r>
      <w:proofErr w:type="spellEnd"/>
      <w:r w:rsidRPr="000E35F1">
        <w:rPr>
          <w:sz w:val="22"/>
        </w:rPr>
        <w:t xml:space="preserve"> </w:t>
      </w:r>
      <w:proofErr w:type="spellStart"/>
      <w:r w:rsidRPr="000E35F1">
        <w:rPr>
          <w:sz w:val="22"/>
        </w:rPr>
        <w:t>од</w:t>
      </w:r>
      <w:proofErr w:type="spellEnd"/>
      <w:r w:rsidRPr="000E35F1">
        <w:rPr>
          <w:sz w:val="22"/>
        </w:rPr>
        <w:t xml:space="preserve"> 7,1%, </w:t>
      </w:r>
      <w:proofErr w:type="spellStart"/>
      <w:r w:rsidRPr="000E35F1">
        <w:rPr>
          <w:sz w:val="22"/>
        </w:rPr>
        <w:t>развијене</w:t>
      </w:r>
      <w:proofErr w:type="spellEnd"/>
      <w:r w:rsidRPr="000E35F1">
        <w:rPr>
          <w:sz w:val="22"/>
        </w:rPr>
        <w:t xml:space="preserve"> </w:t>
      </w:r>
      <w:proofErr w:type="spellStart"/>
      <w:r w:rsidRPr="000E35F1">
        <w:rPr>
          <w:sz w:val="22"/>
        </w:rPr>
        <w:t>земље</w:t>
      </w:r>
      <w:proofErr w:type="spellEnd"/>
      <w:r w:rsidRPr="000E35F1">
        <w:rPr>
          <w:sz w:val="22"/>
        </w:rPr>
        <w:t xml:space="preserve"> </w:t>
      </w:r>
      <w:proofErr w:type="spellStart"/>
      <w:r w:rsidRPr="000E35F1">
        <w:rPr>
          <w:sz w:val="22"/>
        </w:rPr>
        <w:t>могу</w:t>
      </w:r>
      <w:proofErr w:type="spellEnd"/>
      <w:r w:rsidRPr="000E35F1">
        <w:rPr>
          <w:sz w:val="22"/>
        </w:rPr>
        <w:t xml:space="preserve"> </w:t>
      </w:r>
      <w:proofErr w:type="spellStart"/>
      <w:r w:rsidRPr="000E35F1">
        <w:rPr>
          <w:sz w:val="22"/>
        </w:rPr>
        <w:t>да</w:t>
      </w:r>
      <w:proofErr w:type="spellEnd"/>
      <w:r w:rsidRPr="000E35F1">
        <w:rPr>
          <w:sz w:val="22"/>
        </w:rPr>
        <w:t xml:space="preserve"> </w:t>
      </w:r>
      <w:proofErr w:type="spellStart"/>
      <w:r w:rsidRPr="000E35F1">
        <w:rPr>
          <w:sz w:val="22"/>
        </w:rPr>
        <w:t>очекују</w:t>
      </w:r>
      <w:proofErr w:type="spellEnd"/>
      <w:r w:rsidRPr="000E35F1">
        <w:rPr>
          <w:sz w:val="22"/>
        </w:rPr>
        <w:t xml:space="preserve"> </w:t>
      </w:r>
      <w:proofErr w:type="spellStart"/>
      <w:r w:rsidRPr="000E35F1">
        <w:rPr>
          <w:sz w:val="22"/>
        </w:rPr>
        <w:t>пад</w:t>
      </w:r>
      <w:proofErr w:type="spellEnd"/>
      <w:r w:rsidRPr="000E35F1">
        <w:rPr>
          <w:sz w:val="22"/>
        </w:rPr>
        <w:t xml:space="preserve"> </w:t>
      </w:r>
      <w:proofErr w:type="spellStart"/>
      <w:r w:rsidRPr="000E35F1">
        <w:rPr>
          <w:sz w:val="22"/>
        </w:rPr>
        <w:t>од</w:t>
      </w:r>
      <w:proofErr w:type="spellEnd"/>
      <w:r w:rsidRPr="000E35F1">
        <w:rPr>
          <w:sz w:val="22"/>
        </w:rPr>
        <w:t xml:space="preserve"> 6,1%, </w:t>
      </w:r>
      <w:proofErr w:type="spellStart"/>
      <w:r w:rsidRPr="000E35F1">
        <w:rPr>
          <w:sz w:val="22"/>
        </w:rPr>
        <w:t>земље</w:t>
      </w:r>
      <w:proofErr w:type="spellEnd"/>
      <w:r w:rsidRPr="000E35F1">
        <w:rPr>
          <w:sz w:val="22"/>
        </w:rPr>
        <w:t xml:space="preserve"> у </w:t>
      </w:r>
      <w:proofErr w:type="spellStart"/>
      <w:r w:rsidRPr="000E35F1">
        <w:rPr>
          <w:sz w:val="22"/>
        </w:rPr>
        <w:t>развоју</w:t>
      </w:r>
      <w:proofErr w:type="spellEnd"/>
      <w:r w:rsidRPr="000E35F1">
        <w:rPr>
          <w:sz w:val="22"/>
        </w:rPr>
        <w:t xml:space="preserve"> и </w:t>
      </w:r>
      <w:proofErr w:type="spellStart"/>
      <w:r w:rsidRPr="000E35F1">
        <w:rPr>
          <w:sz w:val="22"/>
        </w:rPr>
        <w:t>неразвијене</w:t>
      </w:r>
      <w:proofErr w:type="spellEnd"/>
      <w:r w:rsidRPr="000E35F1">
        <w:rPr>
          <w:sz w:val="22"/>
        </w:rPr>
        <w:t xml:space="preserve"> </w:t>
      </w:r>
      <w:proofErr w:type="spellStart"/>
      <w:r w:rsidRPr="000E35F1">
        <w:rPr>
          <w:sz w:val="22"/>
        </w:rPr>
        <w:t>пад</w:t>
      </w:r>
      <w:proofErr w:type="spellEnd"/>
      <w:r w:rsidRPr="000E35F1">
        <w:rPr>
          <w:sz w:val="22"/>
        </w:rPr>
        <w:t xml:space="preserve"> </w:t>
      </w:r>
      <w:proofErr w:type="spellStart"/>
      <w:r w:rsidRPr="000E35F1">
        <w:rPr>
          <w:sz w:val="22"/>
        </w:rPr>
        <w:t>од</w:t>
      </w:r>
      <w:proofErr w:type="spellEnd"/>
      <w:r w:rsidRPr="000E35F1">
        <w:rPr>
          <w:sz w:val="22"/>
        </w:rPr>
        <w:t xml:space="preserve"> 1%</w:t>
      </w:r>
      <w:r w:rsidR="00BA02EE" w:rsidRPr="000E35F1">
        <w:rPr>
          <w:sz w:val="22"/>
          <w:lang w:val="sr-Cyrl-RS"/>
        </w:rPr>
        <w:t>,</w:t>
      </w:r>
      <w:r w:rsidR="00914FE7">
        <w:rPr>
          <w:sz w:val="22"/>
        </w:rPr>
        <w:t xml:space="preserve"> </w:t>
      </w:r>
      <w:proofErr w:type="spellStart"/>
      <w:r w:rsidR="00914FE7">
        <w:rPr>
          <w:sz w:val="22"/>
        </w:rPr>
        <w:t>док</w:t>
      </w:r>
      <w:proofErr w:type="spellEnd"/>
      <w:r w:rsidR="00914FE7">
        <w:rPr>
          <w:sz w:val="22"/>
        </w:rPr>
        <w:t xml:space="preserve"> </w:t>
      </w:r>
      <w:proofErr w:type="spellStart"/>
      <w:r w:rsidR="00914FE7">
        <w:rPr>
          <w:sz w:val="22"/>
        </w:rPr>
        <w:t>се</w:t>
      </w:r>
      <w:proofErr w:type="spellEnd"/>
      <w:r w:rsidR="00914FE7">
        <w:rPr>
          <w:sz w:val="22"/>
        </w:rPr>
        <w:t xml:space="preserve"> </w:t>
      </w:r>
      <w:proofErr w:type="spellStart"/>
      <w:r w:rsidR="00914FE7">
        <w:rPr>
          <w:sz w:val="22"/>
        </w:rPr>
        <w:t>за</w:t>
      </w:r>
      <w:proofErr w:type="spellEnd"/>
      <w:r w:rsidR="00914FE7">
        <w:rPr>
          <w:sz w:val="22"/>
        </w:rPr>
        <w:t xml:space="preserve"> </w:t>
      </w:r>
      <w:proofErr w:type="spellStart"/>
      <w:r w:rsidR="00914FE7">
        <w:rPr>
          <w:sz w:val="22"/>
        </w:rPr>
        <w:t>ев</w:t>
      </w:r>
      <w:r w:rsidRPr="000E35F1">
        <w:rPr>
          <w:sz w:val="22"/>
        </w:rPr>
        <w:t>р</w:t>
      </w:r>
      <w:proofErr w:type="spellEnd"/>
      <w:r w:rsidR="00914FE7">
        <w:rPr>
          <w:sz w:val="22"/>
          <w:lang w:val="sr-Cyrl-RS"/>
        </w:rPr>
        <w:t>о</w:t>
      </w:r>
      <w:proofErr w:type="spellStart"/>
      <w:r w:rsidRPr="000E35F1">
        <w:rPr>
          <w:sz w:val="22"/>
        </w:rPr>
        <w:t>пске</w:t>
      </w:r>
      <w:proofErr w:type="spellEnd"/>
      <w:r w:rsidRPr="000E35F1">
        <w:rPr>
          <w:sz w:val="22"/>
        </w:rPr>
        <w:t xml:space="preserve"> </w:t>
      </w:r>
      <w:proofErr w:type="spellStart"/>
      <w:r w:rsidRPr="000E35F1">
        <w:rPr>
          <w:sz w:val="22"/>
        </w:rPr>
        <w:t>земље</w:t>
      </w:r>
      <w:proofErr w:type="spellEnd"/>
      <w:r w:rsidRPr="000E35F1">
        <w:rPr>
          <w:sz w:val="22"/>
        </w:rPr>
        <w:t xml:space="preserve"> у </w:t>
      </w:r>
      <w:proofErr w:type="spellStart"/>
      <w:r w:rsidRPr="000E35F1">
        <w:rPr>
          <w:sz w:val="22"/>
        </w:rPr>
        <w:t>развоју</w:t>
      </w:r>
      <w:proofErr w:type="spellEnd"/>
      <w:r w:rsidRPr="000E35F1">
        <w:rPr>
          <w:sz w:val="22"/>
        </w:rPr>
        <w:t xml:space="preserve"> (</w:t>
      </w:r>
      <w:proofErr w:type="spellStart"/>
      <w:r w:rsidR="00DA7840" w:rsidRPr="000E35F1">
        <w:rPr>
          <w:b/>
          <w:sz w:val="22"/>
        </w:rPr>
        <w:t>гдје</w:t>
      </w:r>
      <w:proofErr w:type="spellEnd"/>
      <w:r w:rsidR="00DA7840" w:rsidRPr="000E35F1">
        <w:rPr>
          <w:b/>
          <w:sz w:val="22"/>
        </w:rPr>
        <w:t xml:space="preserve"> </w:t>
      </w:r>
      <w:proofErr w:type="spellStart"/>
      <w:r w:rsidR="00DA7840" w:rsidRPr="000E35F1">
        <w:rPr>
          <w:b/>
          <w:sz w:val="22"/>
        </w:rPr>
        <w:t>се</w:t>
      </w:r>
      <w:proofErr w:type="spellEnd"/>
      <w:r w:rsidR="00DA7840" w:rsidRPr="000E35F1">
        <w:rPr>
          <w:b/>
          <w:sz w:val="22"/>
        </w:rPr>
        <w:t xml:space="preserve"> </w:t>
      </w:r>
      <w:proofErr w:type="spellStart"/>
      <w:r w:rsidR="00DA7840" w:rsidRPr="000E35F1">
        <w:rPr>
          <w:b/>
          <w:sz w:val="22"/>
        </w:rPr>
        <w:t>убрајa</w:t>
      </w:r>
      <w:proofErr w:type="spellEnd"/>
      <w:r w:rsidR="00DA7840" w:rsidRPr="000E35F1">
        <w:rPr>
          <w:b/>
          <w:sz w:val="22"/>
        </w:rPr>
        <w:t xml:space="preserve"> </w:t>
      </w:r>
      <w:r w:rsidR="00DA7840" w:rsidRPr="000E35F1">
        <w:rPr>
          <w:b/>
          <w:sz w:val="22"/>
          <w:lang w:val="sr-Cyrl-RS"/>
        </w:rPr>
        <w:t>и БиХ</w:t>
      </w:r>
      <w:r w:rsidRPr="000E35F1">
        <w:rPr>
          <w:sz w:val="22"/>
        </w:rPr>
        <w:t xml:space="preserve">) </w:t>
      </w:r>
      <w:proofErr w:type="spellStart"/>
      <w:r w:rsidRPr="000E35F1">
        <w:rPr>
          <w:sz w:val="22"/>
        </w:rPr>
        <w:t>очекује</w:t>
      </w:r>
      <w:proofErr w:type="spellEnd"/>
      <w:r w:rsidRPr="000E35F1">
        <w:rPr>
          <w:sz w:val="22"/>
        </w:rPr>
        <w:t xml:space="preserve"> </w:t>
      </w:r>
      <w:proofErr w:type="spellStart"/>
      <w:r w:rsidRPr="000E35F1">
        <w:rPr>
          <w:sz w:val="22"/>
        </w:rPr>
        <w:t>пад</w:t>
      </w:r>
      <w:proofErr w:type="spellEnd"/>
      <w:r w:rsidRPr="000E35F1">
        <w:rPr>
          <w:sz w:val="22"/>
        </w:rPr>
        <w:t xml:space="preserve"> БДП-а </w:t>
      </w:r>
      <w:proofErr w:type="spellStart"/>
      <w:r w:rsidRPr="000E35F1">
        <w:rPr>
          <w:sz w:val="22"/>
        </w:rPr>
        <w:t>од</w:t>
      </w:r>
      <w:proofErr w:type="spellEnd"/>
      <w:r w:rsidRPr="000E35F1">
        <w:rPr>
          <w:sz w:val="22"/>
        </w:rPr>
        <w:t xml:space="preserve"> 5,2%.</w:t>
      </w:r>
    </w:p>
    <w:p w14:paraId="2DEB9A09" w14:textId="77777777" w:rsidR="00DA7840" w:rsidRPr="000E35F1" w:rsidRDefault="00DA7840" w:rsidP="00014DE1">
      <w:pPr>
        <w:spacing w:line="276" w:lineRule="auto"/>
        <w:ind w:firstLine="709"/>
        <w:jc w:val="both"/>
        <w:rPr>
          <w:sz w:val="22"/>
        </w:rPr>
      </w:pPr>
    </w:p>
    <w:p w14:paraId="42811E5D" w14:textId="77777777" w:rsidR="00DA7840" w:rsidRPr="009E486B" w:rsidRDefault="00F4435D" w:rsidP="00723FB8">
      <w:pPr>
        <w:spacing w:line="276" w:lineRule="auto"/>
        <w:jc w:val="both"/>
        <w:rPr>
          <w:sz w:val="22"/>
        </w:rPr>
      </w:pPr>
      <w:r w:rsidRPr="000E35F1">
        <w:rPr>
          <w:sz w:val="22"/>
          <w:lang w:val="sr-Cyrl-BA"/>
        </w:rPr>
        <w:tab/>
      </w:r>
      <w:proofErr w:type="spellStart"/>
      <w:r w:rsidRPr="000E35F1">
        <w:rPr>
          <w:sz w:val="22"/>
        </w:rPr>
        <w:t>Према</w:t>
      </w:r>
      <w:proofErr w:type="spellEnd"/>
      <w:r w:rsidRPr="000E35F1">
        <w:rPr>
          <w:sz w:val="22"/>
        </w:rPr>
        <w:t xml:space="preserve"> </w:t>
      </w:r>
      <w:proofErr w:type="spellStart"/>
      <w:r w:rsidRPr="000E35F1">
        <w:rPr>
          <w:sz w:val="22"/>
        </w:rPr>
        <w:t>овим</w:t>
      </w:r>
      <w:proofErr w:type="spellEnd"/>
      <w:r w:rsidRPr="000E35F1">
        <w:rPr>
          <w:sz w:val="22"/>
        </w:rPr>
        <w:t xml:space="preserve"> </w:t>
      </w:r>
      <w:proofErr w:type="spellStart"/>
      <w:r w:rsidRPr="000E35F1">
        <w:rPr>
          <w:sz w:val="22"/>
        </w:rPr>
        <w:t>пројекцијама</w:t>
      </w:r>
      <w:proofErr w:type="spellEnd"/>
      <w:r w:rsidRPr="000E35F1">
        <w:rPr>
          <w:sz w:val="22"/>
        </w:rPr>
        <w:t xml:space="preserve">, </w:t>
      </w:r>
      <w:proofErr w:type="spellStart"/>
      <w:r w:rsidRPr="000E35F1">
        <w:rPr>
          <w:sz w:val="22"/>
        </w:rPr>
        <w:t>опоравак</w:t>
      </w:r>
      <w:proofErr w:type="spellEnd"/>
      <w:r w:rsidRPr="000E35F1">
        <w:rPr>
          <w:sz w:val="22"/>
        </w:rPr>
        <w:t xml:space="preserve"> </w:t>
      </w:r>
      <w:proofErr w:type="spellStart"/>
      <w:r w:rsidRPr="000E35F1">
        <w:rPr>
          <w:sz w:val="22"/>
        </w:rPr>
        <w:t>свјетске</w:t>
      </w:r>
      <w:proofErr w:type="spellEnd"/>
      <w:r w:rsidRPr="000E35F1">
        <w:rPr>
          <w:sz w:val="22"/>
        </w:rPr>
        <w:t xml:space="preserve"> </w:t>
      </w:r>
      <w:proofErr w:type="spellStart"/>
      <w:r w:rsidRPr="000E35F1">
        <w:rPr>
          <w:sz w:val="22"/>
        </w:rPr>
        <w:t>привреде</w:t>
      </w:r>
      <w:proofErr w:type="spellEnd"/>
      <w:r w:rsidRPr="000E35F1">
        <w:rPr>
          <w:sz w:val="22"/>
        </w:rPr>
        <w:t xml:space="preserve"> </w:t>
      </w:r>
      <w:proofErr w:type="spellStart"/>
      <w:r w:rsidRPr="000E35F1">
        <w:rPr>
          <w:sz w:val="22"/>
        </w:rPr>
        <w:t>се</w:t>
      </w:r>
      <w:proofErr w:type="spellEnd"/>
      <w:r w:rsidRPr="000E35F1">
        <w:rPr>
          <w:sz w:val="22"/>
        </w:rPr>
        <w:t xml:space="preserve"> </w:t>
      </w:r>
      <w:proofErr w:type="spellStart"/>
      <w:r w:rsidRPr="000E35F1">
        <w:rPr>
          <w:sz w:val="22"/>
        </w:rPr>
        <w:t>може</w:t>
      </w:r>
      <w:proofErr w:type="spellEnd"/>
      <w:r w:rsidRPr="000E35F1">
        <w:rPr>
          <w:sz w:val="22"/>
        </w:rPr>
        <w:t xml:space="preserve"> </w:t>
      </w:r>
      <w:proofErr w:type="spellStart"/>
      <w:r w:rsidRPr="000E35F1">
        <w:rPr>
          <w:sz w:val="22"/>
        </w:rPr>
        <w:t>очекивати</w:t>
      </w:r>
      <w:proofErr w:type="spellEnd"/>
      <w:r w:rsidRPr="000E35F1">
        <w:rPr>
          <w:sz w:val="22"/>
        </w:rPr>
        <w:t xml:space="preserve"> </w:t>
      </w:r>
      <w:proofErr w:type="spellStart"/>
      <w:r w:rsidRPr="000E35F1">
        <w:rPr>
          <w:sz w:val="22"/>
        </w:rPr>
        <w:t>од</w:t>
      </w:r>
      <w:proofErr w:type="spellEnd"/>
      <w:r w:rsidRPr="000E35F1">
        <w:rPr>
          <w:sz w:val="22"/>
        </w:rPr>
        <w:t xml:space="preserve"> 2021. </w:t>
      </w:r>
      <w:proofErr w:type="spellStart"/>
      <w:r w:rsidRPr="000E35F1">
        <w:rPr>
          <w:sz w:val="22"/>
        </w:rPr>
        <w:t>године</w:t>
      </w:r>
      <w:proofErr w:type="spellEnd"/>
      <w:r w:rsidRPr="000E35F1">
        <w:rPr>
          <w:sz w:val="22"/>
        </w:rPr>
        <w:t xml:space="preserve">, </w:t>
      </w:r>
      <w:proofErr w:type="spellStart"/>
      <w:r w:rsidRPr="000E35F1">
        <w:rPr>
          <w:sz w:val="22"/>
        </w:rPr>
        <w:t>како</w:t>
      </w:r>
      <w:proofErr w:type="spellEnd"/>
      <w:r w:rsidRPr="000E35F1">
        <w:rPr>
          <w:sz w:val="22"/>
        </w:rPr>
        <w:t xml:space="preserve"> </w:t>
      </w:r>
      <w:proofErr w:type="spellStart"/>
      <w:r w:rsidRPr="000E35F1">
        <w:rPr>
          <w:sz w:val="22"/>
        </w:rPr>
        <w:t>се</w:t>
      </w:r>
      <w:proofErr w:type="spellEnd"/>
      <w:r w:rsidRPr="000E35F1">
        <w:rPr>
          <w:sz w:val="22"/>
        </w:rPr>
        <w:t xml:space="preserve"> </w:t>
      </w:r>
      <w:proofErr w:type="spellStart"/>
      <w:r w:rsidRPr="000E35F1">
        <w:rPr>
          <w:sz w:val="22"/>
        </w:rPr>
        <w:t>привредна</w:t>
      </w:r>
      <w:proofErr w:type="spellEnd"/>
      <w:r w:rsidRPr="000E35F1">
        <w:rPr>
          <w:sz w:val="22"/>
        </w:rPr>
        <w:t xml:space="preserve"> </w:t>
      </w:r>
      <w:proofErr w:type="spellStart"/>
      <w:r w:rsidR="001934C0" w:rsidRPr="000E35F1">
        <w:rPr>
          <w:sz w:val="22"/>
        </w:rPr>
        <w:t>кретања</w:t>
      </w:r>
      <w:proofErr w:type="spellEnd"/>
      <w:r w:rsidR="001934C0" w:rsidRPr="000E35F1">
        <w:rPr>
          <w:sz w:val="22"/>
        </w:rPr>
        <w:t xml:space="preserve"> </w:t>
      </w:r>
      <w:proofErr w:type="spellStart"/>
      <w:r w:rsidR="001934C0" w:rsidRPr="000E35F1">
        <w:rPr>
          <w:sz w:val="22"/>
        </w:rPr>
        <w:t>буду</w:t>
      </w:r>
      <w:proofErr w:type="spellEnd"/>
      <w:r w:rsidR="001934C0" w:rsidRPr="000E35F1">
        <w:rPr>
          <w:sz w:val="22"/>
        </w:rPr>
        <w:t xml:space="preserve"> </w:t>
      </w:r>
      <w:proofErr w:type="spellStart"/>
      <w:r w:rsidR="001934C0" w:rsidRPr="000E35F1">
        <w:rPr>
          <w:sz w:val="22"/>
        </w:rPr>
        <w:t>стабилизовала</w:t>
      </w:r>
      <w:proofErr w:type="spellEnd"/>
      <w:r w:rsidR="001934C0" w:rsidRPr="000E35F1">
        <w:rPr>
          <w:sz w:val="22"/>
        </w:rPr>
        <w:t xml:space="preserve">, </w:t>
      </w:r>
      <w:proofErr w:type="spellStart"/>
      <w:r w:rsidR="001934C0" w:rsidRPr="000E35F1">
        <w:rPr>
          <w:sz w:val="22"/>
        </w:rPr>
        <w:t>те</w:t>
      </w:r>
      <w:proofErr w:type="spellEnd"/>
      <w:r w:rsidR="001934C0" w:rsidRPr="000E35F1">
        <w:rPr>
          <w:sz w:val="22"/>
        </w:rPr>
        <w:t xml:space="preserve"> </w:t>
      </w:r>
      <w:r w:rsidR="00B67082" w:rsidRPr="000E35F1">
        <w:rPr>
          <w:sz w:val="22"/>
        </w:rPr>
        <w:t xml:space="preserve"> </w:t>
      </w:r>
      <w:proofErr w:type="spellStart"/>
      <w:r w:rsidR="00B67082" w:rsidRPr="000E35F1">
        <w:rPr>
          <w:sz w:val="22"/>
        </w:rPr>
        <w:t>како</w:t>
      </w:r>
      <w:proofErr w:type="spellEnd"/>
      <w:r w:rsidR="00B67082" w:rsidRPr="000E35F1">
        <w:rPr>
          <w:sz w:val="22"/>
        </w:rPr>
        <w:t xml:space="preserve"> </w:t>
      </w:r>
      <w:proofErr w:type="spellStart"/>
      <w:r w:rsidR="00B67082" w:rsidRPr="000E35F1">
        <w:rPr>
          <w:sz w:val="22"/>
        </w:rPr>
        <w:t>се</w:t>
      </w:r>
      <w:proofErr w:type="spellEnd"/>
      <w:r w:rsidR="00B67082" w:rsidRPr="000E35F1">
        <w:rPr>
          <w:sz w:val="22"/>
        </w:rPr>
        <w:t xml:space="preserve"> </w:t>
      </w:r>
      <w:r w:rsidR="00B67082" w:rsidRPr="000E35F1">
        <w:rPr>
          <w:sz w:val="22"/>
          <w:lang w:val="sr-Cyrl-RS"/>
        </w:rPr>
        <w:t xml:space="preserve">социјалне и друге </w:t>
      </w:r>
      <w:proofErr w:type="spellStart"/>
      <w:r w:rsidR="00B67082" w:rsidRPr="000E35F1">
        <w:rPr>
          <w:sz w:val="22"/>
        </w:rPr>
        <w:t>мјере</w:t>
      </w:r>
      <w:proofErr w:type="spellEnd"/>
      <w:r w:rsidR="00B67082" w:rsidRPr="009E486B">
        <w:rPr>
          <w:sz w:val="22"/>
        </w:rPr>
        <w:t xml:space="preserve"> </w:t>
      </w:r>
      <w:proofErr w:type="spellStart"/>
      <w:r w:rsidR="00B67082" w:rsidRPr="009E486B">
        <w:rPr>
          <w:sz w:val="22"/>
        </w:rPr>
        <w:t>за</w:t>
      </w:r>
      <w:proofErr w:type="spellEnd"/>
      <w:r w:rsidR="00B67082" w:rsidRPr="009E486B">
        <w:rPr>
          <w:sz w:val="22"/>
        </w:rPr>
        <w:t xml:space="preserve"> </w:t>
      </w:r>
      <w:proofErr w:type="spellStart"/>
      <w:r w:rsidR="00B67082" w:rsidRPr="009E486B">
        <w:rPr>
          <w:sz w:val="22"/>
        </w:rPr>
        <w:t>сузбијање</w:t>
      </w:r>
      <w:proofErr w:type="spellEnd"/>
      <w:r w:rsidR="00B67082" w:rsidRPr="009E486B">
        <w:rPr>
          <w:sz w:val="22"/>
          <w:lang w:val="sr-Cyrl-RS"/>
        </w:rPr>
        <w:t xml:space="preserve"> </w:t>
      </w:r>
      <w:proofErr w:type="spellStart"/>
      <w:r w:rsidR="00B67082" w:rsidRPr="009E486B">
        <w:rPr>
          <w:sz w:val="22"/>
          <w:lang w:val="sr-Cyrl-RS"/>
        </w:rPr>
        <w:t>пандемије</w:t>
      </w:r>
      <w:proofErr w:type="spellEnd"/>
      <w:r w:rsidR="00B67082" w:rsidRPr="009E486B">
        <w:rPr>
          <w:sz w:val="22"/>
          <w:lang w:val="sr-Cyrl-RS"/>
        </w:rPr>
        <w:t xml:space="preserve"> буду ублажавале или укидале. </w:t>
      </w:r>
      <w:proofErr w:type="spellStart"/>
      <w:r w:rsidRPr="009E486B">
        <w:rPr>
          <w:sz w:val="22"/>
        </w:rPr>
        <w:t>Очекивана</w:t>
      </w:r>
      <w:proofErr w:type="spellEnd"/>
      <w:r w:rsidRPr="009E486B">
        <w:rPr>
          <w:sz w:val="22"/>
        </w:rPr>
        <w:t xml:space="preserve"> </w:t>
      </w:r>
      <w:proofErr w:type="spellStart"/>
      <w:r w:rsidRPr="009E486B">
        <w:rPr>
          <w:sz w:val="22"/>
        </w:rPr>
        <w:t>стопа</w:t>
      </w:r>
      <w:proofErr w:type="spellEnd"/>
      <w:r w:rsidRPr="009E486B">
        <w:rPr>
          <w:sz w:val="22"/>
        </w:rPr>
        <w:t xml:space="preserve"> </w:t>
      </w:r>
      <w:proofErr w:type="spellStart"/>
      <w:r w:rsidRPr="009E486B">
        <w:rPr>
          <w:sz w:val="22"/>
        </w:rPr>
        <w:t>раста</w:t>
      </w:r>
      <w:proofErr w:type="spellEnd"/>
      <w:r w:rsidRPr="009E486B">
        <w:rPr>
          <w:sz w:val="22"/>
        </w:rPr>
        <w:t xml:space="preserve"> </w:t>
      </w:r>
      <w:proofErr w:type="spellStart"/>
      <w:r w:rsidRPr="009E486B">
        <w:rPr>
          <w:sz w:val="22"/>
        </w:rPr>
        <w:t>за</w:t>
      </w:r>
      <w:proofErr w:type="spellEnd"/>
      <w:r w:rsidRPr="009E486B">
        <w:rPr>
          <w:sz w:val="22"/>
        </w:rPr>
        <w:t xml:space="preserve"> 2021. </w:t>
      </w:r>
      <w:proofErr w:type="spellStart"/>
      <w:r w:rsidRPr="009E486B">
        <w:rPr>
          <w:sz w:val="22"/>
        </w:rPr>
        <w:t>годину</w:t>
      </w:r>
      <w:proofErr w:type="spellEnd"/>
      <w:r w:rsidRPr="009E486B">
        <w:rPr>
          <w:sz w:val="22"/>
        </w:rPr>
        <w:t xml:space="preserve"> </w:t>
      </w:r>
      <w:proofErr w:type="spellStart"/>
      <w:r w:rsidRPr="009E486B">
        <w:rPr>
          <w:sz w:val="22"/>
        </w:rPr>
        <w:t>из</w:t>
      </w:r>
      <w:proofErr w:type="spellEnd"/>
      <w:r w:rsidR="00BA02EE" w:rsidRPr="009E486B">
        <w:rPr>
          <w:sz w:val="22"/>
          <w:lang w:val="sr-Cyrl-RS"/>
        </w:rPr>
        <w:t>н</w:t>
      </w:r>
      <w:proofErr w:type="spellStart"/>
      <w:r w:rsidRPr="009E486B">
        <w:rPr>
          <w:sz w:val="22"/>
        </w:rPr>
        <w:t>оси</w:t>
      </w:r>
      <w:proofErr w:type="spellEnd"/>
      <w:r w:rsidRPr="009E486B">
        <w:rPr>
          <w:sz w:val="22"/>
        </w:rPr>
        <w:t xml:space="preserve"> 5,8%, </w:t>
      </w:r>
      <w:r w:rsidR="00647158">
        <w:rPr>
          <w:sz w:val="22"/>
          <w:lang w:val="sr-Cyrl-RS"/>
        </w:rPr>
        <w:t>али</w:t>
      </w:r>
      <w:r w:rsidR="001934C0" w:rsidRPr="009E486B">
        <w:rPr>
          <w:sz w:val="22"/>
          <w:lang w:val="sr-Cyrl-RS"/>
        </w:rPr>
        <w:t xml:space="preserve"> </w:t>
      </w:r>
      <w:proofErr w:type="spellStart"/>
      <w:r w:rsidRPr="009E486B">
        <w:rPr>
          <w:sz w:val="22"/>
        </w:rPr>
        <w:t>под</w:t>
      </w:r>
      <w:proofErr w:type="spellEnd"/>
      <w:r w:rsidRPr="009E486B">
        <w:rPr>
          <w:sz w:val="22"/>
        </w:rPr>
        <w:t xml:space="preserve"> </w:t>
      </w:r>
      <w:proofErr w:type="spellStart"/>
      <w:r w:rsidRPr="009E486B">
        <w:rPr>
          <w:sz w:val="22"/>
        </w:rPr>
        <w:t>условом</w:t>
      </w:r>
      <w:proofErr w:type="spellEnd"/>
      <w:r w:rsidRPr="009E486B">
        <w:rPr>
          <w:sz w:val="22"/>
        </w:rPr>
        <w:t xml:space="preserve"> </w:t>
      </w:r>
      <w:proofErr w:type="spellStart"/>
      <w:r w:rsidRPr="009E486B">
        <w:rPr>
          <w:sz w:val="22"/>
        </w:rPr>
        <w:t>да</w:t>
      </w:r>
      <w:proofErr w:type="spellEnd"/>
      <w:r w:rsidRPr="009E486B">
        <w:rPr>
          <w:sz w:val="22"/>
        </w:rPr>
        <w:t xml:space="preserve"> </w:t>
      </w:r>
      <w:r w:rsidR="001934C0" w:rsidRPr="009E486B">
        <w:rPr>
          <w:sz w:val="22"/>
          <w:lang w:val="sr-Cyrl-RS"/>
        </w:rPr>
        <w:t xml:space="preserve">се </w:t>
      </w:r>
      <w:proofErr w:type="spellStart"/>
      <w:r w:rsidRPr="009E486B">
        <w:rPr>
          <w:sz w:val="22"/>
        </w:rPr>
        <w:t>пандемија</w:t>
      </w:r>
      <w:proofErr w:type="spellEnd"/>
      <w:r w:rsidRPr="009E486B">
        <w:rPr>
          <w:sz w:val="22"/>
        </w:rPr>
        <w:t xml:space="preserve"> </w:t>
      </w:r>
      <w:r w:rsidR="001934C0" w:rsidRPr="009E486B">
        <w:rPr>
          <w:sz w:val="22"/>
          <w:lang w:val="sr-Cyrl-RS"/>
        </w:rPr>
        <w:t xml:space="preserve">оконча или ублажи </w:t>
      </w:r>
      <w:r w:rsidRPr="009E486B">
        <w:rPr>
          <w:sz w:val="22"/>
        </w:rPr>
        <w:t xml:space="preserve">у </w:t>
      </w:r>
      <w:proofErr w:type="spellStart"/>
      <w:r w:rsidRPr="009E486B">
        <w:rPr>
          <w:sz w:val="22"/>
        </w:rPr>
        <w:t>другом</w:t>
      </w:r>
      <w:proofErr w:type="spellEnd"/>
      <w:r w:rsidRPr="009E486B">
        <w:rPr>
          <w:sz w:val="22"/>
        </w:rPr>
        <w:t xml:space="preserve"> </w:t>
      </w:r>
      <w:proofErr w:type="spellStart"/>
      <w:r w:rsidRPr="009E486B">
        <w:rPr>
          <w:sz w:val="22"/>
        </w:rPr>
        <w:t>полугодишту</w:t>
      </w:r>
      <w:proofErr w:type="spellEnd"/>
      <w:r w:rsidRPr="009E486B">
        <w:rPr>
          <w:sz w:val="22"/>
        </w:rPr>
        <w:t xml:space="preserve"> </w:t>
      </w:r>
      <w:proofErr w:type="spellStart"/>
      <w:r w:rsidRPr="009E486B">
        <w:rPr>
          <w:sz w:val="22"/>
        </w:rPr>
        <w:t>ове</w:t>
      </w:r>
      <w:proofErr w:type="spellEnd"/>
      <w:r w:rsidRPr="009E486B">
        <w:rPr>
          <w:sz w:val="22"/>
        </w:rPr>
        <w:t xml:space="preserve"> </w:t>
      </w:r>
      <w:proofErr w:type="spellStart"/>
      <w:r w:rsidRPr="009E486B">
        <w:rPr>
          <w:sz w:val="22"/>
        </w:rPr>
        <w:t>године</w:t>
      </w:r>
      <w:proofErr w:type="spellEnd"/>
      <w:r w:rsidRPr="009E486B">
        <w:rPr>
          <w:sz w:val="22"/>
        </w:rPr>
        <w:t xml:space="preserve">. </w:t>
      </w:r>
      <w:proofErr w:type="spellStart"/>
      <w:r w:rsidRPr="009E486B">
        <w:rPr>
          <w:sz w:val="22"/>
        </w:rPr>
        <w:t>Висока</w:t>
      </w:r>
      <w:proofErr w:type="spellEnd"/>
      <w:r w:rsidRPr="009E486B">
        <w:rPr>
          <w:sz w:val="22"/>
        </w:rPr>
        <w:t xml:space="preserve"> </w:t>
      </w:r>
      <w:proofErr w:type="spellStart"/>
      <w:r w:rsidRPr="009E486B">
        <w:rPr>
          <w:sz w:val="22"/>
        </w:rPr>
        <w:t>стопа</w:t>
      </w:r>
      <w:proofErr w:type="spellEnd"/>
      <w:r w:rsidRPr="009E486B">
        <w:rPr>
          <w:sz w:val="22"/>
        </w:rPr>
        <w:t xml:space="preserve"> </w:t>
      </w:r>
      <w:proofErr w:type="spellStart"/>
      <w:r w:rsidRPr="009E486B">
        <w:rPr>
          <w:sz w:val="22"/>
        </w:rPr>
        <w:t>раста</w:t>
      </w:r>
      <w:proofErr w:type="spellEnd"/>
      <w:r w:rsidRPr="009E486B">
        <w:rPr>
          <w:sz w:val="22"/>
        </w:rPr>
        <w:t xml:space="preserve"> у 2021. </w:t>
      </w:r>
      <w:proofErr w:type="spellStart"/>
      <w:r w:rsidRPr="009E486B">
        <w:rPr>
          <w:sz w:val="22"/>
        </w:rPr>
        <w:t>години</w:t>
      </w:r>
      <w:proofErr w:type="spellEnd"/>
      <w:r w:rsidRPr="009E486B">
        <w:rPr>
          <w:sz w:val="22"/>
        </w:rPr>
        <w:t xml:space="preserve"> </w:t>
      </w:r>
      <w:proofErr w:type="spellStart"/>
      <w:r w:rsidRPr="009E486B">
        <w:rPr>
          <w:sz w:val="22"/>
        </w:rPr>
        <w:t>посљедица</w:t>
      </w:r>
      <w:proofErr w:type="spellEnd"/>
      <w:r w:rsidRPr="009E486B">
        <w:rPr>
          <w:sz w:val="22"/>
        </w:rPr>
        <w:t xml:space="preserve"> </w:t>
      </w:r>
      <w:proofErr w:type="spellStart"/>
      <w:r w:rsidRPr="009E486B">
        <w:rPr>
          <w:sz w:val="22"/>
        </w:rPr>
        <w:t>је</w:t>
      </w:r>
      <w:proofErr w:type="spellEnd"/>
      <w:r w:rsidRPr="009E486B">
        <w:rPr>
          <w:sz w:val="22"/>
        </w:rPr>
        <w:t xml:space="preserve"> </w:t>
      </w:r>
      <w:proofErr w:type="spellStart"/>
      <w:r w:rsidRPr="009E486B">
        <w:rPr>
          <w:sz w:val="22"/>
        </w:rPr>
        <w:t>н</w:t>
      </w:r>
      <w:r w:rsidR="00B67082" w:rsidRPr="009E486B">
        <w:rPr>
          <w:sz w:val="22"/>
        </w:rPr>
        <w:t>иске</w:t>
      </w:r>
      <w:proofErr w:type="spellEnd"/>
      <w:r w:rsidR="00B67082" w:rsidRPr="009E486B">
        <w:rPr>
          <w:sz w:val="22"/>
        </w:rPr>
        <w:t xml:space="preserve"> </w:t>
      </w:r>
      <w:proofErr w:type="spellStart"/>
      <w:r w:rsidR="00B67082" w:rsidRPr="009E486B">
        <w:rPr>
          <w:sz w:val="22"/>
        </w:rPr>
        <w:t>статистичке</w:t>
      </w:r>
      <w:proofErr w:type="spellEnd"/>
      <w:r w:rsidR="00B67082" w:rsidRPr="009E486B">
        <w:rPr>
          <w:sz w:val="22"/>
        </w:rPr>
        <w:t xml:space="preserve"> </w:t>
      </w:r>
      <w:proofErr w:type="spellStart"/>
      <w:r w:rsidR="00B67082" w:rsidRPr="009E486B">
        <w:rPr>
          <w:sz w:val="22"/>
        </w:rPr>
        <w:t>основице</w:t>
      </w:r>
      <w:proofErr w:type="spellEnd"/>
      <w:r w:rsidR="00B67082" w:rsidRPr="009E486B">
        <w:rPr>
          <w:sz w:val="22"/>
        </w:rPr>
        <w:t xml:space="preserve"> </w:t>
      </w:r>
      <w:proofErr w:type="spellStart"/>
      <w:r w:rsidR="00B67082" w:rsidRPr="009E486B">
        <w:rPr>
          <w:sz w:val="22"/>
        </w:rPr>
        <w:t>из</w:t>
      </w:r>
      <w:proofErr w:type="spellEnd"/>
      <w:r w:rsidR="00B67082" w:rsidRPr="009E486B">
        <w:rPr>
          <w:sz w:val="22"/>
        </w:rPr>
        <w:t xml:space="preserve"> 2020.</w:t>
      </w:r>
      <w:r w:rsidR="009B3067" w:rsidRPr="009E486B">
        <w:rPr>
          <w:sz w:val="22"/>
        </w:rPr>
        <w:t xml:space="preserve"> </w:t>
      </w:r>
      <w:proofErr w:type="spellStart"/>
      <w:r w:rsidR="009B3067" w:rsidRPr="009E486B">
        <w:rPr>
          <w:sz w:val="22"/>
        </w:rPr>
        <w:t>године</w:t>
      </w:r>
      <w:proofErr w:type="spellEnd"/>
      <w:r w:rsidR="009B3067" w:rsidRPr="009E486B">
        <w:rPr>
          <w:sz w:val="22"/>
        </w:rPr>
        <w:t xml:space="preserve">. </w:t>
      </w:r>
      <w:proofErr w:type="spellStart"/>
      <w:r w:rsidR="009B3067" w:rsidRPr="009E486B">
        <w:rPr>
          <w:sz w:val="22"/>
          <w:lang w:val="sr-Cyrl-RS"/>
        </w:rPr>
        <w:t>П</w:t>
      </w:r>
      <w:r w:rsidR="00B67082" w:rsidRPr="009E486B">
        <w:rPr>
          <w:sz w:val="22"/>
          <w:lang w:val="sr-Cyrl-RS"/>
        </w:rPr>
        <w:t>роцјењује</w:t>
      </w:r>
      <w:proofErr w:type="spellEnd"/>
      <w:r w:rsidR="00B67082" w:rsidRPr="009E486B">
        <w:rPr>
          <w:sz w:val="22"/>
          <w:lang w:val="sr-Cyrl-RS"/>
        </w:rPr>
        <w:t xml:space="preserve"> </w:t>
      </w:r>
      <w:r w:rsidR="009B3067" w:rsidRPr="009E486B">
        <w:rPr>
          <w:sz w:val="22"/>
          <w:lang w:val="sr-Cyrl-RS"/>
        </w:rPr>
        <w:t xml:space="preserve">се </w:t>
      </w:r>
      <w:r w:rsidR="00B67082" w:rsidRPr="009E486B">
        <w:rPr>
          <w:sz w:val="22"/>
          <w:lang w:val="sr-Cyrl-RS"/>
        </w:rPr>
        <w:t xml:space="preserve">да ће се </w:t>
      </w:r>
      <w:proofErr w:type="spellStart"/>
      <w:r w:rsidRPr="009E486B">
        <w:rPr>
          <w:sz w:val="22"/>
        </w:rPr>
        <w:t>ниво</w:t>
      </w:r>
      <w:proofErr w:type="spellEnd"/>
      <w:r w:rsidRPr="009E486B">
        <w:rPr>
          <w:sz w:val="22"/>
        </w:rPr>
        <w:t xml:space="preserve"> БДП-а </w:t>
      </w:r>
      <w:proofErr w:type="spellStart"/>
      <w:r w:rsidRPr="009E486B">
        <w:rPr>
          <w:sz w:val="22"/>
        </w:rPr>
        <w:t>из</w:t>
      </w:r>
      <w:proofErr w:type="spellEnd"/>
      <w:r w:rsidRPr="009E486B">
        <w:rPr>
          <w:sz w:val="22"/>
        </w:rPr>
        <w:t xml:space="preserve"> 2019. </w:t>
      </w:r>
      <w:proofErr w:type="spellStart"/>
      <w:r w:rsidRPr="009E486B">
        <w:rPr>
          <w:sz w:val="22"/>
        </w:rPr>
        <w:t>године</w:t>
      </w:r>
      <w:proofErr w:type="spellEnd"/>
      <w:r w:rsidRPr="009E486B">
        <w:rPr>
          <w:sz w:val="22"/>
        </w:rPr>
        <w:t xml:space="preserve"> </w:t>
      </w:r>
      <w:proofErr w:type="spellStart"/>
      <w:r w:rsidRPr="009E486B">
        <w:rPr>
          <w:sz w:val="22"/>
        </w:rPr>
        <w:t>достићи</w:t>
      </w:r>
      <w:proofErr w:type="spellEnd"/>
      <w:r w:rsidRPr="009E486B">
        <w:rPr>
          <w:sz w:val="22"/>
        </w:rPr>
        <w:t xml:space="preserve"> </w:t>
      </w:r>
      <w:proofErr w:type="spellStart"/>
      <w:r w:rsidRPr="009E486B">
        <w:rPr>
          <w:sz w:val="22"/>
        </w:rPr>
        <w:t>тек</w:t>
      </w:r>
      <w:proofErr w:type="spellEnd"/>
      <w:r w:rsidRPr="009E486B">
        <w:rPr>
          <w:sz w:val="22"/>
        </w:rPr>
        <w:t xml:space="preserve"> 2022. </w:t>
      </w:r>
      <w:proofErr w:type="spellStart"/>
      <w:r w:rsidRPr="009E486B">
        <w:rPr>
          <w:sz w:val="22"/>
        </w:rPr>
        <w:t>године</w:t>
      </w:r>
      <w:proofErr w:type="spellEnd"/>
      <w:r w:rsidRPr="009E486B">
        <w:rPr>
          <w:sz w:val="22"/>
        </w:rPr>
        <w:t xml:space="preserve">. </w:t>
      </w:r>
      <w:r w:rsidR="00E94D1B" w:rsidRPr="009E486B">
        <w:rPr>
          <w:sz w:val="22"/>
          <w:lang w:val="sr-Cyrl-RS"/>
        </w:rPr>
        <w:t xml:space="preserve">У сваком случају опоравак ће бити споријим темпом, него што је био пад. </w:t>
      </w:r>
    </w:p>
    <w:p w14:paraId="6E76C07B" w14:textId="77777777" w:rsidR="00DA7840" w:rsidRPr="000E35F1" w:rsidRDefault="00DA7840" w:rsidP="00DA7840">
      <w:pPr>
        <w:spacing w:line="276" w:lineRule="auto"/>
        <w:ind w:firstLine="709"/>
        <w:jc w:val="both"/>
        <w:rPr>
          <w:sz w:val="22"/>
        </w:rPr>
      </w:pPr>
    </w:p>
    <w:p w14:paraId="5CC321B2" w14:textId="77777777" w:rsidR="004F4DB6" w:rsidRPr="000E35F1" w:rsidRDefault="00E94D1B" w:rsidP="00DA7840">
      <w:pPr>
        <w:spacing w:line="276" w:lineRule="auto"/>
        <w:ind w:firstLine="709"/>
        <w:jc w:val="both"/>
        <w:rPr>
          <w:sz w:val="22"/>
          <w:lang w:val="sr-Cyrl-RS"/>
        </w:rPr>
      </w:pPr>
      <w:proofErr w:type="spellStart"/>
      <w:r w:rsidRPr="000E35F1">
        <w:rPr>
          <w:sz w:val="22"/>
        </w:rPr>
        <w:t>Регион</w:t>
      </w:r>
      <w:proofErr w:type="spellEnd"/>
      <w:r w:rsidRPr="000E35F1">
        <w:rPr>
          <w:sz w:val="22"/>
        </w:rPr>
        <w:t xml:space="preserve"> </w:t>
      </w:r>
      <w:proofErr w:type="spellStart"/>
      <w:r w:rsidRPr="000E35F1">
        <w:rPr>
          <w:sz w:val="22"/>
        </w:rPr>
        <w:t>западног</w:t>
      </w:r>
      <w:proofErr w:type="spellEnd"/>
      <w:r w:rsidRPr="000E35F1">
        <w:rPr>
          <w:sz w:val="22"/>
        </w:rPr>
        <w:t xml:space="preserve"> </w:t>
      </w:r>
      <w:proofErr w:type="spellStart"/>
      <w:r w:rsidRPr="000E35F1">
        <w:rPr>
          <w:sz w:val="22"/>
        </w:rPr>
        <w:t>Балкана</w:t>
      </w:r>
      <w:proofErr w:type="spellEnd"/>
      <w:r w:rsidR="00615CD9">
        <w:rPr>
          <w:sz w:val="22"/>
        </w:rPr>
        <w:t xml:space="preserve"> </w:t>
      </w:r>
      <w:proofErr w:type="spellStart"/>
      <w:r w:rsidR="00615CD9">
        <w:rPr>
          <w:sz w:val="22"/>
        </w:rPr>
        <w:t>ће</w:t>
      </w:r>
      <w:proofErr w:type="spellEnd"/>
      <w:r w:rsidR="00DA7840" w:rsidRPr="000E35F1">
        <w:rPr>
          <w:sz w:val="22"/>
        </w:rPr>
        <w:t xml:space="preserve"> </w:t>
      </w:r>
      <w:proofErr w:type="spellStart"/>
      <w:r w:rsidR="00DA7840" w:rsidRPr="000E35F1">
        <w:rPr>
          <w:sz w:val="22"/>
        </w:rPr>
        <w:t>такође</w:t>
      </w:r>
      <w:proofErr w:type="spellEnd"/>
      <w:r w:rsidR="00DA7840" w:rsidRPr="000E35F1">
        <w:rPr>
          <w:sz w:val="22"/>
        </w:rPr>
        <w:t xml:space="preserve"> </w:t>
      </w:r>
      <w:proofErr w:type="spellStart"/>
      <w:r w:rsidR="00DA7840" w:rsidRPr="000E35F1">
        <w:rPr>
          <w:sz w:val="22"/>
        </w:rPr>
        <w:t>бити</w:t>
      </w:r>
      <w:proofErr w:type="spellEnd"/>
      <w:r w:rsidR="00DA7840" w:rsidRPr="000E35F1">
        <w:rPr>
          <w:sz w:val="22"/>
        </w:rPr>
        <w:t xml:space="preserve"> </w:t>
      </w:r>
      <w:proofErr w:type="spellStart"/>
      <w:r w:rsidR="00DA7840" w:rsidRPr="000E35F1">
        <w:rPr>
          <w:sz w:val="22"/>
        </w:rPr>
        <w:t>погођен</w:t>
      </w:r>
      <w:proofErr w:type="spellEnd"/>
      <w:r w:rsidR="00DA7840" w:rsidRPr="000E35F1">
        <w:rPr>
          <w:sz w:val="22"/>
        </w:rPr>
        <w:t xml:space="preserve"> </w:t>
      </w:r>
      <w:proofErr w:type="spellStart"/>
      <w:r w:rsidR="00DA7840" w:rsidRPr="000E35F1">
        <w:rPr>
          <w:sz w:val="22"/>
        </w:rPr>
        <w:t>рецесијом</w:t>
      </w:r>
      <w:proofErr w:type="spellEnd"/>
      <w:r w:rsidR="00DA7840" w:rsidRPr="000E35F1">
        <w:rPr>
          <w:sz w:val="22"/>
        </w:rPr>
        <w:t xml:space="preserve"> </w:t>
      </w:r>
      <w:proofErr w:type="spellStart"/>
      <w:r w:rsidR="00DA7840" w:rsidRPr="000E35F1">
        <w:rPr>
          <w:sz w:val="22"/>
        </w:rPr>
        <w:t>током</w:t>
      </w:r>
      <w:proofErr w:type="spellEnd"/>
      <w:r w:rsidR="00DA7840" w:rsidRPr="000E35F1">
        <w:rPr>
          <w:sz w:val="22"/>
        </w:rPr>
        <w:t xml:space="preserve"> 2020. и 2021. </w:t>
      </w:r>
      <w:proofErr w:type="spellStart"/>
      <w:r w:rsidR="00DA7840" w:rsidRPr="000E35F1">
        <w:rPr>
          <w:sz w:val="22"/>
        </w:rPr>
        <w:t>године</w:t>
      </w:r>
      <w:proofErr w:type="spellEnd"/>
      <w:r w:rsidR="00DA7840" w:rsidRPr="000E35F1">
        <w:rPr>
          <w:sz w:val="22"/>
        </w:rPr>
        <w:t xml:space="preserve">. </w:t>
      </w:r>
      <w:r w:rsidRPr="000E35F1">
        <w:rPr>
          <w:sz w:val="22"/>
        </w:rPr>
        <w:t xml:space="preserve"> </w:t>
      </w:r>
      <w:proofErr w:type="spellStart"/>
      <w:r w:rsidRPr="000E35F1">
        <w:rPr>
          <w:sz w:val="22"/>
        </w:rPr>
        <w:t>То</w:t>
      </w:r>
      <w:proofErr w:type="spellEnd"/>
      <w:r w:rsidRPr="000E35F1">
        <w:rPr>
          <w:sz w:val="22"/>
        </w:rPr>
        <w:t xml:space="preserve"> </w:t>
      </w:r>
      <w:proofErr w:type="spellStart"/>
      <w:r w:rsidRPr="000E35F1">
        <w:rPr>
          <w:sz w:val="22"/>
        </w:rPr>
        <w:t>се</w:t>
      </w:r>
      <w:proofErr w:type="spellEnd"/>
      <w:r w:rsidRPr="000E35F1">
        <w:rPr>
          <w:sz w:val="22"/>
        </w:rPr>
        <w:t xml:space="preserve"> </w:t>
      </w:r>
      <w:proofErr w:type="spellStart"/>
      <w:r w:rsidRPr="000E35F1">
        <w:rPr>
          <w:sz w:val="22"/>
        </w:rPr>
        <w:t>прије</w:t>
      </w:r>
      <w:proofErr w:type="spellEnd"/>
      <w:r w:rsidRPr="000E35F1">
        <w:rPr>
          <w:sz w:val="22"/>
        </w:rPr>
        <w:t xml:space="preserve"> </w:t>
      </w:r>
      <w:proofErr w:type="spellStart"/>
      <w:r w:rsidRPr="000E35F1">
        <w:rPr>
          <w:sz w:val="22"/>
        </w:rPr>
        <w:t>свега</w:t>
      </w:r>
      <w:proofErr w:type="spellEnd"/>
      <w:r w:rsidRPr="000E35F1">
        <w:rPr>
          <w:sz w:val="22"/>
        </w:rPr>
        <w:t xml:space="preserve"> </w:t>
      </w:r>
      <w:proofErr w:type="spellStart"/>
      <w:r w:rsidRPr="000E35F1">
        <w:rPr>
          <w:sz w:val="22"/>
        </w:rPr>
        <w:t>односи</w:t>
      </w:r>
      <w:proofErr w:type="spellEnd"/>
      <w:r w:rsidRPr="000E35F1">
        <w:rPr>
          <w:sz w:val="22"/>
        </w:rPr>
        <w:t xml:space="preserve"> </w:t>
      </w:r>
      <w:proofErr w:type="spellStart"/>
      <w:r w:rsidRPr="000E35F1">
        <w:rPr>
          <w:sz w:val="22"/>
        </w:rPr>
        <w:t>на</w:t>
      </w:r>
      <w:proofErr w:type="spellEnd"/>
      <w:r w:rsidRPr="000E35F1">
        <w:rPr>
          <w:sz w:val="22"/>
        </w:rPr>
        <w:t xml:space="preserve">  </w:t>
      </w:r>
      <w:proofErr w:type="spellStart"/>
      <w:r w:rsidRPr="000E35F1">
        <w:rPr>
          <w:sz w:val="22"/>
        </w:rPr>
        <w:t>Хрватску</w:t>
      </w:r>
      <w:proofErr w:type="spellEnd"/>
      <w:r w:rsidR="00B67082" w:rsidRPr="000E35F1">
        <w:rPr>
          <w:sz w:val="22"/>
          <w:lang w:val="sr-Cyrl-RS"/>
        </w:rPr>
        <w:t xml:space="preserve"> због високе зависности од туризма </w:t>
      </w:r>
      <w:r w:rsidR="00F4435D" w:rsidRPr="000E35F1">
        <w:rPr>
          <w:sz w:val="22"/>
        </w:rPr>
        <w:t xml:space="preserve">и </w:t>
      </w:r>
      <w:proofErr w:type="spellStart"/>
      <w:r w:rsidR="00F4435D" w:rsidRPr="000E35F1">
        <w:rPr>
          <w:sz w:val="22"/>
        </w:rPr>
        <w:t>за</w:t>
      </w:r>
      <w:proofErr w:type="spellEnd"/>
      <w:r w:rsidR="00F4435D" w:rsidRPr="000E35F1">
        <w:rPr>
          <w:sz w:val="22"/>
        </w:rPr>
        <w:t xml:space="preserve"> </w:t>
      </w:r>
      <w:proofErr w:type="spellStart"/>
      <w:r w:rsidR="00F4435D" w:rsidRPr="000E35F1">
        <w:rPr>
          <w:sz w:val="22"/>
        </w:rPr>
        <w:t>ову</w:t>
      </w:r>
      <w:proofErr w:type="spellEnd"/>
      <w:r w:rsidR="00F4435D" w:rsidRPr="000E35F1">
        <w:rPr>
          <w:sz w:val="22"/>
        </w:rPr>
        <w:t xml:space="preserve"> </w:t>
      </w:r>
      <w:proofErr w:type="spellStart"/>
      <w:r w:rsidR="00F4435D" w:rsidRPr="000E35F1">
        <w:rPr>
          <w:sz w:val="22"/>
        </w:rPr>
        <w:t>годину</w:t>
      </w:r>
      <w:proofErr w:type="spellEnd"/>
      <w:r w:rsidR="00F4435D" w:rsidRPr="000E35F1">
        <w:rPr>
          <w:sz w:val="22"/>
        </w:rPr>
        <w:t xml:space="preserve"> </w:t>
      </w:r>
      <w:proofErr w:type="spellStart"/>
      <w:r w:rsidR="00F4435D" w:rsidRPr="000E35F1">
        <w:rPr>
          <w:sz w:val="22"/>
        </w:rPr>
        <w:t>очекује</w:t>
      </w:r>
      <w:proofErr w:type="spellEnd"/>
      <w:r w:rsidR="00F4435D" w:rsidRPr="000E35F1">
        <w:rPr>
          <w:sz w:val="22"/>
        </w:rPr>
        <w:t xml:space="preserve"> </w:t>
      </w:r>
      <w:proofErr w:type="spellStart"/>
      <w:r w:rsidR="00F4435D" w:rsidRPr="000E35F1">
        <w:rPr>
          <w:sz w:val="22"/>
        </w:rPr>
        <w:t>се</w:t>
      </w:r>
      <w:proofErr w:type="spellEnd"/>
      <w:r w:rsidR="00F4435D" w:rsidRPr="000E35F1">
        <w:rPr>
          <w:sz w:val="22"/>
        </w:rPr>
        <w:t xml:space="preserve"> </w:t>
      </w:r>
      <w:proofErr w:type="spellStart"/>
      <w:r w:rsidR="00F4435D" w:rsidRPr="000E35F1">
        <w:rPr>
          <w:sz w:val="22"/>
        </w:rPr>
        <w:t>пад</w:t>
      </w:r>
      <w:proofErr w:type="spellEnd"/>
      <w:r w:rsidR="00F4435D" w:rsidRPr="000E35F1">
        <w:rPr>
          <w:sz w:val="22"/>
        </w:rPr>
        <w:t xml:space="preserve"> </w:t>
      </w:r>
      <w:proofErr w:type="spellStart"/>
      <w:r w:rsidR="00F4435D" w:rsidRPr="000E35F1">
        <w:rPr>
          <w:sz w:val="22"/>
        </w:rPr>
        <w:t>привредне</w:t>
      </w:r>
      <w:proofErr w:type="spellEnd"/>
      <w:r w:rsidR="00F4435D" w:rsidRPr="000E35F1">
        <w:rPr>
          <w:sz w:val="22"/>
        </w:rPr>
        <w:t xml:space="preserve"> </w:t>
      </w:r>
      <w:proofErr w:type="spellStart"/>
      <w:r w:rsidR="00F4435D" w:rsidRPr="000E35F1">
        <w:rPr>
          <w:sz w:val="22"/>
        </w:rPr>
        <w:t>активности</w:t>
      </w:r>
      <w:proofErr w:type="spellEnd"/>
      <w:r w:rsidR="00F4435D" w:rsidRPr="000E35F1">
        <w:rPr>
          <w:sz w:val="22"/>
        </w:rPr>
        <w:t xml:space="preserve"> </w:t>
      </w:r>
      <w:proofErr w:type="spellStart"/>
      <w:r w:rsidR="00F4435D" w:rsidRPr="000E35F1">
        <w:rPr>
          <w:sz w:val="22"/>
        </w:rPr>
        <w:t>од</w:t>
      </w:r>
      <w:proofErr w:type="spellEnd"/>
      <w:r w:rsidR="00F4435D" w:rsidRPr="000E35F1">
        <w:rPr>
          <w:sz w:val="22"/>
        </w:rPr>
        <w:t xml:space="preserve"> </w:t>
      </w:r>
      <w:r w:rsidRPr="000E35F1">
        <w:rPr>
          <w:sz w:val="22"/>
          <w:lang w:val="sr-Cyrl-RS"/>
        </w:rPr>
        <w:t xml:space="preserve">чак </w:t>
      </w:r>
      <w:r w:rsidR="00F4435D" w:rsidRPr="000E35F1">
        <w:rPr>
          <w:sz w:val="22"/>
        </w:rPr>
        <w:t>9%.</w:t>
      </w:r>
      <w:r w:rsidR="00615CD9">
        <w:rPr>
          <w:sz w:val="22"/>
        </w:rPr>
        <w:t xml:space="preserve"> У </w:t>
      </w:r>
      <w:proofErr w:type="spellStart"/>
      <w:r w:rsidR="00615CD9">
        <w:rPr>
          <w:sz w:val="22"/>
        </w:rPr>
        <w:t>бољем</w:t>
      </w:r>
      <w:proofErr w:type="spellEnd"/>
      <w:r w:rsidR="00615CD9">
        <w:rPr>
          <w:sz w:val="22"/>
        </w:rPr>
        <w:t xml:space="preserve"> </w:t>
      </w:r>
      <w:proofErr w:type="spellStart"/>
      <w:r w:rsidR="00615CD9">
        <w:rPr>
          <w:sz w:val="22"/>
        </w:rPr>
        <w:t>положају</w:t>
      </w:r>
      <w:proofErr w:type="spellEnd"/>
      <w:r w:rsidR="00615CD9">
        <w:rPr>
          <w:sz w:val="22"/>
        </w:rPr>
        <w:t xml:space="preserve"> </w:t>
      </w:r>
      <w:proofErr w:type="spellStart"/>
      <w:r w:rsidR="00615CD9">
        <w:rPr>
          <w:sz w:val="22"/>
        </w:rPr>
        <w:t>се</w:t>
      </w:r>
      <w:proofErr w:type="spellEnd"/>
      <w:r w:rsidR="00615CD9">
        <w:rPr>
          <w:sz w:val="22"/>
        </w:rPr>
        <w:t xml:space="preserve"> </w:t>
      </w:r>
      <w:proofErr w:type="spellStart"/>
      <w:r w:rsidR="00615CD9">
        <w:rPr>
          <w:sz w:val="22"/>
        </w:rPr>
        <w:t>налази</w:t>
      </w:r>
      <w:proofErr w:type="spellEnd"/>
      <w:r w:rsidR="00F4435D" w:rsidRPr="000E35F1">
        <w:rPr>
          <w:sz w:val="22"/>
        </w:rPr>
        <w:t xml:space="preserve"> </w:t>
      </w:r>
      <w:proofErr w:type="spellStart"/>
      <w:r w:rsidR="00F4435D" w:rsidRPr="000E35F1">
        <w:rPr>
          <w:sz w:val="22"/>
        </w:rPr>
        <w:t>Србија</w:t>
      </w:r>
      <w:proofErr w:type="spellEnd"/>
      <w:r w:rsidR="00F4435D" w:rsidRPr="000E35F1">
        <w:rPr>
          <w:sz w:val="22"/>
        </w:rPr>
        <w:t xml:space="preserve"> </w:t>
      </w:r>
      <w:proofErr w:type="spellStart"/>
      <w:r w:rsidR="00F4435D" w:rsidRPr="000E35F1">
        <w:rPr>
          <w:sz w:val="22"/>
        </w:rPr>
        <w:t>са</w:t>
      </w:r>
      <w:proofErr w:type="spellEnd"/>
      <w:r w:rsidR="00A10D76">
        <w:rPr>
          <w:sz w:val="22"/>
        </w:rPr>
        <w:t xml:space="preserve"> </w:t>
      </w:r>
      <w:proofErr w:type="spellStart"/>
      <w:r w:rsidR="00A10D76">
        <w:rPr>
          <w:sz w:val="22"/>
        </w:rPr>
        <w:t>привредним</w:t>
      </w:r>
      <w:proofErr w:type="spellEnd"/>
      <w:r w:rsidR="00A10D76">
        <w:rPr>
          <w:sz w:val="22"/>
        </w:rPr>
        <w:t xml:space="preserve"> </w:t>
      </w:r>
      <w:proofErr w:type="spellStart"/>
      <w:r w:rsidR="00A10D76">
        <w:rPr>
          <w:sz w:val="22"/>
        </w:rPr>
        <w:t>падом</w:t>
      </w:r>
      <w:proofErr w:type="spellEnd"/>
      <w:r w:rsidR="00A10D76">
        <w:rPr>
          <w:sz w:val="22"/>
        </w:rPr>
        <w:t xml:space="preserve"> </w:t>
      </w:r>
      <w:proofErr w:type="spellStart"/>
      <w:r w:rsidR="00A10D76">
        <w:rPr>
          <w:sz w:val="22"/>
        </w:rPr>
        <w:t>од</w:t>
      </w:r>
      <w:proofErr w:type="spellEnd"/>
      <w:r w:rsidR="00A10D76">
        <w:rPr>
          <w:sz w:val="22"/>
        </w:rPr>
        <w:t xml:space="preserve"> 3%,</w:t>
      </w:r>
      <w:r w:rsidR="00F4435D" w:rsidRPr="000E35F1">
        <w:rPr>
          <w:sz w:val="22"/>
        </w:rPr>
        <w:t xml:space="preserve"> </w:t>
      </w:r>
      <w:r w:rsidR="00A10D76">
        <w:rPr>
          <w:sz w:val="22"/>
          <w:lang w:val="sr-Cyrl-RS"/>
        </w:rPr>
        <w:t xml:space="preserve">у </w:t>
      </w:r>
      <w:r w:rsidR="00615CD9">
        <w:rPr>
          <w:sz w:val="22"/>
          <w:lang w:val="sr-Cyrl-RS"/>
        </w:rPr>
        <w:t xml:space="preserve">БиХ </w:t>
      </w:r>
      <w:proofErr w:type="spellStart"/>
      <w:r w:rsidR="00BA02EE" w:rsidRPr="000E35F1">
        <w:rPr>
          <w:sz w:val="22"/>
        </w:rPr>
        <w:t>пад</w:t>
      </w:r>
      <w:proofErr w:type="spellEnd"/>
      <w:r w:rsidR="00BA02EE" w:rsidRPr="000E35F1">
        <w:rPr>
          <w:sz w:val="22"/>
        </w:rPr>
        <w:t xml:space="preserve"> БДП-а </w:t>
      </w:r>
      <w:r w:rsidR="007E0049">
        <w:rPr>
          <w:sz w:val="22"/>
          <w:lang w:val="sr-Cyrl-RS"/>
        </w:rPr>
        <w:t>би могао</w:t>
      </w:r>
      <w:r w:rsidR="00BE2EE1" w:rsidRPr="000E35F1">
        <w:rPr>
          <w:sz w:val="22"/>
          <w:lang w:val="sr-Cyrl-RS"/>
        </w:rPr>
        <w:t xml:space="preserve"> </w:t>
      </w:r>
      <w:proofErr w:type="spellStart"/>
      <w:r w:rsidR="00BA02EE" w:rsidRPr="000E35F1">
        <w:rPr>
          <w:sz w:val="22"/>
        </w:rPr>
        <w:t>износити</w:t>
      </w:r>
      <w:proofErr w:type="spellEnd"/>
      <w:r w:rsidR="00BA02EE" w:rsidRPr="000E35F1">
        <w:rPr>
          <w:sz w:val="22"/>
        </w:rPr>
        <w:t xml:space="preserve"> </w:t>
      </w:r>
      <w:proofErr w:type="spellStart"/>
      <w:r w:rsidR="00BA02EE" w:rsidRPr="000E35F1">
        <w:rPr>
          <w:sz w:val="22"/>
        </w:rPr>
        <w:t>око</w:t>
      </w:r>
      <w:proofErr w:type="spellEnd"/>
      <w:r w:rsidR="00BA02EE" w:rsidRPr="000E35F1">
        <w:rPr>
          <w:sz w:val="22"/>
        </w:rPr>
        <w:t xml:space="preserve"> 5%, </w:t>
      </w:r>
      <w:proofErr w:type="spellStart"/>
      <w:r w:rsidR="00BA02EE" w:rsidRPr="000E35F1">
        <w:rPr>
          <w:sz w:val="22"/>
        </w:rPr>
        <w:t>док</w:t>
      </w:r>
      <w:proofErr w:type="spellEnd"/>
      <w:r w:rsidR="00BA02EE" w:rsidRPr="000E35F1">
        <w:rPr>
          <w:sz w:val="22"/>
        </w:rPr>
        <w:t xml:space="preserve"> </w:t>
      </w:r>
      <w:r w:rsidR="00BA02EE" w:rsidRPr="000E35F1">
        <w:rPr>
          <w:sz w:val="22"/>
          <w:lang w:val="sr-Cyrl-RS"/>
        </w:rPr>
        <w:t xml:space="preserve">се </w:t>
      </w:r>
      <w:r w:rsidR="007E0049">
        <w:rPr>
          <w:sz w:val="22"/>
        </w:rPr>
        <w:t xml:space="preserve">у 2021. </w:t>
      </w:r>
      <w:proofErr w:type="spellStart"/>
      <w:r w:rsidR="007E0049">
        <w:rPr>
          <w:sz w:val="22"/>
        </w:rPr>
        <w:t>години</w:t>
      </w:r>
      <w:proofErr w:type="spellEnd"/>
      <w:r w:rsidR="00BA02EE" w:rsidRPr="000E35F1">
        <w:rPr>
          <w:sz w:val="22"/>
        </w:rPr>
        <w:t xml:space="preserve"> </w:t>
      </w:r>
      <w:proofErr w:type="spellStart"/>
      <w:r w:rsidR="00F4435D" w:rsidRPr="000E35F1">
        <w:rPr>
          <w:sz w:val="22"/>
        </w:rPr>
        <w:t>очекује</w:t>
      </w:r>
      <w:proofErr w:type="spellEnd"/>
      <w:r w:rsidR="00F4435D" w:rsidRPr="000E35F1">
        <w:rPr>
          <w:sz w:val="22"/>
        </w:rPr>
        <w:t xml:space="preserve"> </w:t>
      </w:r>
      <w:proofErr w:type="spellStart"/>
      <w:r w:rsidR="00F4435D" w:rsidRPr="000E35F1">
        <w:rPr>
          <w:sz w:val="22"/>
        </w:rPr>
        <w:t>раст</w:t>
      </w:r>
      <w:proofErr w:type="spellEnd"/>
      <w:r w:rsidR="00F4435D" w:rsidRPr="000E35F1">
        <w:rPr>
          <w:sz w:val="22"/>
        </w:rPr>
        <w:t xml:space="preserve"> </w:t>
      </w:r>
      <w:proofErr w:type="spellStart"/>
      <w:r w:rsidR="00F4435D" w:rsidRPr="000E35F1">
        <w:rPr>
          <w:sz w:val="22"/>
        </w:rPr>
        <w:t>од</w:t>
      </w:r>
      <w:proofErr w:type="spellEnd"/>
      <w:r w:rsidR="00F4435D" w:rsidRPr="000E35F1">
        <w:rPr>
          <w:sz w:val="22"/>
        </w:rPr>
        <w:t xml:space="preserve"> 3,5%</w:t>
      </w:r>
      <w:r w:rsidR="00BA02EE" w:rsidRPr="000E35F1">
        <w:rPr>
          <w:sz w:val="22"/>
          <w:lang w:val="sr-Cyrl-RS"/>
        </w:rPr>
        <w:t>.</w:t>
      </w:r>
    </w:p>
    <w:p w14:paraId="44F0A2F9" w14:textId="77777777" w:rsidR="004A0317" w:rsidRPr="00EC49B4" w:rsidRDefault="004A0317" w:rsidP="00723FB8">
      <w:pPr>
        <w:spacing w:line="276" w:lineRule="auto"/>
        <w:jc w:val="both"/>
        <w:rPr>
          <w:lang w:val="en-US"/>
        </w:rPr>
      </w:pPr>
    </w:p>
    <w:p w14:paraId="5EA90737" w14:textId="77777777" w:rsidR="009A0F75" w:rsidRPr="00EB31C1" w:rsidRDefault="00F42039" w:rsidP="00C43C49">
      <w:pPr>
        <w:widowControl w:val="0"/>
        <w:autoSpaceDE w:val="0"/>
        <w:autoSpaceDN w:val="0"/>
        <w:adjustRightInd w:val="0"/>
        <w:spacing w:line="239" w:lineRule="auto"/>
        <w:rPr>
          <w:b/>
          <w:sz w:val="20"/>
        </w:rPr>
      </w:pPr>
      <w:proofErr w:type="spellStart"/>
      <w:r w:rsidRPr="00EB31C1">
        <w:rPr>
          <w:b/>
          <w:bCs/>
          <w:color w:val="365F91"/>
          <w:sz w:val="20"/>
        </w:rPr>
        <w:t>Табела</w:t>
      </w:r>
      <w:proofErr w:type="spellEnd"/>
      <w:r w:rsidRPr="00EB31C1">
        <w:rPr>
          <w:b/>
          <w:bCs/>
          <w:color w:val="365F91"/>
          <w:sz w:val="20"/>
        </w:rPr>
        <w:t xml:space="preserve"> 1</w:t>
      </w:r>
      <w:r w:rsidR="009A0F75" w:rsidRPr="00EB31C1">
        <w:rPr>
          <w:b/>
          <w:bCs/>
          <w:color w:val="365F91"/>
          <w:sz w:val="20"/>
        </w:rPr>
        <w:t xml:space="preserve">: </w:t>
      </w:r>
      <w:proofErr w:type="spellStart"/>
      <w:r w:rsidR="009A0F75" w:rsidRPr="00EB31C1">
        <w:rPr>
          <w:b/>
          <w:bCs/>
          <w:color w:val="365F91"/>
          <w:sz w:val="20"/>
        </w:rPr>
        <w:t>Преглед</w:t>
      </w:r>
      <w:proofErr w:type="spellEnd"/>
      <w:r w:rsidR="009A0F75" w:rsidRPr="00EB31C1">
        <w:rPr>
          <w:b/>
          <w:bCs/>
          <w:color w:val="365F91"/>
          <w:sz w:val="20"/>
        </w:rPr>
        <w:t xml:space="preserve"> </w:t>
      </w:r>
      <w:proofErr w:type="spellStart"/>
      <w:r w:rsidR="009A0F75" w:rsidRPr="00EB31C1">
        <w:rPr>
          <w:b/>
          <w:bCs/>
          <w:color w:val="365F91"/>
          <w:sz w:val="20"/>
        </w:rPr>
        <w:t>пројекциј</w:t>
      </w:r>
      <w:r w:rsidR="007F32A6" w:rsidRPr="00EB31C1">
        <w:rPr>
          <w:b/>
          <w:bCs/>
          <w:color w:val="365F91"/>
          <w:sz w:val="20"/>
        </w:rPr>
        <w:t>а</w:t>
      </w:r>
      <w:proofErr w:type="spellEnd"/>
      <w:r w:rsidR="007F32A6" w:rsidRPr="00EB31C1">
        <w:rPr>
          <w:b/>
          <w:bCs/>
          <w:color w:val="365F91"/>
          <w:sz w:val="20"/>
        </w:rPr>
        <w:t xml:space="preserve"> ММФ-а, </w:t>
      </w:r>
      <w:proofErr w:type="spellStart"/>
      <w:r w:rsidR="007F32A6" w:rsidRPr="00EB31C1">
        <w:rPr>
          <w:b/>
          <w:bCs/>
          <w:color w:val="365F91"/>
          <w:sz w:val="20"/>
        </w:rPr>
        <w:t>ажурирано</w:t>
      </w:r>
      <w:proofErr w:type="spellEnd"/>
      <w:r w:rsidR="007F32A6" w:rsidRPr="00EB31C1">
        <w:rPr>
          <w:b/>
          <w:bCs/>
          <w:color w:val="365F91"/>
          <w:sz w:val="20"/>
        </w:rPr>
        <w:t xml:space="preserve"> у</w:t>
      </w:r>
      <w:r w:rsidR="00871876" w:rsidRPr="00EB31C1">
        <w:rPr>
          <w:b/>
          <w:bCs/>
          <w:color w:val="365F91"/>
          <w:sz w:val="20"/>
        </w:rPr>
        <w:t xml:space="preserve"> </w:t>
      </w:r>
      <w:r w:rsidR="00871876" w:rsidRPr="00EB31C1">
        <w:rPr>
          <w:b/>
          <w:bCs/>
          <w:color w:val="365F91"/>
          <w:sz w:val="20"/>
          <w:lang w:val="sr-Cyrl-BA"/>
        </w:rPr>
        <w:t xml:space="preserve">априлу </w:t>
      </w:r>
      <w:r w:rsidR="004E10AA" w:rsidRPr="00EB31C1">
        <w:rPr>
          <w:b/>
          <w:bCs/>
          <w:color w:val="365F91"/>
          <w:sz w:val="20"/>
        </w:rPr>
        <w:t>2020</w:t>
      </w:r>
      <w:r w:rsidR="009A0F75" w:rsidRPr="00EB31C1">
        <w:rPr>
          <w:b/>
          <w:bCs/>
          <w:color w:val="365F91"/>
          <w:sz w:val="20"/>
        </w:rPr>
        <w:t xml:space="preserve">. </w:t>
      </w:r>
      <w:proofErr w:type="spellStart"/>
      <w:r w:rsidR="009A0F75" w:rsidRPr="00EB31C1">
        <w:rPr>
          <w:b/>
          <w:bCs/>
          <w:color w:val="365F91"/>
          <w:sz w:val="20"/>
        </w:rPr>
        <w:t>године</w:t>
      </w:r>
      <w:proofErr w:type="spellEnd"/>
    </w:p>
    <w:p w14:paraId="1586C43E" w14:textId="77777777" w:rsidR="009A0F75" w:rsidRPr="00EC49B4" w:rsidRDefault="007D2091" w:rsidP="009A0F75">
      <w:pPr>
        <w:widowControl w:val="0"/>
        <w:autoSpaceDE w:val="0"/>
        <w:autoSpaceDN w:val="0"/>
        <w:adjustRightInd w:val="0"/>
        <w:spacing w:line="22" w:lineRule="exact"/>
      </w:pPr>
      <w:r w:rsidRPr="00EC49B4">
        <w:rPr>
          <w:noProof/>
          <w:lang w:val="sr-Latn-RS" w:eastAsia="sr-Latn-RS"/>
        </w:rPr>
        <mc:AlternateContent>
          <mc:Choice Requires="wps">
            <w:drawing>
              <wp:anchor distT="0" distB="0" distL="114300" distR="114300" simplePos="0" relativeHeight="251656192" behindDoc="1" locked="0" layoutInCell="0" allowOverlap="1" wp14:anchorId="7898332C" wp14:editId="01F028EE">
                <wp:simplePos x="0" y="0"/>
                <wp:positionH relativeFrom="column">
                  <wp:posOffset>17145</wp:posOffset>
                </wp:positionH>
                <wp:positionV relativeFrom="paragraph">
                  <wp:posOffset>8890</wp:posOffset>
                </wp:positionV>
                <wp:extent cx="3535680" cy="6350"/>
                <wp:effectExtent l="0" t="0" r="2667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6350"/>
                        </a:xfrm>
                        <a:prstGeom prst="line">
                          <a:avLst/>
                        </a:prstGeom>
                        <a:noFill/>
                        <a:ln w="12191">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6AF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27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" o:allowincell="f" strokecolor="#4f81bd" strokeweight=".33864mm"/>
            </w:pict>
          </mc:Fallback>
        </mc:AlternateContent>
      </w:r>
      <w:r w:rsidRPr="00EC49B4">
        <w:rPr>
          <w:noProof/>
          <w:lang w:val="sr-Latn-RS" w:eastAsia="sr-Latn-RS"/>
        </w:rPr>
        <mc:AlternateContent>
          <mc:Choice Requires="wps">
            <w:drawing>
              <wp:anchor distT="0" distB="0" distL="114300" distR="114300" simplePos="0" relativeHeight="251658240" behindDoc="1" locked="0" layoutInCell="0" allowOverlap="1" wp14:anchorId="755EF55E" wp14:editId="56F81F38">
                <wp:simplePos x="0" y="0"/>
                <wp:positionH relativeFrom="column">
                  <wp:posOffset>3557270</wp:posOffset>
                </wp:positionH>
                <wp:positionV relativeFrom="paragraph">
                  <wp:posOffset>5715</wp:posOffset>
                </wp:positionV>
                <wp:extent cx="12065" cy="12065"/>
                <wp:effectExtent l="4445" t="0" r="254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7A10E" id="Rectangle 3" o:spid="_x0000_s1026" style="position:absolute;margin-left:280.1pt;margin-top:.4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" o:allowincell="f" fillcolor="#4f81bd" stroked="f"/>
            </w:pict>
          </mc:Fallback>
        </mc:AlternateContent>
      </w:r>
    </w:p>
    <w:tbl>
      <w:tblPr>
        <w:tblW w:w="10003" w:type="dxa"/>
        <w:tblLayout w:type="fixed"/>
        <w:tblCellMar>
          <w:left w:w="0" w:type="dxa"/>
          <w:right w:w="0" w:type="dxa"/>
        </w:tblCellMar>
        <w:tblLook w:val="0000" w:firstRow="0" w:lastRow="0" w:firstColumn="0" w:lastColumn="0" w:noHBand="0" w:noVBand="0"/>
      </w:tblPr>
      <w:tblGrid>
        <w:gridCol w:w="545"/>
        <w:gridCol w:w="5340"/>
        <w:gridCol w:w="25"/>
        <w:gridCol w:w="884"/>
        <w:gridCol w:w="1029"/>
        <w:gridCol w:w="969"/>
        <w:gridCol w:w="1211"/>
      </w:tblGrid>
      <w:tr w:rsidR="009A0F75" w:rsidRPr="000E35F1" w14:paraId="012A71B6" w14:textId="77777777" w:rsidTr="00E82150">
        <w:trPr>
          <w:trHeight w:val="252"/>
        </w:trPr>
        <w:tc>
          <w:tcPr>
            <w:tcW w:w="545" w:type="dxa"/>
            <w:tcBorders>
              <w:top w:val="nil"/>
              <w:left w:val="nil"/>
              <w:bottom w:val="single" w:sz="8" w:space="0" w:color="4F81BD"/>
              <w:right w:val="nil"/>
            </w:tcBorders>
            <w:vAlign w:val="bottom"/>
          </w:tcPr>
          <w:p w14:paraId="6E232A47" w14:textId="77777777" w:rsidR="009A0F75" w:rsidRPr="000E35F1" w:rsidRDefault="00723FB8" w:rsidP="00C217D8">
            <w:pPr>
              <w:widowControl w:val="0"/>
              <w:autoSpaceDE w:val="0"/>
              <w:autoSpaceDN w:val="0"/>
              <w:adjustRightInd w:val="0"/>
              <w:rPr>
                <w:sz w:val="20"/>
                <w:szCs w:val="20"/>
              </w:rPr>
            </w:pPr>
            <w:r w:rsidRPr="000E35F1">
              <w:rPr>
                <w:noProof/>
                <w:sz w:val="20"/>
                <w:szCs w:val="20"/>
                <w:lang w:val="sr-Latn-RS" w:eastAsia="sr-Latn-RS"/>
              </w:rPr>
              <mc:AlternateContent>
                <mc:Choice Requires="wps">
                  <w:drawing>
                    <wp:anchor distT="0" distB="0" distL="114300" distR="114300" simplePos="0" relativeHeight="251660288" behindDoc="1" locked="0" layoutInCell="0" allowOverlap="1" wp14:anchorId="07D292DF" wp14:editId="34591B3A">
                      <wp:simplePos x="0" y="0"/>
                      <wp:positionH relativeFrom="column">
                        <wp:posOffset>3566795</wp:posOffset>
                      </wp:positionH>
                      <wp:positionV relativeFrom="paragraph">
                        <wp:posOffset>1270</wp:posOffset>
                      </wp:positionV>
                      <wp:extent cx="27686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12191">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BBB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1pt" to="49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BFQIAACkEAAAOAAAAZHJzL2Uyb0RvYy54bWysU8GO2yAQvVfqPyDuie3UzS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" o:allowincell="f" strokecolor="#4f81bd" strokeweight=".33864mm"/>
                  </w:pict>
                </mc:Fallback>
              </mc:AlternateContent>
            </w:r>
          </w:p>
        </w:tc>
        <w:tc>
          <w:tcPr>
            <w:tcW w:w="5340" w:type="dxa"/>
            <w:tcBorders>
              <w:top w:val="nil"/>
              <w:left w:val="nil"/>
              <w:bottom w:val="single" w:sz="8" w:space="0" w:color="4F81BD"/>
              <w:right w:val="nil"/>
            </w:tcBorders>
            <w:vAlign w:val="bottom"/>
          </w:tcPr>
          <w:p w14:paraId="5619E8FE" w14:textId="77777777" w:rsidR="009A0F75" w:rsidRPr="000E35F1" w:rsidRDefault="00A677A0" w:rsidP="00C217D8">
            <w:pPr>
              <w:widowControl w:val="0"/>
              <w:autoSpaceDE w:val="0"/>
              <w:autoSpaceDN w:val="0"/>
              <w:adjustRightInd w:val="0"/>
              <w:rPr>
                <w:b/>
                <w:sz w:val="20"/>
                <w:szCs w:val="20"/>
                <w:lang w:val="sr-Cyrl-RS"/>
              </w:rPr>
            </w:pPr>
            <w:r w:rsidRPr="000E35F1">
              <w:rPr>
                <w:b/>
                <w:sz w:val="20"/>
                <w:szCs w:val="20"/>
                <w:lang w:val="sr-Cyrl-RS"/>
              </w:rPr>
              <w:t xml:space="preserve">ОПИС </w:t>
            </w:r>
          </w:p>
        </w:tc>
        <w:tc>
          <w:tcPr>
            <w:tcW w:w="25" w:type="dxa"/>
            <w:tcBorders>
              <w:top w:val="nil"/>
              <w:left w:val="nil"/>
              <w:bottom w:val="nil"/>
              <w:right w:val="nil"/>
            </w:tcBorders>
            <w:vAlign w:val="bottom"/>
          </w:tcPr>
          <w:p w14:paraId="3B0C3436" w14:textId="77777777" w:rsidR="009A0F75" w:rsidRPr="000E35F1" w:rsidRDefault="009A0F75" w:rsidP="00C217D8">
            <w:pPr>
              <w:widowControl w:val="0"/>
              <w:autoSpaceDE w:val="0"/>
              <w:autoSpaceDN w:val="0"/>
              <w:adjustRightInd w:val="0"/>
              <w:rPr>
                <w:sz w:val="20"/>
                <w:szCs w:val="20"/>
              </w:rPr>
            </w:pPr>
          </w:p>
        </w:tc>
        <w:tc>
          <w:tcPr>
            <w:tcW w:w="884" w:type="dxa"/>
            <w:tcBorders>
              <w:top w:val="nil"/>
              <w:left w:val="nil"/>
              <w:bottom w:val="single" w:sz="8" w:space="0" w:color="4F81BD"/>
              <w:right w:val="nil"/>
            </w:tcBorders>
            <w:vAlign w:val="bottom"/>
          </w:tcPr>
          <w:p w14:paraId="5E3BD096" w14:textId="77777777" w:rsidR="009A0F75" w:rsidRPr="000E35F1" w:rsidRDefault="009A0F75" w:rsidP="00C217D8">
            <w:pPr>
              <w:widowControl w:val="0"/>
              <w:autoSpaceDE w:val="0"/>
              <w:autoSpaceDN w:val="0"/>
              <w:adjustRightInd w:val="0"/>
              <w:rPr>
                <w:sz w:val="20"/>
                <w:szCs w:val="20"/>
              </w:rPr>
            </w:pPr>
          </w:p>
        </w:tc>
        <w:tc>
          <w:tcPr>
            <w:tcW w:w="1029" w:type="dxa"/>
            <w:tcBorders>
              <w:top w:val="nil"/>
              <w:left w:val="nil"/>
              <w:bottom w:val="single" w:sz="8" w:space="0" w:color="4F81BD"/>
              <w:right w:val="nil"/>
            </w:tcBorders>
            <w:vAlign w:val="bottom"/>
          </w:tcPr>
          <w:p w14:paraId="37BDE395" w14:textId="77777777" w:rsidR="009A0F75" w:rsidRPr="000E35F1" w:rsidRDefault="009A0F75" w:rsidP="00C217D8">
            <w:pPr>
              <w:widowControl w:val="0"/>
              <w:autoSpaceDE w:val="0"/>
              <w:autoSpaceDN w:val="0"/>
              <w:adjustRightInd w:val="0"/>
              <w:rPr>
                <w:sz w:val="20"/>
                <w:szCs w:val="20"/>
              </w:rPr>
            </w:pPr>
          </w:p>
        </w:tc>
        <w:tc>
          <w:tcPr>
            <w:tcW w:w="2180" w:type="dxa"/>
            <w:gridSpan w:val="2"/>
            <w:tcBorders>
              <w:top w:val="nil"/>
              <w:left w:val="nil"/>
              <w:bottom w:val="single" w:sz="8" w:space="0" w:color="4F81BD"/>
              <w:right w:val="nil"/>
            </w:tcBorders>
            <w:vAlign w:val="bottom"/>
          </w:tcPr>
          <w:p w14:paraId="0AD0A3D9" w14:textId="77777777" w:rsidR="009A0F75" w:rsidRPr="000E35F1" w:rsidRDefault="009A0F75" w:rsidP="00723FB8">
            <w:pPr>
              <w:widowControl w:val="0"/>
              <w:autoSpaceDE w:val="0"/>
              <w:autoSpaceDN w:val="0"/>
              <w:adjustRightInd w:val="0"/>
              <w:spacing w:line="243" w:lineRule="exact"/>
              <w:rPr>
                <w:sz w:val="20"/>
                <w:szCs w:val="20"/>
              </w:rPr>
            </w:pPr>
            <w:proofErr w:type="spellStart"/>
            <w:r w:rsidRPr="000E35F1">
              <w:rPr>
                <w:b/>
                <w:bCs/>
                <w:color w:val="505050"/>
                <w:sz w:val="20"/>
                <w:szCs w:val="20"/>
              </w:rPr>
              <w:t>Пројекције</w:t>
            </w:r>
            <w:proofErr w:type="spellEnd"/>
          </w:p>
        </w:tc>
      </w:tr>
      <w:tr w:rsidR="009A0F75" w:rsidRPr="000E35F1" w14:paraId="1277FAB2" w14:textId="77777777" w:rsidTr="00723FB8">
        <w:trPr>
          <w:trHeight w:val="253"/>
        </w:trPr>
        <w:tc>
          <w:tcPr>
            <w:tcW w:w="545" w:type="dxa"/>
            <w:tcBorders>
              <w:top w:val="nil"/>
              <w:left w:val="nil"/>
              <w:bottom w:val="nil"/>
              <w:right w:val="nil"/>
            </w:tcBorders>
            <w:shd w:val="clear" w:color="auto" w:fill="D3DFEE"/>
            <w:vAlign w:val="bottom"/>
          </w:tcPr>
          <w:p w14:paraId="5458F73B" w14:textId="77777777" w:rsidR="009A0F75" w:rsidRPr="000E35F1" w:rsidRDefault="009A0F75" w:rsidP="00C217D8">
            <w:pPr>
              <w:widowControl w:val="0"/>
              <w:autoSpaceDE w:val="0"/>
              <w:autoSpaceDN w:val="0"/>
              <w:adjustRightInd w:val="0"/>
              <w:rPr>
                <w:sz w:val="20"/>
                <w:szCs w:val="20"/>
              </w:rPr>
            </w:pPr>
          </w:p>
        </w:tc>
        <w:tc>
          <w:tcPr>
            <w:tcW w:w="5340" w:type="dxa"/>
            <w:tcBorders>
              <w:top w:val="nil"/>
              <w:left w:val="nil"/>
              <w:bottom w:val="nil"/>
              <w:right w:val="nil"/>
            </w:tcBorders>
            <w:shd w:val="clear" w:color="auto" w:fill="D3DFEE"/>
            <w:vAlign w:val="bottom"/>
          </w:tcPr>
          <w:p w14:paraId="74118167" w14:textId="77777777" w:rsidR="009A0F75" w:rsidRPr="000E35F1" w:rsidRDefault="009A0F75" w:rsidP="00C217D8">
            <w:pPr>
              <w:widowControl w:val="0"/>
              <w:autoSpaceDE w:val="0"/>
              <w:autoSpaceDN w:val="0"/>
              <w:adjustRightInd w:val="0"/>
              <w:rPr>
                <w:sz w:val="20"/>
                <w:szCs w:val="20"/>
              </w:rPr>
            </w:pPr>
          </w:p>
        </w:tc>
        <w:tc>
          <w:tcPr>
            <w:tcW w:w="25" w:type="dxa"/>
            <w:tcBorders>
              <w:top w:val="nil"/>
              <w:left w:val="nil"/>
              <w:bottom w:val="nil"/>
              <w:right w:val="nil"/>
            </w:tcBorders>
            <w:shd w:val="clear" w:color="auto" w:fill="D3DFEE"/>
            <w:vAlign w:val="bottom"/>
          </w:tcPr>
          <w:p w14:paraId="5E9E3218" w14:textId="77777777" w:rsidR="009A0F75" w:rsidRPr="000E35F1" w:rsidRDefault="009A0F75" w:rsidP="00C217D8">
            <w:pPr>
              <w:widowControl w:val="0"/>
              <w:autoSpaceDE w:val="0"/>
              <w:autoSpaceDN w:val="0"/>
              <w:adjustRightInd w:val="0"/>
              <w:rPr>
                <w:sz w:val="20"/>
                <w:szCs w:val="20"/>
              </w:rPr>
            </w:pPr>
          </w:p>
        </w:tc>
        <w:tc>
          <w:tcPr>
            <w:tcW w:w="884" w:type="dxa"/>
            <w:tcBorders>
              <w:top w:val="nil"/>
              <w:left w:val="nil"/>
              <w:bottom w:val="nil"/>
              <w:right w:val="nil"/>
            </w:tcBorders>
            <w:shd w:val="clear" w:color="auto" w:fill="D3DFEE"/>
            <w:vAlign w:val="bottom"/>
          </w:tcPr>
          <w:p w14:paraId="75F4AF49" w14:textId="77777777" w:rsidR="009A0F75" w:rsidRPr="000E35F1" w:rsidRDefault="009A0F75" w:rsidP="00C217D8">
            <w:pPr>
              <w:widowControl w:val="0"/>
              <w:autoSpaceDE w:val="0"/>
              <w:autoSpaceDN w:val="0"/>
              <w:adjustRightInd w:val="0"/>
              <w:spacing w:line="237" w:lineRule="exact"/>
              <w:jc w:val="center"/>
              <w:rPr>
                <w:sz w:val="20"/>
                <w:szCs w:val="20"/>
                <w:lang w:val="sr-Cyrl-BA"/>
              </w:rPr>
            </w:pPr>
            <w:r w:rsidRPr="000E35F1">
              <w:rPr>
                <w:b/>
                <w:bCs/>
                <w:color w:val="505050"/>
                <w:w w:val="98"/>
                <w:sz w:val="20"/>
                <w:szCs w:val="20"/>
              </w:rPr>
              <w:t>201</w:t>
            </w:r>
            <w:r w:rsidR="004E10AA" w:rsidRPr="000E35F1">
              <w:rPr>
                <w:b/>
                <w:bCs/>
                <w:color w:val="505050"/>
                <w:w w:val="98"/>
                <w:sz w:val="20"/>
                <w:szCs w:val="20"/>
                <w:lang w:val="sr-Cyrl-BA"/>
              </w:rPr>
              <w:t>8</w:t>
            </w:r>
          </w:p>
        </w:tc>
        <w:tc>
          <w:tcPr>
            <w:tcW w:w="1029" w:type="dxa"/>
            <w:tcBorders>
              <w:top w:val="nil"/>
              <w:left w:val="nil"/>
              <w:bottom w:val="nil"/>
              <w:right w:val="nil"/>
            </w:tcBorders>
            <w:shd w:val="clear" w:color="auto" w:fill="D3DFEE"/>
            <w:vAlign w:val="bottom"/>
          </w:tcPr>
          <w:p w14:paraId="46F58B4A" w14:textId="77777777" w:rsidR="009A0F75" w:rsidRPr="000E35F1" w:rsidRDefault="00833C1B" w:rsidP="00C217D8">
            <w:pPr>
              <w:widowControl w:val="0"/>
              <w:autoSpaceDE w:val="0"/>
              <w:autoSpaceDN w:val="0"/>
              <w:adjustRightInd w:val="0"/>
              <w:spacing w:line="237" w:lineRule="exact"/>
              <w:jc w:val="center"/>
              <w:rPr>
                <w:sz w:val="20"/>
                <w:szCs w:val="20"/>
                <w:lang w:val="sr-Cyrl-BA"/>
              </w:rPr>
            </w:pPr>
            <w:r w:rsidRPr="000E35F1">
              <w:rPr>
                <w:b/>
                <w:bCs/>
                <w:color w:val="505050"/>
                <w:w w:val="98"/>
                <w:sz w:val="20"/>
                <w:szCs w:val="20"/>
              </w:rPr>
              <w:t>2019</w:t>
            </w:r>
          </w:p>
        </w:tc>
        <w:tc>
          <w:tcPr>
            <w:tcW w:w="969" w:type="dxa"/>
            <w:tcBorders>
              <w:top w:val="nil"/>
              <w:left w:val="nil"/>
              <w:bottom w:val="nil"/>
              <w:right w:val="nil"/>
            </w:tcBorders>
            <w:shd w:val="clear" w:color="auto" w:fill="D3DFEE"/>
            <w:vAlign w:val="bottom"/>
          </w:tcPr>
          <w:p w14:paraId="54ED74D1" w14:textId="77777777" w:rsidR="009A0F75" w:rsidRPr="000E35F1" w:rsidRDefault="0064553E" w:rsidP="00C217D8">
            <w:pPr>
              <w:widowControl w:val="0"/>
              <w:autoSpaceDE w:val="0"/>
              <w:autoSpaceDN w:val="0"/>
              <w:adjustRightInd w:val="0"/>
              <w:spacing w:line="237" w:lineRule="exact"/>
              <w:jc w:val="center"/>
              <w:rPr>
                <w:sz w:val="20"/>
                <w:szCs w:val="20"/>
                <w:lang w:val="sr-Cyrl-BA"/>
              </w:rPr>
            </w:pPr>
            <w:r w:rsidRPr="000E35F1">
              <w:rPr>
                <w:b/>
                <w:bCs/>
                <w:color w:val="505050"/>
                <w:w w:val="98"/>
                <w:sz w:val="20"/>
                <w:szCs w:val="20"/>
              </w:rPr>
              <w:t>202</w:t>
            </w:r>
            <w:r w:rsidR="004E10AA" w:rsidRPr="000E35F1">
              <w:rPr>
                <w:b/>
                <w:bCs/>
                <w:color w:val="505050"/>
                <w:w w:val="98"/>
                <w:sz w:val="20"/>
                <w:szCs w:val="20"/>
              </w:rPr>
              <w:t>0</w:t>
            </w:r>
          </w:p>
        </w:tc>
        <w:tc>
          <w:tcPr>
            <w:tcW w:w="1211" w:type="dxa"/>
            <w:tcBorders>
              <w:top w:val="nil"/>
              <w:left w:val="nil"/>
              <w:bottom w:val="nil"/>
              <w:right w:val="nil"/>
            </w:tcBorders>
            <w:shd w:val="clear" w:color="auto" w:fill="D3DFEE"/>
            <w:vAlign w:val="bottom"/>
          </w:tcPr>
          <w:p w14:paraId="34A75516" w14:textId="77777777" w:rsidR="009A0F75" w:rsidRPr="000E35F1" w:rsidRDefault="0064553E" w:rsidP="00C217D8">
            <w:pPr>
              <w:widowControl w:val="0"/>
              <w:autoSpaceDE w:val="0"/>
              <w:autoSpaceDN w:val="0"/>
              <w:adjustRightInd w:val="0"/>
              <w:spacing w:line="237" w:lineRule="exact"/>
              <w:jc w:val="center"/>
              <w:rPr>
                <w:sz w:val="20"/>
                <w:szCs w:val="20"/>
                <w:lang w:val="sr-Cyrl-BA"/>
              </w:rPr>
            </w:pPr>
            <w:r w:rsidRPr="000E35F1">
              <w:rPr>
                <w:b/>
                <w:bCs/>
                <w:color w:val="505050"/>
                <w:w w:val="98"/>
                <w:sz w:val="20"/>
                <w:szCs w:val="20"/>
              </w:rPr>
              <w:t>202</w:t>
            </w:r>
            <w:r w:rsidR="004E10AA" w:rsidRPr="000E35F1">
              <w:rPr>
                <w:b/>
                <w:bCs/>
                <w:color w:val="505050"/>
                <w:w w:val="98"/>
                <w:sz w:val="20"/>
                <w:szCs w:val="20"/>
              </w:rPr>
              <w:t>1</w:t>
            </w:r>
          </w:p>
        </w:tc>
      </w:tr>
      <w:tr w:rsidR="009A0F75" w:rsidRPr="000E35F1" w14:paraId="645814A1" w14:textId="77777777" w:rsidTr="00E82150">
        <w:trPr>
          <w:trHeight w:val="146"/>
        </w:trPr>
        <w:tc>
          <w:tcPr>
            <w:tcW w:w="5885" w:type="dxa"/>
            <w:gridSpan w:val="2"/>
            <w:tcBorders>
              <w:top w:val="nil"/>
              <w:left w:val="nil"/>
              <w:bottom w:val="nil"/>
              <w:right w:val="nil"/>
            </w:tcBorders>
            <w:vAlign w:val="bottom"/>
          </w:tcPr>
          <w:p w14:paraId="1FD94001" w14:textId="77777777" w:rsidR="009A0F75" w:rsidRPr="000E35F1" w:rsidRDefault="004F3D3C" w:rsidP="00C217D8">
            <w:pPr>
              <w:widowControl w:val="0"/>
              <w:autoSpaceDE w:val="0"/>
              <w:autoSpaceDN w:val="0"/>
              <w:adjustRightInd w:val="0"/>
              <w:spacing w:line="237" w:lineRule="exact"/>
              <w:ind w:left="120"/>
              <w:rPr>
                <w:sz w:val="20"/>
                <w:szCs w:val="20"/>
              </w:rPr>
            </w:pPr>
            <w:r w:rsidRPr="000E35F1">
              <w:rPr>
                <w:b/>
                <w:bCs/>
                <w:color w:val="505050"/>
                <w:sz w:val="20"/>
                <w:szCs w:val="20"/>
                <w:lang w:val="sr-Cyrl-RS"/>
              </w:rPr>
              <w:t xml:space="preserve">         </w:t>
            </w:r>
            <w:proofErr w:type="spellStart"/>
            <w:r w:rsidR="009A0F75" w:rsidRPr="000E35F1">
              <w:rPr>
                <w:b/>
                <w:bCs/>
                <w:color w:val="505050"/>
                <w:sz w:val="20"/>
                <w:szCs w:val="20"/>
              </w:rPr>
              <w:t>Реални</w:t>
            </w:r>
            <w:proofErr w:type="spellEnd"/>
            <w:r w:rsidR="009A0F75" w:rsidRPr="000E35F1">
              <w:rPr>
                <w:b/>
                <w:bCs/>
                <w:color w:val="505050"/>
                <w:sz w:val="20"/>
                <w:szCs w:val="20"/>
              </w:rPr>
              <w:t xml:space="preserve"> </w:t>
            </w:r>
            <w:proofErr w:type="spellStart"/>
            <w:r w:rsidR="009A0F75" w:rsidRPr="000E35F1">
              <w:rPr>
                <w:b/>
                <w:bCs/>
                <w:color w:val="505050"/>
                <w:sz w:val="20"/>
                <w:szCs w:val="20"/>
              </w:rPr>
              <w:t>раст</w:t>
            </w:r>
            <w:proofErr w:type="spellEnd"/>
            <w:r w:rsidR="009A0F75" w:rsidRPr="000E35F1">
              <w:rPr>
                <w:b/>
                <w:bCs/>
                <w:color w:val="505050"/>
                <w:sz w:val="20"/>
                <w:szCs w:val="20"/>
              </w:rPr>
              <w:t xml:space="preserve"> БДП-а, %</w:t>
            </w:r>
          </w:p>
        </w:tc>
        <w:tc>
          <w:tcPr>
            <w:tcW w:w="25" w:type="dxa"/>
            <w:tcBorders>
              <w:top w:val="nil"/>
              <w:left w:val="nil"/>
              <w:bottom w:val="nil"/>
              <w:right w:val="nil"/>
            </w:tcBorders>
            <w:vAlign w:val="bottom"/>
          </w:tcPr>
          <w:p w14:paraId="6C7928D3" w14:textId="77777777" w:rsidR="009A0F75" w:rsidRPr="000E35F1" w:rsidRDefault="009A0F75" w:rsidP="00C217D8">
            <w:pPr>
              <w:widowControl w:val="0"/>
              <w:autoSpaceDE w:val="0"/>
              <w:autoSpaceDN w:val="0"/>
              <w:adjustRightInd w:val="0"/>
              <w:rPr>
                <w:sz w:val="20"/>
                <w:szCs w:val="20"/>
              </w:rPr>
            </w:pPr>
          </w:p>
        </w:tc>
        <w:tc>
          <w:tcPr>
            <w:tcW w:w="884" w:type="dxa"/>
            <w:tcBorders>
              <w:top w:val="nil"/>
              <w:left w:val="nil"/>
              <w:bottom w:val="nil"/>
              <w:right w:val="nil"/>
            </w:tcBorders>
            <w:vAlign w:val="bottom"/>
          </w:tcPr>
          <w:p w14:paraId="7F2004E9" w14:textId="77777777" w:rsidR="009A0F75" w:rsidRPr="000E35F1" w:rsidRDefault="009A0F75" w:rsidP="00C217D8">
            <w:pPr>
              <w:widowControl w:val="0"/>
              <w:autoSpaceDE w:val="0"/>
              <w:autoSpaceDN w:val="0"/>
              <w:adjustRightInd w:val="0"/>
              <w:rPr>
                <w:sz w:val="20"/>
                <w:szCs w:val="20"/>
              </w:rPr>
            </w:pPr>
          </w:p>
        </w:tc>
        <w:tc>
          <w:tcPr>
            <w:tcW w:w="1029" w:type="dxa"/>
            <w:tcBorders>
              <w:top w:val="nil"/>
              <w:left w:val="nil"/>
              <w:bottom w:val="nil"/>
              <w:right w:val="nil"/>
            </w:tcBorders>
            <w:vAlign w:val="bottom"/>
          </w:tcPr>
          <w:p w14:paraId="0A694BF8" w14:textId="77777777" w:rsidR="009A0F75" w:rsidRPr="000E35F1" w:rsidRDefault="009A0F75" w:rsidP="00C217D8">
            <w:pPr>
              <w:widowControl w:val="0"/>
              <w:autoSpaceDE w:val="0"/>
              <w:autoSpaceDN w:val="0"/>
              <w:adjustRightInd w:val="0"/>
              <w:rPr>
                <w:sz w:val="20"/>
                <w:szCs w:val="20"/>
              </w:rPr>
            </w:pPr>
          </w:p>
        </w:tc>
        <w:tc>
          <w:tcPr>
            <w:tcW w:w="969" w:type="dxa"/>
            <w:tcBorders>
              <w:top w:val="nil"/>
              <w:left w:val="nil"/>
              <w:bottom w:val="nil"/>
              <w:right w:val="nil"/>
            </w:tcBorders>
            <w:vAlign w:val="bottom"/>
          </w:tcPr>
          <w:p w14:paraId="04941D2C" w14:textId="77777777" w:rsidR="009A0F75" w:rsidRPr="000E35F1" w:rsidRDefault="009A0F75" w:rsidP="00C217D8">
            <w:pPr>
              <w:widowControl w:val="0"/>
              <w:autoSpaceDE w:val="0"/>
              <w:autoSpaceDN w:val="0"/>
              <w:adjustRightInd w:val="0"/>
              <w:rPr>
                <w:sz w:val="20"/>
                <w:szCs w:val="20"/>
              </w:rPr>
            </w:pPr>
          </w:p>
        </w:tc>
        <w:tc>
          <w:tcPr>
            <w:tcW w:w="1211" w:type="dxa"/>
            <w:tcBorders>
              <w:top w:val="nil"/>
              <w:left w:val="nil"/>
              <w:bottom w:val="nil"/>
              <w:right w:val="nil"/>
            </w:tcBorders>
            <w:vAlign w:val="bottom"/>
          </w:tcPr>
          <w:p w14:paraId="412FDDAD" w14:textId="77777777" w:rsidR="009A0F75" w:rsidRPr="000E35F1" w:rsidRDefault="009A0F75" w:rsidP="00C217D8">
            <w:pPr>
              <w:widowControl w:val="0"/>
              <w:autoSpaceDE w:val="0"/>
              <w:autoSpaceDN w:val="0"/>
              <w:adjustRightInd w:val="0"/>
              <w:rPr>
                <w:sz w:val="20"/>
                <w:szCs w:val="20"/>
              </w:rPr>
            </w:pPr>
          </w:p>
        </w:tc>
      </w:tr>
      <w:tr w:rsidR="009A0F75" w:rsidRPr="000E35F1" w14:paraId="240B5BD8" w14:textId="77777777" w:rsidTr="00723FB8">
        <w:trPr>
          <w:trHeight w:val="256"/>
        </w:trPr>
        <w:tc>
          <w:tcPr>
            <w:tcW w:w="5885" w:type="dxa"/>
            <w:gridSpan w:val="2"/>
            <w:tcBorders>
              <w:top w:val="nil"/>
              <w:left w:val="nil"/>
              <w:bottom w:val="nil"/>
              <w:right w:val="nil"/>
            </w:tcBorders>
            <w:shd w:val="clear" w:color="auto" w:fill="D3DFEE"/>
            <w:vAlign w:val="bottom"/>
          </w:tcPr>
          <w:p w14:paraId="221C5C13" w14:textId="77777777" w:rsidR="009A0F75" w:rsidRPr="000E35F1" w:rsidRDefault="004F3D3C" w:rsidP="00723FB8">
            <w:pPr>
              <w:widowControl w:val="0"/>
              <w:autoSpaceDE w:val="0"/>
              <w:autoSpaceDN w:val="0"/>
              <w:adjustRightInd w:val="0"/>
              <w:spacing w:line="240" w:lineRule="exact"/>
              <w:ind w:left="120"/>
              <w:rPr>
                <w:sz w:val="20"/>
                <w:szCs w:val="20"/>
              </w:rPr>
            </w:pPr>
            <w:r w:rsidRPr="000E35F1">
              <w:rPr>
                <w:b/>
                <w:bCs/>
                <w:color w:val="505050"/>
                <w:sz w:val="20"/>
                <w:szCs w:val="20"/>
                <w:lang w:val="sr-Cyrl-RS"/>
              </w:rPr>
              <w:t xml:space="preserve">        </w:t>
            </w:r>
            <w:proofErr w:type="spellStart"/>
            <w:r w:rsidR="009A0F75" w:rsidRPr="000E35F1">
              <w:rPr>
                <w:b/>
                <w:bCs/>
                <w:color w:val="505050"/>
                <w:sz w:val="20"/>
                <w:szCs w:val="20"/>
              </w:rPr>
              <w:t>Свијет</w:t>
            </w:r>
            <w:proofErr w:type="spellEnd"/>
          </w:p>
        </w:tc>
        <w:tc>
          <w:tcPr>
            <w:tcW w:w="25" w:type="dxa"/>
            <w:tcBorders>
              <w:top w:val="nil"/>
              <w:left w:val="nil"/>
              <w:bottom w:val="nil"/>
              <w:right w:val="nil"/>
            </w:tcBorders>
            <w:shd w:val="clear" w:color="auto" w:fill="D3DFEE"/>
            <w:vAlign w:val="bottom"/>
          </w:tcPr>
          <w:p w14:paraId="35051AD9" w14:textId="77777777" w:rsidR="009A0F75" w:rsidRPr="000E35F1" w:rsidRDefault="009A0F75" w:rsidP="00C217D8">
            <w:pPr>
              <w:widowControl w:val="0"/>
              <w:autoSpaceDE w:val="0"/>
              <w:autoSpaceDN w:val="0"/>
              <w:adjustRightInd w:val="0"/>
              <w:rPr>
                <w:sz w:val="20"/>
                <w:szCs w:val="20"/>
              </w:rPr>
            </w:pPr>
          </w:p>
        </w:tc>
        <w:tc>
          <w:tcPr>
            <w:tcW w:w="884" w:type="dxa"/>
            <w:tcBorders>
              <w:top w:val="nil"/>
              <w:left w:val="nil"/>
              <w:bottom w:val="nil"/>
              <w:right w:val="nil"/>
            </w:tcBorders>
            <w:shd w:val="clear" w:color="auto" w:fill="D3DFEE"/>
            <w:vAlign w:val="bottom"/>
          </w:tcPr>
          <w:p w14:paraId="1FE3B76C" w14:textId="77777777" w:rsidR="009A0F75" w:rsidRPr="000E35F1" w:rsidRDefault="00713FE9" w:rsidP="00C217D8">
            <w:pPr>
              <w:widowControl w:val="0"/>
              <w:autoSpaceDE w:val="0"/>
              <w:autoSpaceDN w:val="0"/>
              <w:adjustRightInd w:val="0"/>
              <w:spacing w:line="240" w:lineRule="exact"/>
              <w:jc w:val="center"/>
              <w:rPr>
                <w:sz w:val="20"/>
                <w:szCs w:val="20"/>
                <w:lang w:val="sr-Cyrl-BA"/>
              </w:rPr>
            </w:pPr>
            <w:r w:rsidRPr="000E35F1">
              <w:rPr>
                <w:color w:val="505050"/>
                <w:w w:val="94"/>
                <w:sz w:val="20"/>
                <w:szCs w:val="20"/>
                <w:lang w:val="sr-Cyrl-BA"/>
              </w:rPr>
              <w:t>3,6</w:t>
            </w:r>
          </w:p>
        </w:tc>
        <w:tc>
          <w:tcPr>
            <w:tcW w:w="1029" w:type="dxa"/>
            <w:tcBorders>
              <w:top w:val="nil"/>
              <w:left w:val="nil"/>
              <w:bottom w:val="nil"/>
              <w:right w:val="nil"/>
            </w:tcBorders>
            <w:shd w:val="clear" w:color="auto" w:fill="D3DFEE"/>
            <w:vAlign w:val="bottom"/>
          </w:tcPr>
          <w:p w14:paraId="7E0073BC" w14:textId="77777777" w:rsidR="009A0F75" w:rsidRPr="000E35F1" w:rsidRDefault="00713FE9" w:rsidP="00C217D8">
            <w:pPr>
              <w:widowControl w:val="0"/>
              <w:autoSpaceDE w:val="0"/>
              <w:autoSpaceDN w:val="0"/>
              <w:adjustRightInd w:val="0"/>
              <w:spacing w:line="240" w:lineRule="exact"/>
              <w:jc w:val="center"/>
              <w:rPr>
                <w:sz w:val="20"/>
                <w:szCs w:val="20"/>
                <w:lang w:val="sr-Cyrl-BA"/>
              </w:rPr>
            </w:pPr>
            <w:r w:rsidRPr="000E35F1">
              <w:rPr>
                <w:color w:val="505050"/>
                <w:w w:val="94"/>
                <w:sz w:val="20"/>
                <w:szCs w:val="20"/>
                <w:lang w:val="sr-Cyrl-BA"/>
              </w:rPr>
              <w:t>2,9</w:t>
            </w:r>
          </w:p>
        </w:tc>
        <w:tc>
          <w:tcPr>
            <w:tcW w:w="969" w:type="dxa"/>
            <w:tcBorders>
              <w:top w:val="nil"/>
              <w:left w:val="nil"/>
              <w:bottom w:val="nil"/>
              <w:right w:val="nil"/>
            </w:tcBorders>
            <w:shd w:val="clear" w:color="auto" w:fill="D3DFEE"/>
            <w:vAlign w:val="bottom"/>
          </w:tcPr>
          <w:p w14:paraId="7264FAC4" w14:textId="77777777" w:rsidR="009A0F75" w:rsidRPr="000E35F1" w:rsidRDefault="003E33B9" w:rsidP="00C217D8">
            <w:pPr>
              <w:widowControl w:val="0"/>
              <w:autoSpaceDE w:val="0"/>
              <w:autoSpaceDN w:val="0"/>
              <w:adjustRightInd w:val="0"/>
              <w:spacing w:line="240" w:lineRule="exact"/>
              <w:jc w:val="center"/>
              <w:rPr>
                <w:b/>
                <w:color w:val="FF0000"/>
                <w:sz w:val="20"/>
                <w:szCs w:val="20"/>
                <w:lang w:val="sr-Cyrl-BA"/>
              </w:rPr>
            </w:pPr>
            <w:r w:rsidRPr="000E35F1">
              <w:rPr>
                <w:b/>
                <w:color w:val="FF0000"/>
                <w:w w:val="94"/>
                <w:sz w:val="20"/>
                <w:szCs w:val="20"/>
                <w:lang w:val="sr-Cyrl-BA"/>
              </w:rPr>
              <w:t>-3,0</w:t>
            </w:r>
          </w:p>
        </w:tc>
        <w:tc>
          <w:tcPr>
            <w:tcW w:w="1211" w:type="dxa"/>
            <w:tcBorders>
              <w:top w:val="nil"/>
              <w:left w:val="nil"/>
              <w:bottom w:val="nil"/>
              <w:right w:val="nil"/>
            </w:tcBorders>
            <w:shd w:val="clear" w:color="auto" w:fill="D3DFEE"/>
            <w:vAlign w:val="bottom"/>
          </w:tcPr>
          <w:p w14:paraId="26F51AA1" w14:textId="77777777" w:rsidR="009A0F75" w:rsidRPr="000E35F1" w:rsidRDefault="00713FE9" w:rsidP="00C217D8">
            <w:pPr>
              <w:widowControl w:val="0"/>
              <w:autoSpaceDE w:val="0"/>
              <w:autoSpaceDN w:val="0"/>
              <w:adjustRightInd w:val="0"/>
              <w:spacing w:line="240" w:lineRule="exact"/>
              <w:jc w:val="center"/>
              <w:rPr>
                <w:b/>
                <w:color w:val="FF0000"/>
                <w:sz w:val="20"/>
                <w:szCs w:val="20"/>
                <w:lang w:val="sr-Cyrl-BA"/>
              </w:rPr>
            </w:pPr>
            <w:r w:rsidRPr="000E35F1">
              <w:rPr>
                <w:b/>
                <w:color w:val="FF0000"/>
                <w:sz w:val="20"/>
                <w:szCs w:val="20"/>
                <w:lang w:val="sr-Cyrl-BA"/>
              </w:rPr>
              <w:t>5,</w:t>
            </w:r>
            <w:r w:rsidR="003E33B9" w:rsidRPr="000E35F1">
              <w:rPr>
                <w:b/>
                <w:color w:val="FF0000"/>
                <w:sz w:val="20"/>
                <w:szCs w:val="20"/>
                <w:lang w:val="sr-Cyrl-BA"/>
              </w:rPr>
              <w:t>8</w:t>
            </w:r>
          </w:p>
        </w:tc>
      </w:tr>
      <w:tr w:rsidR="009A0F75" w:rsidRPr="000E35F1" w14:paraId="71D56136" w14:textId="77777777" w:rsidTr="00E82150">
        <w:trPr>
          <w:trHeight w:val="83"/>
        </w:trPr>
        <w:tc>
          <w:tcPr>
            <w:tcW w:w="545" w:type="dxa"/>
            <w:tcBorders>
              <w:top w:val="nil"/>
              <w:left w:val="nil"/>
              <w:bottom w:val="nil"/>
              <w:right w:val="nil"/>
            </w:tcBorders>
            <w:vAlign w:val="bottom"/>
          </w:tcPr>
          <w:p w14:paraId="62CF40A3" w14:textId="77777777" w:rsidR="009A0F75" w:rsidRPr="000E35F1" w:rsidRDefault="009A0F75" w:rsidP="00C217D8">
            <w:pPr>
              <w:widowControl w:val="0"/>
              <w:autoSpaceDE w:val="0"/>
              <w:autoSpaceDN w:val="0"/>
              <w:adjustRightInd w:val="0"/>
              <w:rPr>
                <w:sz w:val="20"/>
                <w:szCs w:val="20"/>
              </w:rPr>
            </w:pPr>
          </w:p>
        </w:tc>
        <w:tc>
          <w:tcPr>
            <w:tcW w:w="5340" w:type="dxa"/>
            <w:tcBorders>
              <w:top w:val="nil"/>
              <w:left w:val="nil"/>
              <w:bottom w:val="nil"/>
              <w:right w:val="nil"/>
            </w:tcBorders>
            <w:vAlign w:val="bottom"/>
          </w:tcPr>
          <w:p w14:paraId="43EF9EE2" w14:textId="77777777" w:rsidR="009A0F75" w:rsidRPr="000E35F1" w:rsidRDefault="009A0F75" w:rsidP="00C217D8">
            <w:pPr>
              <w:widowControl w:val="0"/>
              <w:autoSpaceDE w:val="0"/>
              <w:autoSpaceDN w:val="0"/>
              <w:adjustRightInd w:val="0"/>
              <w:spacing w:line="237" w:lineRule="exact"/>
              <w:ind w:left="50"/>
              <w:rPr>
                <w:sz w:val="20"/>
                <w:szCs w:val="20"/>
              </w:rPr>
            </w:pPr>
            <w:proofErr w:type="spellStart"/>
            <w:r w:rsidRPr="000E35F1">
              <w:rPr>
                <w:color w:val="505050"/>
                <w:sz w:val="20"/>
                <w:szCs w:val="20"/>
              </w:rPr>
              <w:t>Развијене</w:t>
            </w:r>
            <w:proofErr w:type="spellEnd"/>
            <w:r w:rsidRPr="000E35F1">
              <w:rPr>
                <w:color w:val="505050"/>
                <w:sz w:val="20"/>
                <w:szCs w:val="20"/>
              </w:rPr>
              <w:t xml:space="preserve"> </w:t>
            </w:r>
            <w:proofErr w:type="spellStart"/>
            <w:r w:rsidRPr="000E35F1">
              <w:rPr>
                <w:color w:val="505050"/>
                <w:sz w:val="20"/>
                <w:szCs w:val="20"/>
              </w:rPr>
              <w:t>економије</w:t>
            </w:r>
            <w:proofErr w:type="spellEnd"/>
          </w:p>
        </w:tc>
        <w:tc>
          <w:tcPr>
            <w:tcW w:w="909" w:type="dxa"/>
            <w:gridSpan w:val="2"/>
            <w:tcBorders>
              <w:top w:val="nil"/>
              <w:left w:val="nil"/>
              <w:bottom w:val="nil"/>
              <w:right w:val="nil"/>
            </w:tcBorders>
            <w:vAlign w:val="bottom"/>
          </w:tcPr>
          <w:p w14:paraId="5AAF0CA1" w14:textId="77777777" w:rsidR="009A0F75" w:rsidRPr="000E35F1" w:rsidRDefault="00DF0CF9" w:rsidP="00C217D8">
            <w:pPr>
              <w:widowControl w:val="0"/>
              <w:autoSpaceDE w:val="0"/>
              <w:autoSpaceDN w:val="0"/>
              <w:adjustRightInd w:val="0"/>
              <w:spacing w:line="237" w:lineRule="exact"/>
              <w:jc w:val="center"/>
              <w:rPr>
                <w:sz w:val="20"/>
                <w:szCs w:val="20"/>
                <w:lang w:val="sr-Latn-BA"/>
              </w:rPr>
            </w:pPr>
            <w:r w:rsidRPr="000E35F1">
              <w:rPr>
                <w:color w:val="505050"/>
                <w:w w:val="94"/>
                <w:sz w:val="20"/>
                <w:szCs w:val="20"/>
                <w:lang w:val="sr-Latn-BA"/>
              </w:rPr>
              <w:t>2,2</w:t>
            </w:r>
          </w:p>
        </w:tc>
        <w:tc>
          <w:tcPr>
            <w:tcW w:w="1029" w:type="dxa"/>
            <w:tcBorders>
              <w:top w:val="nil"/>
              <w:left w:val="nil"/>
              <w:bottom w:val="nil"/>
              <w:right w:val="nil"/>
            </w:tcBorders>
            <w:vAlign w:val="bottom"/>
          </w:tcPr>
          <w:p w14:paraId="0884761A" w14:textId="77777777" w:rsidR="009A0F75" w:rsidRPr="000E35F1" w:rsidRDefault="00DF0CF9" w:rsidP="00C217D8">
            <w:pPr>
              <w:widowControl w:val="0"/>
              <w:autoSpaceDE w:val="0"/>
              <w:autoSpaceDN w:val="0"/>
              <w:adjustRightInd w:val="0"/>
              <w:spacing w:line="237" w:lineRule="exact"/>
              <w:jc w:val="center"/>
              <w:rPr>
                <w:sz w:val="20"/>
                <w:szCs w:val="20"/>
                <w:lang w:val="sr-Cyrl-BA"/>
              </w:rPr>
            </w:pPr>
            <w:r w:rsidRPr="000E35F1">
              <w:rPr>
                <w:color w:val="505050"/>
                <w:w w:val="94"/>
                <w:sz w:val="20"/>
                <w:szCs w:val="20"/>
              </w:rPr>
              <w:t>1,7</w:t>
            </w:r>
          </w:p>
        </w:tc>
        <w:tc>
          <w:tcPr>
            <w:tcW w:w="969" w:type="dxa"/>
            <w:tcBorders>
              <w:top w:val="nil"/>
              <w:left w:val="nil"/>
              <w:bottom w:val="nil"/>
              <w:right w:val="nil"/>
            </w:tcBorders>
            <w:vAlign w:val="bottom"/>
          </w:tcPr>
          <w:p w14:paraId="5CB36F5A" w14:textId="77777777" w:rsidR="009A0F75" w:rsidRPr="000E35F1" w:rsidRDefault="003E33B9" w:rsidP="00C217D8">
            <w:pPr>
              <w:widowControl w:val="0"/>
              <w:autoSpaceDE w:val="0"/>
              <w:autoSpaceDN w:val="0"/>
              <w:adjustRightInd w:val="0"/>
              <w:spacing w:line="237" w:lineRule="exact"/>
              <w:jc w:val="center"/>
              <w:rPr>
                <w:sz w:val="20"/>
                <w:szCs w:val="20"/>
                <w:lang w:val="sr-Latn-BA"/>
              </w:rPr>
            </w:pPr>
            <w:r w:rsidRPr="000E35F1">
              <w:rPr>
                <w:color w:val="505050"/>
                <w:w w:val="94"/>
                <w:sz w:val="20"/>
                <w:szCs w:val="20"/>
                <w:lang w:val="sr-Latn-BA"/>
              </w:rPr>
              <w:t>-6,1</w:t>
            </w:r>
          </w:p>
        </w:tc>
        <w:tc>
          <w:tcPr>
            <w:tcW w:w="1211" w:type="dxa"/>
            <w:tcBorders>
              <w:top w:val="nil"/>
              <w:left w:val="nil"/>
              <w:bottom w:val="nil"/>
              <w:right w:val="nil"/>
            </w:tcBorders>
            <w:vAlign w:val="bottom"/>
          </w:tcPr>
          <w:p w14:paraId="6AC3BA77" w14:textId="77777777" w:rsidR="009A0F75" w:rsidRPr="000E35F1" w:rsidRDefault="00DF0CF9" w:rsidP="00C217D8">
            <w:pPr>
              <w:widowControl w:val="0"/>
              <w:autoSpaceDE w:val="0"/>
              <w:autoSpaceDN w:val="0"/>
              <w:adjustRightInd w:val="0"/>
              <w:spacing w:line="237" w:lineRule="exact"/>
              <w:jc w:val="center"/>
              <w:rPr>
                <w:sz w:val="20"/>
                <w:szCs w:val="20"/>
                <w:lang w:val="sr-Latn-BA"/>
              </w:rPr>
            </w:pPr>
            <w:r w:rsidRPr="000E35F1">
              <w:rPr>
                <w:color w:val="505050"/>
                <w:sz w:val="20"/>
                <w:szCs w:val="20"/>
                <w:lang w:val="sr-Latn-BA"/>
              </w:rPr>
              <w:t>4,</w:t>
            </w:r>
            <w:r w:rsidR="003E33B9" w:rsidRPr="000E35F1">
              <w:rPr>
                <w:color w:val="505050"/>
                <w:sz w:val="20"/>
                <w:szCs w:val="20"/>
                <w:lang w:val="sr-Latn-BA"/>
              </w:rPr>
              <w:t>5</w:t>
            </w:r>
          </w:p>
        </w:tc>
      </w:tr>
      <w:tr w:rsidR="009A0F75" w:rsidRPr="000E35F1" w14:paraId="1016981E" w14:textId="77777777" w:rsidTr="00723FB8">
        <w:trPr>
          <w:trHeight w:val="254"/>
        </w:trPr>
        <w:tc>
          <w:tcPr>
            <w:tcW w:w="545" w:type="dxa"/>
            <w:tcBorders>
              <w:top w:val="nil"/>
              <w:left w:val="nil"/>
              <w:bottom w:val="nil"/>
              <w:right w:val="nil"/>
            </w:tcBorders>
            <w:shd w:val="clear" w:color="auto" w:fill="D3DFEE"/>
            <w:vAlign w:val="bottom"/>
          </w:tcPr>
          <w:p w14:paraId="21FF49BB" w14:textId="77777777" w:rsidR="009A0F75" w:rsidRPr="000E35F1" w:rsidRDefault="009A0F75" w:rsidP="00C217D8">
            <w:pPr>
              <w:widowControl w:val="0"/>
              <w:autoSpaceDE w:val="0"/>
              <w:autoSpaceDN w:val="0"/>
              <w:adjustRightInd w:val="0"/>
              <w:rPr>
                <w:sz w:val="20"/>
                <w:szCs w:val="20"/>
              </w:rPr>
            </w:pPr>
          </w:p>
        </w:tc>
        <w:tc>
          <w:tcPr>
            <w:tcW w:w="5340" w:type="dxa"/>
            <w:tcBorders>
              <w:top w:val="nil"/>
              <w:left w:val="nil"/>
              <w:bottom w:val="nil"/>
              <w:right w:val="nil"/>
            </w:tcBorders>
            <w:shd w:val="clear" w:color="auto" w:fill="D3DFEE"/>
            <w:vAlign w:val="bottom"/>
          </w:tcPr>
          <w:p w14:paraId="59BC612D" w14:textId="77777777" w:rsidR="009A0F75" w:rsidRPr="000E35F1" w:rsidRDefault="009A0F75" w:rsidP="00C217D8">
            <w:pPr>
              <w:widowControl w:val="0"/>
              <w:autoSpaceDE w:val="0"/>
              <w:autoSpaceDN w:val="0"/>
              <w:adjustRightInd w:val="0"/>
              <w:spacing w:line="241" w:lineRule="exact"/>
              <w:ind w:left="50"/>
              <w:rPr>
                <w:sz w:val="20"/>
                <w:szCs w:val="20"/>
              </w:rPr>
            </w:pPr>
            <w:r w:rsidRPr="000E35F1">
              <w:rPr>
                <w:color w:val="505050"/>
                <w:sz w:val="20"/>
                <w:szCs w:val="20"/>
              </w:rPr>
              <w:t>САД</w:t>
            </w:r>
          </w:p>
        </w:tc>
        <w:tc>
          <w:tcPr>
            <w:tcW w:w="25" w:type="dxa"/>
            <w:tcBorders>
              <w:top w:val="nil"/>
              <w:left w:val="nil"/>
              <w:bottom w:val="nil"/>
              <w:right w:val="nil"/>
            </w:tcBorders>
            <w:shd w:val="clear" w:color="auto" w:fill="D3DFEE"/>
            <w:vAlign w:val="bottom"/>
          </w:tcPr>
          <w:p w14:paraId="2AE8D7D0" w14:textId="77777777" w:rsidR="009A0F75" w:rsidRPr="000E35F1" w:rsidRDefault="009A0F75" w:rsidP="00C217D8">
            <w:pPr>
              <w:widowControl w:val="0"/>
              <w:autoSpaceDE w:val="0"/>
              <w:autoSpaceDN w:val="0"/>
              <w:adjustRightInd w:val="0"/>
              <w:rPr>
                <w:sz w:val="20"/>
                <w:szCs w:val="20"/>
              </w:rPr>
            </w:pPr>
          </w:p>
        </w:tc>
        <w:tc>
          <w:tcPr>
            <w:tcW w:w="884" w:type="dxa"/>
            <w:tcBorders>
              <w:top w:val="nil"/>
              <w:left w:val="nil"/>
              <w:bottom w:val="nil"/>
              <w:right w:val="nil"/>
            </w:tcBorders>
            <w:shd w:val="clear" w:color="auto" w:fill="D3DFEE"/>
            <w:vAlign w:val="bottom"/>
          </w:tcPr>
          <w:p w14:paraId="41ABFF95" w14:textId="77777777" w:rsidR="009A0F75" w:rsidRPr="000E35F1" w:rsidRDefault="00DF0CF9" w:rsidP="00C217D8">
            <w:pPr>
              <w:widowControl w:val="0"/>
              <w:autoSpaceDE w:val="0"/>
              <w:autoSpaceDN w:val="0"/>
              <w:adjustRightInd w:val="0"/>
              <w:spacing w:line="241" w:lineRule="exact"/>
              <w:jc w:val="center"/>
              <w:rPr>
                <w:sz w:val="20"/>
                <w:szCs w:val="20"/>
                <w:lang w:val="sr-Latn-BA"/>
              </w:rPr>
            </w:pPr>
            <w:r w:rsidRPr="000E35F1">
              <w:rPr>
                <w:color w:val="505050"/>
                <w:w w:val="94"/>
                <w:sz w:val="20"/>
                <w:szCs w:val="20"/>
                <w:lang w:val="sr-Latn-BA"/>
              </w:rPr>
              <w:t>2,9</w:t>
            </w:r>
          </w:p>
        </w:tc>
        <w:tc>
          <w:tcPr>
            <w:tcW w:w="1029" w:type="dxa"/>
            <w:tcBorders>
              <w:top w:val="nil"/>
              <w:left w:val="nil"/>
              <w:bottom w:val="nil"/>
              <w:right w:val="nil"/>
            </w:tcBorders>
            <w:shd w:val="clear" w:color="auto" w:fill="D3DFEE"/>
            <w:vAlign w:val="bottom"/>
          </w:tcPr>
          <w:p w14:paraId="7E78D9BB" w14:textId="77777777" w:rsidR="009A0F75" w:rsidRPr="000E35F1" w:rsidRDefault="00DF0CF9" w:rsidP="00C217D8">
            <w:pPr>
              <w:widowControl w:val="0"/>
              <w:autoSpaceDE w:val="0"/>
              <w:autoSpaceDN w:val="0"/>
              <w:adjustRightInd w:val="0"/>
              <w:spacing w:line="241" w:lineRule="exact"/>
              <w:jc w:val="center"/>
              <w:rPr>
                <w:sz w:val="20"/>
                <w:szCs w:val="20"/>
                <w:lang w:val="sr-Cyrl-BA"/>
              </w:rPr>
            </w:pPr>
            <w:r w:rsidRPr="000E35F1">
              <w:rPr>
                <w:color w:val="505050"/>
                <w:w w:val="94"/>
                <w:sz w:val="20"/>
                <w:szCs w:val="20"/>
                <w:lang w:val="en-US"/>
              </w:rPr>
              <w:t>2,3</w:t>
            </w:r>
          </w:p>
        </w:tc>
        <w:tc>
          <w:tcPr>
            <w:tcW w:w="969" w:type="dxa"/>
            <w:tcBorders>
              <w:top w:val="nil"/>
              <w:left w:val="nil"/>
              <w:bottom w:val="nil"/>
              <w:right w:val="nil"/>
            </w:tcBorders>
            <w:shd w:val="clear" w:color="auto" w:fill="D3DFEE"/>
            <w:vAlign w:val="bottom"/>
          </w:tcPr>
          <w:p w14:paraId="7D45DCA2" w14:textId="77777777" w:rsidR="009A0F75" w:rsidRPr="000E35F1" w:rsidRDefault="003E33B9" w:rsidP="00C217D8">
            <w:pPr>
              <w:widowControl w:val="0"/>
              <w:autoSpaceDE w:val="0"/>
              <w:autoSpaceDN w:val="0"/>
              <w:adjustRightInd w:val="0"/>
              <w:spacing w:line="241" w:lineRule="exact"/>
              <w:jc w:val="center"/>
              <w:rPr>
                <w:sz w:val="20"/>
                <w:szCs w:val="20"/>
                <w:lang w:val="sr-Cyrl-BA"/>
              </w:rPr>
            </w:pPr>
            <w:r w:rsidRPr="000E35F1">
              <w:rPr>
                <w:color w:val="505050"/>
                <w:w w:val="94"/>
                <w:sz w:val="20"/>
                <w:szCs w:val="20"/>
              </w:rPr>
              <w:t>-5,9</w:t>
            </w:r>
          </w:p>
        </w:tc>
        <w:tc>
          <w:tcPr>
            <w:tcW w:w="1211" w:type="dxa"/>
            <w:tcBorders>
              <w:top w:val="nil"/>
              <w:left w:val="nil"/>
              <w:bottom w:val="nil"/>
              <w:right w:val="nil"/>
            </w:tcBorders>
            <w:shd w:val="clear" w:color="auto" w:fill="D3DFEE"/>
            <w:vAlign w:val="bottom"/>
          </w:tcPr>
          <w:p w14:paraId="7C2E1CDF" w14:textId="77777777" w:rsidR="009A0F75" w:rsidRPr="000E35F1" w:rsidRDefault="00DF0CF9" w:rsidP="00C217D8">
            <w:pPr>
              <w:widowControl w:val="0"/>
              <w:autoSpaceDE w:val="0"/>
              <w:autoSpaceDN w:val="0"/>
              <w:adjustRightInd w:val="0"/>
              <w:spacing w:line="241" w:lineRule="exact"/>
              <w:jc w:val="center"/>
              <w:rPr>
                <w:sz w:val="20"/>
                <w:szCs w:val="20"/>
                <w:lang w:val="sr-Latn-BA"/>
              </w:rPr>
            </w:pPr>
            <w:r w:rsidRPr="000E35F1">
              <w:rPr>
                <w:color w:val="505050"/>
                <w:sz w:val="20"/>
                <w:szCs w:val="20"/>
                <w:lang w:val="sr-Latn-BA"/>
              </w:rPr>
              <w:t>4,</w:t>
            </w:r>
            <w:r w:rsidR="003E33B9" w:rsidRPr="000E35F1">
              <w:rPr>
                <w:color w:val="505050"/>
                <w:sz w:val="20"/>
                <w:szCs w:val="20"/>
                <w:lang w:val="sr-Latn-BA"/>
              </w:rPr>
              <w:t>7</w:t>
            </w:r>
          </w:p>
        </w:tc>
      </w:tr>
      <w:tr w:rsidR="009A0F75" w:rsidRPr="000E35F1" w14:paraId="0EC56928" w14:textId="77777777" w:rsidTr="00E82150">
        <w:trPr>
          <w:trHeight w:val="63"/>
        </w:trPr>
        <w:tc>
          <w:tcPr>
            <w:tcW w:w="545" w:type="dxa"/>
            <w:tcBorders>
              <w:top w:val="nil"/>
              <w:left w:val="nil"/>
              <w:bottom w:val="nil"/>
              <w:right w:val="nil"/>
            </w:tcBorders>
            <w:vAlign w:val="bottom"/>
          </w:tcPr>
          <w:p w14:paraId="4DD6692D" w14:textId="77777777" w:rsidR="009A0F75" w:rsidRPr="000E35F1" w:rsidRDefault="009A0F75" w:rsidP="00C217D8">
            <w:pPr>
              <w:widowControl w:val="0"/>
              <w:autoSpaceDE w:val="0"/>
              <w:autoSpaceDN w:val="0"/>
              <w:adjustRightInd w:val="0"/>
              <w:rPr>
                <w:sz w:val="20"/>
                <w:szCs w:val="20"/>
              </w:rPr>
            </w:pPr>
          </w:p>
        </w:tc>
        <w:tc>
          <w:tcPr>
            <w:tcW w:w="5340" w:type="dxa"/>
            <w:tcBorders>
              <w:top w:val="nil"/>
              <w:left w:val="nil"/>
              <w:bottom w:val="nil"/>
              <w:right w:val="nil"/>
            </w:tcBorders>
            <w:vAlign w:val="bottom"/>
          </w:tcPr>
          <w:p w14:paraId="358DB89E" w14:textId="77777777" w:rsidR="009A0F75" w:rsidRPr="000E35F1" w:rsidRDefault="008C3D93" w:rsidP="00C217D8">
            <w:pPr>
              <w:widowControl w:val="0"/>
              <w:autoSpaceDE w:val="0"/>
              <w:autoSpaceDN w:val="0"/>
              <w:adjustRightInd w:val="0"/>
              <w:spacing w:line="237" w:lineRule="exact"/>
              <w:ind w:left="50"/>
              <w:rPr>
                <w:sz w:val="20"/>
                <w:szCs w:val="20"/>
              </w:rPr>
            </w:pPr>
            <w:proofErr w:type="spellStart"/>
            <w:r w:rsidRPr="000E35F1">
              <w:rPr>
                <w:color w:val="505050"/>
                <w:sz w:val="20"/>
                <w:szCs w:val="20"/>
              </w:rPr>
              <w:t>Евро</w:t>
            </w:r>
            <w:r w:rsidR="009A0F75" w:rsidRPr="000E35F1">
              <w:rPr>
                <w:color w:val="505050"/>
                <w:sz w:val="20"/>
                <w:szCs w:val="20"/>
              </w:rPr>
              <w:t>зона</w:t>
            </w:r>
            <w:proofErr w:type="spellEnd"/>
          </w:p>
        </w:tc>
        <w:tc>
          <w:tcPr>
            <w:tcW w:w="909" w:type="dxa"/>
            <w:gridSpan w:val="2"/>
            <w:tcBorders>
              <w:top w:val="nil"/>
              <w:left w:val="nil"/>
              <w:bottom w:val="nil"/>
              <w:right w:val="nil"/>
            </w:tcBorders>
            <w:vAlign w:val="bottom"/>
          </w:tcPr>
          <w:p w14:paraId="18F05400" w14:textId="77777777" w:rsidR="009A0F75" w:rsidRPr="000E35F1" w:rsidRDefault="00DF0CF9" w:rsidP="00C217D8">
            <w:pPr>
              <w:widowControl w:val="0"/>
              <w:autoSpaceDE w:val="0"/>
              <w:autoSpaceDN w:val="0"/>
              <w:adjustRightInd w:val="0"/>
              <w:spacing w:line="237" w:lineRule="exact"/>
              <w:jc w:val="center"/>
              <w:rPr>
                <w:sz w:val="20"/>
                <w:szCs w:val="20"/>
                <w:lang w:val="sr-Latn-BA"/>
              </w:rPr>
            </w:pPr>
            <w:r w:rsidRPr="000E35F1">
              <w:rPr>
                <w:color w:val="505050"/>
                <w:w w:val="94"/>
                <w:sz w:val="20"/>
                <w:szCs w:val="20"/>
                <w:lang w:val="sr-Latn-BA"/>
              </w:rPr>
              <w:t>1,9</w:t>
            </w:r>
          </w:p>
        </w:tc>
        <w:tc>
          <w:tcPr>
            <w:tcW w:w="1029" w:type="dxa"/>
            <w:tcBorders>
              <w:top w:val="nil"/>
              <w:left w:val="nil"/>
              <w:bottom w:val="nil"/>
              <w:right w:val="nil"/>
            </w:tcBorders>
            <w:vAlign w:val="bottom"/>
          </w:tcPr>
          <w:p w14:paraId="56D34C3B" w14:textId="77777777" w:rsidR="009A0F75" w:rsidRPr="000E35F1" w:rsidRDefault="00DF0CF9" w:rsidP="00C217D8">
            <w:pPr>
              <w:widowControl w:val="0"/>
              <w:autoSpaceDE w:val="0"/>
              <w:autoSpaceDN w:val="0"/>
              <w:adjustRightInd w:val="0"/>
              <w:spacing w:line="237" w:lineRule="exact"/>
              <w:jc w:val="center"/>
              <w:rPr>
                <w:sz w:val="20"/>
                <w:szCs w:val="20"/>
                <w:lang w:val="sr-Latn-BA"/>
              </w:rPr>
            </w:pPr>
            <w:r w:rsidRPr="000E35F1">
              <w:rPr>
                <w:color w:val="505050"/>
                <w:w w:val="94"/>
                <w:sz w:val="20"/>
                <w:szCs w:val="20"/>
                <w:lang w:val="sr-Latn-BA"/>
              </w:rPr>
              <w:t>1,</w:t>
            </w:r>
            <w:r w:rsidR="003E33B9" w:rsidRPr="000E35F1">
              <w:rPr>
                <w:color w:val="505050"/>
                <w:w w:val="94"/>
                <w:sz w:val="20"/>
                <w:szCs w:val="20"/>
                <w:lang w:val="sr-Latn-BA"/>
              </w:rPr>
              <w:t>2</w:t>
            </w:r>
          </w:p>
        </w:tc>
        <w:tc>
          <w:tcPr>
            <w:tcW w:w="969" w:type="dxa"/>
            <w:tcBorders>
              <w:top w:val="nil"/>
              <w:left w:val="nil"/>
              <w:bottom w:val="nil"/>
              <w:right w:val="nil"/>
            </w:tcBorders>
            <w:vAlign w:val="bottom"/>
          </w:tcPr>
          <w:p w14:paraId="0320512C" w14:textId="77777777" w:rsidR="009A0F75" w:rsidRPr="000E35F1" w:rsidRDefault="003E33B9" w:rsidP="00C217D8">
            <w:pPr>
              <w:widowControl w:val="0"/>
              <w:autoSpaceDE w:val="0"/>
              <w:autoSpaceDN w:val="0"/>
              <w:adjustRightInd w:val="0"/>
              <w:spacing w:line="237" w:lineRule="exact"/>
              <w:jc w:val="center"/>
              <w:rPr>
                <w:sz w:val="20"/>
                <w:szCs w:val="20"/>
                <w:lang w:val="sr-Latn-BA"/>
              </w:rPr>
            </w:pPr>
            <w:r w:rsidRPr="000E35F1">
              <w:rPr>
                <w:color w:val="505050"/>
                <w:w w:val="94"/>
                <w:sz w:val="20"/>
                <w:szCs w:val="20"/>
                <w:lang w:val="sr-Latn-BA"/>
              </w:rPr>
              <w:t>-7,5</w:t>
            </w:r>
          </w:p>
        </w:tc>
        <w:tc>
          <w:tcPr>
            <w:tcW w:w="1211" w:type="dxa"/>
            <w:tcBorders>
              <w:top w:val="nil"/>
              <w:left w:val="nil"/>
              <w:bottom w:val="nil"/>
              <w:right w:val="nil"/>
            </w:tcBorders>
            <w:vAlign w:val="bottom"/>
          </w:tcPr>
          <w:p w14:paraId="09D6C161" w14:textId="77777777" w:rsidR="009A0F75" w:rsidRPr="000E35F1" w:rsidRDefault="003E33B9" w:rsidP="00C217D8">
            <w:pPr>
              <w:widowControl w:val="0"/>
              <w:autoSpaceDE w:val="0"/>
              <w:autoSpaceDN w:val="0"/>
              <w:adjustRightInd w:val="0"/>
              <w:spacing w:line="237" w:lineRule="exact"/>
              <w:jc w:val="center"/>
              <w:rPr>
                <w:sz w:val="20"/>
                <w:szCs w:val="20"/>
                <w:lang w:val="sr-Latn-BA"/>
              </w:rPr>
            </w:pPr>
            <w:r w:rsidRPr="000E35F1">
              <w:rPr>
                <w:color w:val="505050"/>
                <w:sz w:val="20"/>
                <w:szCs w:val="20"/>
                <w:lang w:val="sr-Latn-BA"/>
              </w:rPr>
              <w:t>4,7</w:t>
            </w:r>
          </w:p>
        </w:tc>
      </w:tr>
      <w:tr w:rsidR="009A0F75" w:rsidRPr="000E35F1" w14:paraId="2E3AA61E" w14:textId="77777777" w:rsidTr="00E82150">
        <w:trPr>
          <w:trHeight w:val="64"/>
        </w:trPr>
        <w:tc>
          <w:tcPr>
            <w:tcW w:w="545" w:type="dxa"/>
            <w:tcBorders>
              <w:top w:val="nil"/>
              <w:left w:val="nil"/>
              <w:bottom w:val="nil"/>
              <w:right w:val="nil"/>
            </w:tcBorders>
            <w:shd w:val="clear" w:color="auto" w:fill="D3DFEE"/>
            <w:vAlign w:val="bottom"/>
          </w:tcPr>
          <w:p w14:paraId="465FCF81" w14:textId="77777777" w:rsidR="009A0F75" w:rsidRPr="000E35F1" w:rsidRDefault="009A0F75" w:rsidP="00C217D8">
            <w:pPr>
              <w:widowControl w:val="0"/>
              <w:autoSpaceDE w:val="0"/>
              <w:autoSpaceDN w:val="0"/>
              <w:adjustRightInd w:val="0"/>
              <w:rPr>
                <w:sz w:val="20"/>
                <w:szCs w:val="20"/>
              </w:rPr>
            </w:pPr>
          </w:p>
        </w:tc>
        <w:tc>
          <w:tcPr>
            <w:tcW w:w="5340" w:type="dxa"/>
            <w:tcBorders>
              <w:top w:val="nil"/>
              <w:left w:val="nil"/>
              <w:bottom w:val="nil"/>
              <w:right w:val="nil"/>
            </w:tcBorders>
            <w:shd w:val="clear" w:color="auto" w:fill="D3DFEE"/>
            <w:vAlign w:val="bottom"/>
          </w:tcPr>
          <w:p w14:paraId="64A86A5B" w14:textId="77777777" w:rsidR="009A0F75" w:rsidRPr="000E35F1" w:rsidRDefault="009A0F75" w:rsidP="00C217D8">
            <w:pPr>
              <w:widowControl w:val="0"/>
              <w:autoSpaceDE w:val="0"/>
              <w:autoSpaceDN w:val="0"/>
              <w:adjustRightInd w:val="0"/>
              <w:spacing w:line="241" w:lineRule="exact"/>
              <w:ind w:left="50"/>
              <w:rPr>
                <w:sz w:val="20"/>
                <w:szCs w:val="20"/>
              </w:rPr>
            </w:pPr>
            <w:proofErr w:type="spellStart"/>
            <w:r w:rsidRPr="000E35F1">
              <w:rPr>
                <w:color w:val="505050"/>
                <w:sz w:val="20"/>
                <w:szCs w:val="20"/>
              </w:rPr>
              <w:t>Земље</w:t>
            </w:r>
            <w:proofErr w:type="spellEnd"/>
            <w:r w:rsidRPr="000E35F1">
              <w:rPr>
                <w:color w:val="505050"/>
                <w:sz w:val="20"/>
                <w:szCs w:val="20"/>
              </w:rPr>
              <w:t xml:space="preserve"> у </w:t>
            </w:r>
            <w:proofErr w:type="spellStart"/>
            <w:r w:rsidRPr="000E35F1">
              <w:rPr>
                <w:color w:val="505050"/>
                <w:sz w:val="20"/>
                <w:szCs w:val="20"/>
              </w:rPr>
              <w:t>развоју</w:t>
            </w:r>
            <w:proofErr w:type="spellEnd"/>
          </w:p>
        </w:tc>
        <w:tc>
          <w:tcPr>
            <w:tcW w:w="25" w:type="dxa"/>
            <w:tcBorders>
              <w:top w:val="nil"/>
              <w:left w:val="nil"/>
              <w:bottom w:val="nil"/>
              <w:right w:val="nil"/>
            </w:tcBorders>
            <w:shd w:val="clear" w:color="auto" w:fill="D3DFEE"/>
            <w:vAlign w:val="bottom"/>
          </w:tcPr>
          <w:p w14:paraId="2C05092A" w14:textId="77777777" w:rsidR="009A0F75" w:rsidRPr="000E35F1" w:rsidRDefault="009A0F75" w:rsidP="00C217D8">
            <w:pPr>
              <w:widowControl w:val="0"/>
              <w:autoSpaceDE w:val="0"/>
              <w:autoSpaceDN w:val="0"/>
              <w:adjustRightInd w:val="0"/>
              <w:rPr>
                <w:sz w:val="20"/>
                <w:szCs w:val="20"/>
              </w:rPr>
            </w:pPr>
          </w:p>
        </w:tc>
        <w:tc>
          <w:tcPr>
            <w:tcW w:w="884" w:type="dxa"/>
            <w:tcBorders>
              <w:top w:val="nil"/>
              <w:left w:val="nil"/>
              <w:bottom w:val="nil"/>
              <w:right w:val="nil"/>
            </w:tcBorders>
            <w:shd w:val="clear" w:color="auto" w:fill="D3DFEE"/>
            <w:vAlign w:val="bottom"/>
          </w:tcPr>
          <w:p w14:paraId="583D5D82" w14:textId="77777777" w:rsidR="009A0F75" w:rsidRPr="000E35F1" w:rsidRDefault="006A7BD4"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4,5</w:t>
            </w:r>
          </w:p>
        </w:tc>
        <w:tc>
          <w:tcPr>
            <w:tcW w:w="1029" w:type="dxa"/>
            <w:tcBorders>
              <w:top w:val="nil"/>
              <w:left w:val="nil"/>
              <w:bottom w:val="nil"/>
              <w:right w:val="nil"/>
            </w:tcBorders>
            <w:shd w:val="clear" w:color="auto" w:fill="D3DFEE"/>
            <w:vAlign w:val="bottom"/>
          </w:tcPr>
          <w:p w14:paraId="4539287B" w14:textId="77777777" w:rsidR="009A0F75" w:rsidRPr="000E35F1" w:rsidRDefault="006A7BD4"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3,7</w:t>
            </w:r>
          </w:p>
        </w:tc>
        <w:tc>
          <w:tcPr>
            <w:tcW w:w="969" w:type="dxa"/>
            <w:tcBorders>
              <w:top w:val="nil"/>
              <w:left w:val="nil"/>
              <w:bottom w:val="nil"/>
              <w:right w:val="nil"/>
            </w:tcBorders>
            <w:shd w:val="clear" w:color="auto" w:fill="D3DFEE"/>
            <w:vAlign w:val="bottom"/>
          </w:tcPr>
          <w:p w14:paraId="3CD2D1DF" w14:textId="77777777" w:rsidR="009A0F75" w:rsidRPr="000E35F1" w:rsidRDefault="003E33B9"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-1</w:t>
            </w:r>
            <w:r w:rsidR="006A7BD4" w:rsidRPr="000E35F1">
              <w:rPr>
                <w:sz w:val="20"/>
                <w:szCs w:val="20"/>
                <w:lang w:val="sr-Latn-BA"/>
              </w:rPr>
              <w:t>,0</w:t>
            </w:r>
          </w:p>
        </w:tc>
        <w:tc>
          <w:tcPr>
            <w:tcW w:w="1211" w:type="dxa"/>
            <w:tcBorders>
              <w:top w:val="nil"/>
              <w:left w:val="nil"/>
              <w:bottom w:val="nil"/>
              <w:right w:val="nil"/>
            </w:tcBorders>
            <w:shd w:val="clear" w:color="auto" w:fill="D3DFEE"/>
            <w:vAlign w:val="bottom"/>
          </w:tcPr>
          <w:p w14:paraId="7ECA3405" w14:textId="77777777" w:rsidR="009A0F75" w:rsidRPr="000E35F1" w:rsidRDefault="003E33B9"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6,6</w:t>
            </w:r>
          </w:p>
        </w:tc>
      </w:tr>
      <w:tr w:rsidR="009A0F75" w:rsidRPr="000E35F1" w14:paraId="40F52718" w14:textId="77777777" w:rsidTr="00E82150">
        <w:trPr>
          <w:trHeight w:val="97"/>
        </w:trPr>
        <w:tc>
          <w:tcPr>
            <w:tcW w:w="545" w:type="dxa"/>
            <w:tcBorders>
              <w:top w:val="nil"/>
              <w:left w:val="nil"/>
              <w:bottom w:val="nil"/>
              <w:right w:val="nil"/>
            </w:tcBorders>
            <w:vAlign w:val="bottom"/>
          </w:tcPr>
          <w:p w14:paraId="1B03A1F2" w14:textId="77777777" w:rsidR="009A0F75" w:rsidRPr="000E35F1" w:rsidRDefault="009A0F75" w:rsidP="00C217D8">
            <w:pPr>
              <w:widowControl w:val="0"/>
              <w:autoSpaceDE w:val="0"/>
              <w:autoSpaceDN w:val="0"/>
              <w:adjustRightInd w:val="0"/>
              <w:rPr>
                <w:sz w:val="20"/>
                <w:szCs w:val="20"/>
              </w:rPr>
            </w:pPr>
          </w:p>
        </w:tc>
        <w:tc>
          <w:tcPr>
            <w:tcW w:w="5340" w:type="dxa"/>
            <w:tcBorders>
              <w:top w:val="nil"/>
              <w:left w:val="nil"/>
              <w:bottom w:val="nil"/>
              <w:right w:val="nil"/>
            </w:tcBorders>
            <w:vAlign w:val="bottom"/>
          </w:tcPr>
          <w:p w14:paraId="75687A9B" w14:textId="77777777" w:rsidR="009A0F75" w:rsidRPr="000E35F1" w:rsidRDefault="009A0F75" w:rsidP="00C217D8">
            <w:pPr>
              <w:widowControl w:val="0"/>
              <w:autoSpaceDE w:val="0"/>
              <w:autoSpaceDN w:val="0"/>
              <w:adjustRightInd w:val="0"/>
              <w:spacing w:line="237" w:lineRule="exact"/>
              <w:ind w:left="70"/>
              <w:rPr>
                <w:sz w:val="20"/>
                <w:szCs w:val="20"/>
              </w:rPr>
            </w:pPr>
            <w:proofErr w:type="spellStart"/>
            <w:r w:rsidRPr="000E35F1">
              <w:rPr>
                <w:color w:val="505050"/>
                <w:sz w:val="20"/>
                <w:szCs w:val="20"/>
              </w:rPr>
              <w:t>Европска</w:t>
            </w:r>
            <w:proofErr w:type="spellEnd"/>
            <w:r w:rsidRPr="000E35F1">
              <w:rPr>
                <w:color w:val="505050"/>
                <w:sz w:val="20"/>
                <w:szCs w:val="20"/>
              </w:rPr>
              <w:t xml:space="preserve"> </w:t>
            </w:r>
            <w:proofErr w:type="spellStart"/>
            <w:r w:rsidRPr="000E35F1">
              <w:rPr>
                <w:color w:val="505050"/>
                <w:sz w:val="20"/>
                <w:szCs w:val="20"/>
              </w:rPr>
              <w:t>унија</w:t>
            </w:r>
            <w:proofErr w:type="spellEnd"/>
          </w:p>
        </w:tc>
        <w:tc>
          <w:tcPr>
            <w:tcW w:w="909" w:type="dxa"/>
            <w:gridSpan w:val="2"/>
            <w:tcBorders>
              <w:top w:val="nil"/>
              <w:left w:val="nil"/>
              <w:bottom w:val="nil"/>
              <w:right w:val="nil"/>
            </w:tcBorders>
            <w:vAlign w:val="bottom"/>
          </w:tcPr>
          <w:p w14:paraId="44348744" w14:textId="77777777" w:rsidR="009A0F75" w:rsidRPr="000E35F1" w:rsidRDefault="003E33B9" w:rsidP="00C217D8">
            <w:pPr>
              <w:widowControl w:val="0"/>
              <w:autoSpaceDE w:val="0"/>
              <w:autoSpaceDN w:val="0"/>
              <w:adjustRightInd w:val="0"/>
              <w:spacing w:line="237" w:lineRule="exact"/>
              <w:jc w:val="center"/>
              <w:rPr>
                <w:sz w:val="20"/>
                <w:szCs w:val="20"/>
                <w:lang w:val="sr-Latn-BA"/>
              </w:rPr>
            </w:pPr>
            <w:r w:rsidRPr="000E35F1">
              <w:rPr>
                <w:sz w:val="20"/>
                <w:szCs w:val="20"/>
                <w:lang w:val="sr-Latn-BA"/>
              </w:rPr>
              <w:t>2,3</w:t>
            </w:r>
          </w:p>
        </w:tc>
        <w:tc>
          <w:tcPr>
            <w:tcW w:w="1029" w:type="dxa"/>
            <w:tcBorders>
              <w:top w:val="nil"/>
              <w:left w:val="nil"/>
              <w:bottom w:val="nil"/>
              <w:right w:val="nil"/>
            </w:tcBorders>
            <w:vAlign w:val="bottom"/>
          </w:tcPr>
          <w:p w14:paraId="2E361864" w14:textId="77777777" w:rsidR="009A0F75" w:rsidRPr="000E35F1" w:rsidRDefault="003E33B9" w:rsidP="00C217D8">
            <w:pPr>
              <w:widowControl w:val="0"/>
              <w:autoSpaceDE w:val="0"/>
              <w:autoSpaceDN w:val="0"/>
              <w:adjustRightInd w:val="0"/>
              <w:spacing w:line="237" w:lineRule="exact"/>
              <w:jc w:val="center"/>
              <w:rPr>
                <w:sz w:val="20"/>
                <w:szCs w:val="20"/>
                <w:lang w:val="sr-Latn-BA"/>
              </w:rPr>
            </w:pPr>
            <w:r w:rsidRPr="000E35F1">
              <w:rPr>
                <w:sz w:val="20"/>
                <w:szCs w:val="20"/>
                <w:lang w:val="sr-Latn-BA"/>
              </w:rPr>
              <w:t>1,7</w:t>
            </w:r>
          </w:p>
        </w:tc>
        <w:tc>
          <w:tcPr>
            <w:tcW w:w="969" w:type="dxa"/>
            <w:tcBorders>
              <w:top w:val="nil"/>
              <w:left w:val="nil"/>
              <w:bottom w:val="nil"/>
              <w:right w:val="nil"/>
            </w:tcBorders>
            <w:vAlign w:val="bottom"/>
          </w:tcPr>
          <w:p w14:paraId="6C528240" w14:textId="77777777" w:rsidR="009A0F75" w:rsidRPr="000E35F1" w:rsidRDefault="003E33B9" w:rsidP="00C217D8">
            <w:pPr>
              <w:widowControl w:val="0"/>
              <w:autoSpaceDE w:val="0"/>
              <w:autoSpaceDN w:val="0"/>
              <w:adjustRightInd w:val="0"/>
              <w:spacing w:line="237" w:lineRule="exact"/>
              <w:jc w:val="center"/>
              <w:rPr>
                <w:sz w:val="20"/>
                <w:szCs w:val="20"/>
                <w:lang w:val="sr-Latn-BA"/>
              </w:rPr>
            </w:pPr>
            <w:r w:rsidRPr="000E35F1">
              <w:rPr>
                <w:sz w:val="20"/>
                <w:szCs w:val="20"/>
                <w:lang w:val="sr-Latn-BA"/>
              </w:rPr>
              <w:t>-7,1</w:t>
            </w:r>
          </w:p>
        </w:tc>
        <w:tc>
          <w:tcPr>
            <w:tcW w:w="1211" w:type="dxa"/>
            <w:tcBorders>
              <w:top w:val="nil"/>
              <w:left w:val="nil"/>
              <w:bottom w:val="nil"/>
              <w:right w:val="nil"/>
            </w:tcBorders>
            <w:vAlign w:val="bottom"/>
          </w:tcPr>
          <w:p w14:paraId="345BCDDB" w14:textId="77777777" w:rsidR="009A0F75" w:rsidRPr="000E35F1" w:rsidRDefault="003E33B9" w:rsidP="00C217D8">
            <w:pPr>
              <w:widowControl w:val="0"/>
              <w:autoSpaceDE w:val="0"/>
              <w:autoSpaceDN w:val="0"/>
              <w:adjustRightInd w:val="0"/>
              <w:spacing w:line="237" w:lineRule="exact"/>
              <w:jc w:val="center"/>
              <w:rPr>
                <w:sz w:val="20"/>
                <w:szCs w:val="20"/>
                <w:lang w:val="sr-Latn-BA"/>
              </w:rPr>
            </w:pPr>
            <w:r w:rsidRPr="000E35F1">
              <w:rPr>
                <w:sz w:val="20"/>
                <w:szCs w:val="20"/>
                <w:lang w:val="sr-Latn-BA"/>
              </w:rPr>
              <w:t>4,8</w:t>
            </w:r>
          </w:p>
        </w:tc>
      </w:tr>
      <w:tr w:rsidR="009A0F75" w:rsidRPr="000E35F1" w14:paraId="0D73094C" w14:textId="77777777" w:rsidTr="007E0049">
        <w:trPr>
          <w:trHeight w:val="254"/>
        </w:trPr>
        <w:tc>
          <w:tcPr>
            <w:tcW w:w="545" w:type="dxa"/>
            <w:tcBorders>
              <w:top w:val="nil"/>
              <w:left w:val="nil"/>
              <w:right w:val="nil"/>
            </w:tcBorders>
            <w:shd w:val="clear" w:color="auto" w:fill="D3DFEE"/>
            <w:vAlign w:val="bottom"/>
          </w:tcPr>
          <w:p w14:paraId="17E9AA13" w14:textId="77777777" w:rsidR="009A0F75" w:rsidRPr="000E35F1" w:rsidRDefault="009A0F75" w:rsidP="00C217D8">
            <w:pPr>
              <w:widowControl w:val="0"/>
              <w:autoSpaceDE w:val="0"/>
              <w:autoSpaceDN w:val="0"/>
              <w:adjustRightInd w:val="0"/>
              <w:rPr>
                <w:sz w:val="20"/>
                <w:szCs w:val="20"/>
                <w:lang w:val="sr-Cyrl-BA"/>
              </w:rPr>
            </w:pPr>
          </w:p>
        </w:tc>
        <w:tc>
          <w:tcPr>
            <w:tcW w:w="5340" w:type="dxa"/>
            <w:tcBorders>
              <w:top w:val="nil"/>
              <w:left w:val="nil"/>
              <w:right w:val="nil"/>
            </w:tcBorders>
            <w:shd w:val="clear" w:color="auto" w:fill="D3DFEE"/>
            <w:vAlign w:val="bottom"/>
          </w:tcPr>
          <w:p w14:paraId="7A2E5305" w14:textId="77777777" w:rsidR="009A0F75" w:rsidRPr="000E35F1" w:rsidRDefault="00487098" w:rsidP="00487098">
            <w:pPr>
              <w:widowControl w:val="0"/>
              <w:autoSpaceDE w:val="0"/>
              <w:autoSpaceDN w:val="0"/>
              <w:adjustRightInd w:val="0"/>
              <w:spacing w:line="241" w:lineRule="exact"/>
              <w:rPr>
                <w:sz w:val="20"/>
                <w:szCs w:val="20"/>
              </w:rPr>
            </w:pPr>
            <w:r w:rsidRPr="000E35F1">
              <w:rPr>
                <w:color w:val="505050"/>
                <w:sz w:val="20"/>
                <w:szCs w:val="20"/>
                <w:lang w:val="sr-Cyrl-BA"/>
              </w:rPr>
              <w:t xml:space="preserve"> </w:t>
            </w:r>
            <w:proofErr w:type="spellStart"/>
            <w:r w:rsidR="009A0F75" w:rsidRPr="000E35F1">
              <w:rPr>
                <w:color w:val="505050"/>
                <w:sz w:val="20"/>
                <w:szCs w:val="20"/>
              </w:rPr>
              <w:t>Европске</w:t>
            </w:r>
            <w:proofErr w:type="spellEnd"/>
            <w:r w:rsidR="009A0F75" w:rsidRPr="000E35F1">
              <w:rPr>
                <w:color w:val="505050"/>
                <w:sz w:val="20"/>
                <w:szCs w:val="20"/>
              </w:rPr>
              <w:t xml:space="preserve"> </w:t>
            </w:r>
            <w:proofErr w:type="spellStart"/>
            <w:r w:rsidR="009A0F75" w:rsidRPr="000E35F1">
              <w:rPr>
                <w:color w:val="505050"/>
                <w:sz w:val="20"/>
                <w:szCs w:val="20"/>
              </w:rPr>
              <w:t>земље</w:t>
            </w:r>
            <w:proofErr w:type="spellEnd"/>
            <w:r w:rsidR="009A0F75" w:rsidRPr="000E35F1">
              <w:rPr>
                <w:color w:val="505050"/>
                <w:sz w:val="20"/>
                <w:szCs w:val="20"/>
              </w:rPr>
              <w:t xml:space="preserve"> у </w:t>
            </w:r>
            <w:proofErr w:type="spellStart"/>
            <w:r w:rsidR="009A0F75" w:rsidRPr="000E35F1">
              <w:rPr>
                <w:color w:val="505050"/>
                <w:sz w:val="20"/>
                <w:szCs w:val="20"/>
              </w:rPr>
              <w:t>развоју</w:t>
            </w:r>
            <w:proofErr w:type="spellEnd"/>
          </w:p>
        </w:tc>
        <w:tc>
          <w:tcPr>
            <w:tcW w:w="25" w:type="dxa"/>
            <w:tcBorders>
              <w:top w:val="nil"/>
              <w:left w:val="nil"/>
              <w:right w:val="nil"/>
            </w:tcBorders>
            <w:shd w:val="clear" w:color="auto" w:fill="D3DFEE"/>
            <w:vAlign w:val="bottom"/>
          </w:tcPr>
          <w:p w14:paraId="5E33E8E4" w14:textId="77777777" w:rsidR="009A0F75" w:rsidRPr="000E35F1" w:rsidRDefault="009A0F75" w:rsidP="00C217D8">
            <w:pPr>
              <w:widowControl w:val="0"/>
              <w:autoSpaceDE w:val="0"/>
              <w:autoSpaceDN w:val="0"/>
              <w:adjustRightInd w:val="0"/>
              <w:rPr>
                <w:sz w:val="20"/>
                <w:szCs w:val="20"/>
              </w:rPr>
            </w:pPr>
          </w:p>
        </w:tc>
        <w:tc>
          <w:tcPr>
            <w:tcW w:w="884" w:type="dxa"/>
            <w:tcBorders>
              <w:top w:val="nil"/>
              <w:left w:val="nil"/>
              <w:right w:val="nil"/>
            </w:tcBorders>
            <w:shd w:val="clear" w:color="auto" w:fill="D3DFEE"/>
            <w:vAlign w:val="bottom"/>
          </w:tcPr>
          <w:p w14:paraId="087A5942" w14:textId="77777777" w:rsidR="009A0F75" w:rsidRPr="000E35F1" w:rsidRDefault="00DF0CF9"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3,2</w:t>
            </w:r>
          </w:p>
        </w:tc>
        <w:tc>
          <w:tcPr>
            <w:tcW w:w="1029" w:type="dxa"/>
            <w:tcBorders>
              <w:top w:val="nil"/>
              <w:left w:val="nil"/>
              <w:right w:val="nil"/>
            </w:tcBorders>
            <w:shd w:val="clear" w:color="auto" w:fill="D3DFEE"/>
            <w:vAlign w:val="bottom"/>
          </w:tcPr>
          <w:p w14:paraId="58BEF811" w14:textId="77777777" w:rsidR="009A0F75" w:rsidRPr="000E35F1" w:rsidRDefault="00DF0CF9"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2,1</w:t>
            </w:r>
          </w:p>
        </w:tc>
        <w:tc>
          <w:tcPr>
            <w:tcW w:w="969" w:type="dxa"/>
            <w:tcBorders>
              <w:top w:val="nil"/>
              <w:left w:val="nil"/>
              <w:right w:val="nil"/>
            </w:tcBorders>
            <w:shd w:val="clear" w:color="auto" w:fill="D3DFEE"/>
            <w:vAlign w:val="bottom"/>
          </w:tcPr>
          <w:p w14:paraId="313F7BC5" w14:textId="77777777" w:rsidR="009A0F75" w:rsidRPr="000E35F1" w:rsidRDefault="00DF0CF9"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-5,</w:t>
            </w:r>
            <w:r w:rsidR="003E33B9" w:rsidRPr="000E35F1">
              <w:rPr>
                <w:sz w:val="20"/>
                <w:szCs w:val="20"/>
                <w:lang w:val="sr-Latn-BA"/>
              </w:rPr>
              <w:t>2</w:t>
            </w:r>
          </w:p>
        </w:tc>
        <w:tc>
          <w:tcPr>
            <w:tcW w:w="1211" w:type="dxa"/>
            <w:tcBorders>
              <w:top w:val="nil"/>
              <w:left w:val="nil"/>
              <w:right w:val="nil"/>
            </w:tcBorders>
            <w:shd w:val="clear" w:color="auto" w:fill="D3DFEE"/>
            <w:vAlign w:val="bottom"/>
          </w:tcPr>
          <w:p w14:paraId="6B7BF501" w14:textId="77777777" w:rsidR="009A0F75" w:rsidRPr="000E35F1" w:rsidRDefault="00DF0CF9" w:rsidP="00C217D8">
            <w:pPr>
              <w:widowControl w:val="0"/>
              <w:autoSpaceDE w:val="0"/>
              <w:autoSpaceDN w:val="0"/>
              <w:adjustRightInd w:val="0"/>
              <w:spacing w:line="241" w:lineRule="exact"/>
              <w:jc w:val="center"/>
              <w:rPr>
                <w:sz w:val="20"/>
                <w:szCs w:val="20"/>
                <w:lang w:val="sr-Latn-BA"/>
              </w:rPr>
            </w:pPr>
            <w:r w:rsidRPr="000E35F1">
              <w:rPr>
                <w:sz w:val="20"/>
                <w:szCs w:val="20"/>
                <w:lang w:val="sr-Latn-BA"/>
              </w:rPr>
              <w:t>4,</w:t>
            </w:r>
            <w:r w:rsidR="003E33B9" w:rsidRPr="000E35F1">
              <w:rPr>
                <w:sz w:val="20"/>
                <w:szCs w:val="20"/>
                <w:lang w:val="sr-Latn-BA"/>
              </w:rPr>
              <w:t>2</w:t>
            </w:r>
          </w:p>
        </w:tc>
      </w:tr>
      <w:tr w:rsidR="006A7BD4" w:rsidRPr="000E35F1" w14:paraId="35B70538" w14:textId="77777777" w:rsidTr="007E0049">
        <w:trPr>
          <w:trHeight w:val="254"/>
        </w:trPr>
        <w:tc>
          <w:tcPr>
            <w:tcW w:w="545" w:type="dxa"/>
            <w:tcBorders>
              <w:top w:val="nil"/>
              <w:left w:val="nil"/>
              <w:bottom w:val="single" w:sz="4" w:space="0" w:color="auto"/>
              <w:right w:val="nil"/>
            </w:tcBorders>
            <w:shd w:val="clear" w:color="auto" w:fill="auto"/>
            <w:vAlign w:val="bottom"/>
          </w:tcPr>
          <w:p w14:paraId="11386BAC" w14:textId="77777777" w:rsidR="006A7BD4" w:rsidRPr="000E35F1" w:rsidRDefault="006A7BD4" w:rsidP="006A7BD4">
            <w:pPr>
              <w:widowControl w:val="0"/>
              <w:autoSpaceDE w:val="0"/>
              <w:autoSpaceDN w:val="0"/>
              <w:adjustRightInd w:val="0"/>
              <w:rPr>
                <w:b/>
                <w:sz w:val="20"/>
                <w:szCs w:val="20"/>
                <w:lang w:val="sr-Cyrl-BA"/>
              </w:rPr>
            </w:pPr>
          </w:p>
        </w:tc>
        <w:tc>
          <w:tcPr>
            <w:tcW w:w="5340" w:type="dxa"/>
            <w:tcBorders>
              <w:top w:val="nil"/>
              <w:left w:val="nil"/>
              <w:bottom w:val="single" w:sz="4" w:space="0" w:color="auto"/>
              <w:right w:val="nil"/>
            </w:tcBorders>
            <w:shd w:val="clear" w:color="auto" w:fill="auto"/>
            <w:vAlign w:val="bottom"/>
          </w:tcPr>
          <w:p w14:paraId="3C876EC4" w14:textId="77777777" w:rsidR="006A7BD4" w:rsidRPr="000E35F1" w:rsidRDefault="006A7BD4" w:rsidP="006A7BD4">
            <w:pPr>
              <w:widowControl w:val="0"/>
              <w:autoSpaceDE w:val="0"/>
              <w:autoSpaceDN w:val="0"/>
              <w:adjustRightInd w:val="0"/>
              <w:spacing w:line="241" w:lineRule="exact"/>
              <w:rPr>
                <w:b/>
                <w:color w:val="505050"/>
                <w:sz w:val="20"/>
                <w:szCs w:val="20"/>
                <w:lang w:val="sr-Latn-BA"/>
              </w:rPr>
            </w:pPr>
            <w:r w:rsidRPr="000E35F1">
              <w:rPr>
                <w:b/>
                <w:color w:val="505050"/>
                <w:sz w:val="20"/>
                <w:szCs w:val="20"/>
                <w:lang w:val="sr-Cyrl-BA"/>
              </w:rPr>
              <w:t xml:space="preserve"> БиХ</w:t>
            </w:r>
          </w:p>
        </w:tc>
        <w:tc>
          <w:tcPr>
            <w:tcW w:w="25" w:type="dxa"/>
            <w:tcBorders>
              <w:top w:val="nil"/>
              <w:left w:val="nil"/>
              <w:bottom w:val="single" w:sz="4" w:space="0" w:color="auto"/>
              <w:right w:val="nil"/>
            </w:tcBorders>
            <w:shd w:val="clear" w:color="auto" w:fill="auto"/>
            <w:vAlign w:val="bottom"/>
          </w:tcPr>
          <w:p w14:paraId="32B12168" w14:textId="77777777" w:rsidR="006A7BD4" w:rsidRPr="000E35F1" w:rsidRDefault="006A7BD4" w:rsidP="006A7BD4">
            <w:pPr>
              <w:widowControl w:val="0"/>
              <w:autoSpaceDE w:val="0"/>
              <w:autoSpaceDN w:val="0"/>
              <w:adjustRightInd w:val="0"/>
              <w:rPr>
                <w:b/>
                <w:sz w:val="20"/>
                <w:szCs w:val="20"/>
              </w:rPr>
            </w:pPr>
          </w:p>
        </w:tc>
        <w:tc>
          <w:tcPr>
            <w:tcW w:w="884" w:type="dxa"/>
            <w:tcBorders>
              <w:top w:val="nil"/>
              <w:left w:val="nil"/>
              <w:bottom w:val="single" w:sz="4" w:space="0" w:color="auto"/>
              <w:right w:val="nil"/>
            </w:tcBorders>
            <w:shd w:val="clear" w:color="auto" w:fill="auto"/>
            <w:vAlign w:val="bottom"/>
          </w:tcPr>
          <w:p w14:paraId="505B6234" w14:textId="77777777" w:rsidR="006A7BD4" w:rsidRPr="000E35F1" w:rsidRDefault="006A7BD4" w:rsidP="006A7BD4">
            <w:pPr>
              <w:widowControl w:val="0"/>
              <w:autoSpaceDE w:val="0"/>
              <w:autoSpaceDN w:val="0"/>
              <w:adjustRightInd w:val="0"/>
              <w:spacing w:line="241" w:lineRule="exact"/>
              <w:jc w:val="center"/>
              <w:rPr>
                <w:b/>
                <w:sz w:val="20"/>
                <w:szCs w:val="20"/>
                <w:lang w:val="sr-Latn-BA"/>
              </w:rPr>
            </w:pPr>
            <w:r w:rsidRPr="000E35F1">
              <w:rPr>
                <w:b/>
                <w:sz w:val="20"/>
                <w:szCs w:val="20"/>
                <w:lang w:val="sr-Latn-BA"/>
              </w:rPr>
              <w:t>3,6</w:t>
            </w:r>
          </w:p>
        </w:tc>
        <w:tc>
          <w:tcPr>
            <w:tcW w:w="1029" w:type="dxa"/>
            <w:tcBorders>
              <w:top w:val="nil"/>
              <w:left w:val="nil"/>
              <w:bottom w:val="single" w:sz="4" w:space="0" w:color="auto"/>
              <w:right w:val="nil"/>
            </w:tcBorders>
            <w:shd w:val="clear" w:color="auto" w:fill="auto"/>
            <w:vAlign w:val="bottom"/>
          </w:tcPr>
          <w:p w14:paraId="5CD35369" w14:textId="77777777" w:rsidR="006A7BD4" w:rsidRPr="000E35F1" w:rsidRDefault="006A7BD4" w:rsidP="006A7BD4">
            <w:pPr>
              <w:widowControl w:val="0"/>
              <w:autoSpaceDE w:val="0"/>
              <w:autoSpaceDN w:val="0"/>
              <w:adjustRightInd w:val="0"/>
              <w:spacing w:line="241" w:lineRule="exact"/>
              <w:jc w:val="center"/>
              <w:rPr>
                <w:b/>
                <w:sz w:val="20"/>
                <w:szCs w:val="20"/>
                <w:lang w:val="sr-Latn-BA"/>
              </w:rPr>
            </w:pPr>
            <w:r w:rsidRPr="000E35F1">
              <w:rPr>
                <w:b/>
                <w:sz w:val="20"/>
                <w:szCs w:val="20"/>
                <w:lang w:val="sr-Latn-BA"/>
              </w:rPr>
              <w:t>2,7</w:t>
            </w:r>
          </w:p>
        </w:tc>
        <w:tc>
          <w:tcPr>
            <w:tcW w:w="969" w:type="dxa"/>
            <w:tcBorders>
              <w:top w:val="nil"/>
              <w:left w:val="nil"/>
              <w:bottom w:val="single" w:sz="4" w:space="0" w:color="auto"/>
              <w:right w:val="nil"/>
            </w:tcBorders>
            <w:shd w:val="clear" w:color="auto" w:fill="auto"/>
            <w:vAlign w:val="bottom"/>
          </w:tcPr>
          <w:p w14:paraId="3233B9EA" w14:textId="77777777" w:rsidR="006A7BD4" w:rsidRPr="000E35F1" w:rsidRDefault="006A7BD4" w:rsidP="006A7BD4">
            <w:pPr>
              <w:widowControl w:val="0"/>
              <w:autoSpaceDE w:val="0"/>
              <w:autoSpaceDN w:val="0"/>
              <w:adjustRightInd w:val="0"/>
              <w:spacing w:line="241" w:lineRule="exact"/>
              <w:jc w:val="center"/>
              <w:rPr>
                <w:b/>
                <w:sz w:val="20"/>
                <w:szCs w:val="20"/>
                <w:lang w:val="sr-Latn-BA"/>
              </w:rPr>
            </w:pPr>
            <w:r w:rsidRPr="000E35F1">
              <w:rPr>
                <w:b/>
                <w:sz w:val="20"/>
                <w:szCs w:val="20"/>
                <w:lang w:val="sr-Latn-BA"/>
              </w:rPr>
              <w:t>-5,0</w:t>
            </w:r>
          </w:p>
        </w:tc>
        <w:tc>
          <w:tcPr>
            <w:tcW w:w="1211" w:type="dxa"/>
            <w:tcBorders>
              <w:top w:val="nil"/>
              <w:left w:val="nil"/>
              <w:bottom w:val="single" w:sz="4" w:space="0" w:color="auto"/>
              <w:right w:val="nil"/>
            </w:tcBorders>
            <w:shd w:val="clear" w:color="auto" w:fill="auto"/>
            <w:vAlign w:val="bottom"/>
          </w:tcPr>
          <w:p w14:paraId="05700686" w14:textId="77777777" w:rsidR="006A7BD4" w:rsidRPr="000E35F1" w:rsidRDefault="006A7BD4" w:rsidP="006A7BD4">
            <w:pPr>
              <w:widowControl w:val="0"/>
              <w:autoSpaceDE w:val="0"/>
              <w:autoSpaceDN w:val="0"/>
              <w:adjustRightInd w:val="0"/>
              <w:spacing w:line="241" w:lineRule="exact"/>
              <w:jc w:val="center"/>
              <w:rPr>
                <w:b/>
                <w:sz w:val="20"/>
                <w:szCs w:val="20"/>
                <w:lang w:val="sr-Latn-BA"/>
              </w:rPr>
            </w:pPr>
            <w:r w:rsidRPr="000E35F1">
              <w:rPr>
                <w:b/>
                <w:sz w:val="20"/>
                <w:szCs w:val="20"/>
                <w:lang w:val="sr-Latn-BA"/>
              </w:rPr>
              <w:t>3,5</w:t>
            </w:r>
          </w:p>
        </w:tc>
      </w:tr>
    </w:tbl>
    <w:p w14:paraId="494FF435" w14:textId="77777777" w:rsidR="00CC7AEF" w:rsidRPr="00CC7AEF" w:rsidRDefault="00CC7AEF" w:rsidP="00CC7AEF">
      <w:pPr>
        <w:widowControl w:val="0"/>
        <w:autoSpaceDE w:val="0"/>
        <w:autoSpaceDN w:val="0"/>
        <w:adjustRightInd w:val="0"/>
        <w:spacing w:line="237" w:lineRule="exact"/>
        <w:jc w:val="both"/>
        <w:rPr>
          <w:i/>
          <w:sz w:val="20"/>
          <w:szCs w:val="20"/>
        </w:rPr>
      </w:pPr>
      <w:proofErr w:type="spellStart"/>
      <w:r w:rsidRPr="00CC7AEF">
        <w:rPr>
          <w:i/>
          <w:sz w:val="20"/>
          <w:szCs w:val="20"/>
        </w:rPr>
        <w:t>Извор</w:t>
      </w:r>
      <w:proofErr w:type="spellEnd"/>
      <w:r w:rsidRPr="00CC7AEF">
        <w:rPr>
          <w:i/>
          <w:sz w:val="20"/>
          <w:szCs w:val="20"/>
        </w:rPr>
        <w:t xml:space="preserve">: IMF, </w:t>
      </w:r>
      <w:proofErr w:type="spellStart"/>
      <w:r w:rsidRPr="00CC7AEF">
        <w:rPr>
          <w:i/>
          <w:sz w:val="20"/>
          <w:szCs w:val="20"/>
        </w:rPr>
        <w:t>World</w:t>
      </w:r>
      <w:proofErr w:type="spellEnd"/>
      <w:r w:rsidRPr="00CC7AEF">
        <w:rPr>
          <w:i/>
          <w:sz w:val="20"/>
          <w:szCs w:val="20"/>
        </w:rPr>
        <w:t xml:space="preserve"> </w:t>
      </w:r>
      <w:proofErr w:type="spellStart"/>
      <w:r w:rsidRPr="00CC7AEF">
        <w:rPr>
          <w:i/>
          <w:sz w:val="20"/>
          <w:szCs w:val="20"/>
        </w:rPr>
        <w:t>Economic</w:t>
      </w:r>
      <w:proofErr w:type="spellEnd"/>
      <w:r w:rsidRPr="00CC7AEF">
        <w:rPr>
          <w:i/>
          <w:sz w:val="20"/>
          <w:szCs w:val="20"/>
        </w:rPr>
        <w:t xml:space="preserve"> Outlook, </w:t>
      </w:r>
      <w:proofErr w:type="spellStart"/>
      <w:r w:rsidRPr="00CC7AEF">
        <w:rPr>
          <w:i/>
          <w:sz w:val="20"/>
          <w:szCs w:val="20"/>
        </w:rPr>
        <w:t>Update</w:t>
      </w:r>
      <w:proofErr w:type="spellEnd"/>
      <w:r w:rsidRPr="00CC7AEF">
        <w:rPr>
          <w:i/>
          <w:sz w:val="20"/>
          <w:szCs w:val="20"/>
        </w:rPr>
        <w:t xml:space="preserve"> </w:t>
      </w:r>
      <w:r w:rsidRPr="00CC7AEF">
        <w:rPr>
          <w:i/>
          <w:sz w:val="20"/>
          <w:szCs w:val="20"/>
          <w:lang w:val="sr-Latn-BA"/>
        </w:rPr>
        <w:t>April</w:t>
      </w:r>
      <w:r w:rsidRPr="00CC7AEF">
        <w:rPr>
          <w:i/>
          <w:sz w:val="20"/>
          <w:szCs w:val="20"/>
        </w:rPr>
        <w:t xml:space="preserve"> 2020. </w:t>
      </w:r>
    </w:p>
    <w:p w14:paraId="1B587E4E" w14:textId="77777777" w:rsidR="006A1051" w:rsidRDefault="006A1051" w:rsidP="00A826CC">
      <w:pPr>
        <w:spacing w:line="276" w:lineRule="auto"/>
        <w:jc w:val="both"/>
        <w:rPr>
          <w:lang w:val="sr-Cyrl-RS"/>
        </w:rPr>
      </w:pPr>
    </w:p>
    <w:p w14:paraId="2CF24324" w14:textId="77777777" w:rsidR="006A1051" w:rsidRPr="00CC7AEF" w:rsidRDefault="006A1051" w:rsidP="00444E5C">
      <w:pPr>
        <w:spacing w:line="276" w:lineRule="auto"/>
        <w:ind w:firstLine="709"/>
        <w:jc w:val="both"/>
        <w:rPr>
          <w:sz w:val="22"/>
          <w:lang w:val="sr-Cyrl-RS"/>
        </w:rPr>
      </w:pPr>
      <w:r w:rsidRPr="00CC7AEF">
        <w:rPr>
          <w:sz w:val="22"/>
          <w:lang w:val="sr-Cyrl-RS"/>
        </w:rPr>
        <w:t>ММФ наводи да ће бити потребно преду</w:t>
      </w:r>
      <w:r w:rsidR="00BE2EE1" w:rsidRPr="00CC7AEF">
        <w:rPr>
          <w:sz w:val="22"/>
          <w:lang w:val="sr-Cyrl-RS"/>
        </w:rPr>
        <w:t>зимање већег броја активности в</w:t>
      </w:r>
      <w:r w:rsidRPr="00CC7AEF">
        <w:rPr>
          <w:sz w:val="22"/>
          <w:lang w:val="sr-Cyrl-RS"/>
        </w:rPr>
        <w:t>л</w:t>
      </w:r>
      <w:r w:rsidR="00BE2EE1" w:rsidRPr="00CC7AEF">
        <w:rPr>
          <w:sz w:val="22"/>
          <w:lang w:val="sr-Cyrl-RS"/>
        </w:rPr>
        <w:t>а</w:t>
      </w:r>
      <w:r w:rsidRPr="00CC7AEF">
        <w:rPr>
          <w:sz w:val="22"/>
          <w:lang w:val="sr-Cyrl-RS"/>
        </w:rPr>
        <w:t xml:space="preserve">да и централних банака, како би се очувала радна </w:t>
      </w:r>
      <w:proofErr w:type="spellStart"/>
      <w:r w:rsidRPr="00CC7AEF">
        <w:rPr>
          <w:sz w:val="22"/>
          <w:lang w:val="sr-Cyrl-RS"/>
        </w:rPr>
        <w:t>мјеста</w:t>
      </w:r>
      <w:proofErr w:type="spellEnd"/>
      <w:r w:rsidRPr="00CC7AEF">
        <w:rPr>
          <w:sz w:val="22"/>
          <w:lang w:val="sr-Cyrl-RS"/>
        </w:rPr>
        <w:t xml:space="preserve"> и зауставило затварање предузећа, огранич</w:t>
      </w:r>
      <w:r w:rsidR="009B3067" w:rsidRPr="00CC7AEF">
        <w:rPr>
          <w:sz w:val="22"/>
          <w:lang w:val="sr-Cyrl-RS"/>
        </w:rPr>
        <w:t>или негативни економски ефекти и убр</w:t>
      </w:r>
      <w:r w:rsidRPr="00CC7AEF">
        <w:rPr>
          <w:sz w:val="22"/>
          <w:lang w:val="sr-Cyrl-RS"/>
        </w:rPr>
        <w:t xml:space="preserve">зала фаза опоравка. </w:t>
      </w:r>
    </w:p>
    <w:p w14:paraId="65067685" w14:textId="77777777" w:rsidR="008D6ABD" w:rsidRPr="00CC7AEF" w:rsidRDefault="008D6ABD" w:rsidP="00444E5C">
      <w:pPr>
        <w:spacing w:line="276" w:lineRule="auto"/>
        <w:ind w:firstLine="709"/>
        <w:jc w:val="both"/>
        <w:rPr>
          <w:sz w:val="22"/>
          <w:lang w:val="sr-Cyrl-RS"/>
        </w:rPr>
      </w:pPr>
    </w:p>
    <w:p w14:paraId="43FDC03B" w14:textId="77777777" w:rsidR="00444E5C" w:rsidRPr="00CC7AEF" w:rsidRDefault="00B67082" w:rsidP="009B3067">
      <w:pPr>
        <w:spacing w:line="276" w:lineRule="auto"/>
        <w:ind w:firstLine="709"/>
        <w:jc w:val="both"/>
        <w:rPr>
          <w:sz w:val="22"/>
          <w:lang w:val="sr-Cyrl-RS"/>
        </w:rPr>
      </w:pPr>
      <w:r w:rsidRPr="00CC7AEF">
        <w:rPr>
          <w:sz w:val="22"/>
          <w:lang w:val="sr-Cyrl-RS"/>
        </w:rPr>
        <w:t xml:space="preserve">У ДОБ-у су дате и </w:t>
      </w:r>
      <w:proofErr w:type="spellStart"/>
      <w:r w:rsidRPr="00CC7AEF">
        <w:rPr>
          <w:sz w:val="22"/>
          <w:lang w:val="sr-Cyrl-RS"/>
        </w:rPr>
        <w:t>процјене</w:t>
      </w:r>
      <w:proofErr w:type="spellEnd"/>
      <w:r w:rsidRPr="00CC7AEF">
        <w:rPr>
          <w:sz w:val="22"/>
          <w:lang w:val="sr-Cyrl-RS"/>
        </w:rPr>
        <w:t xml:space="preserve"> </w:t>
      </w:r>
      <w:r w:rsidRPr="00CC7AEF">
        <w:rPr>
          <w:b/>
          <w:sz w:val="22"/>
          <w:lang w:val="sr-Cyrl-RS"/>
        </w:rPr>
        <w:t>Европске комисије</w:t>
      </w:r>
      <w:r w:rsidRPr="00CC7AEF">
        <w:rPr>
          <w:sz w:val="22"/>
          <w:lang w:val="sr-Cyrl-RS"/>
        </w:rPr>
        <w:t xml:space="preserve">. Према </w:t>
      </w:r>
      <w:proofErr w:type="spellStart"/>
      <w:r w:rsidRPr="00CC7AEF">
        <w:rPr>
          <w:sz w:val="22"/>
        </w:rPr>
        <w:t>п</w:t>
      </w:r>
      <w:r w:rsidR="00444E5C" w:rsidRPr="00CC7AEF">
        <w:rPr>
          <w:sz w:val="22"/>
        </w:rPr>
        <w:t>рољетним</w:t>
      </w:r>
      <w:proofErr w:type="spellEnd"/>
      <w:r w:rsidR="00444E5C" w:rsidRPr="00CC7AEF">
        <w:rPr>
          <w:sz w:val="22"/>
        </w:rPr>
        <w:t xml:space="preserve"> </w:t>
      </w:r>
      <w:proofErr w:type="spellStart"/>
      <w:r w:rsidR="00444E5C" w:rsidRPr="00CC7AEF">
        <w:rPr>
          <w:sz w:val="22"/>
        </w:rPr>
        <w:t>економским</w:t>
      </w:r>
      <w:proofErr w:type="spellEnd"/>
      <w:r w:rsidR="00444E5C" w:rsidRPr="00CC7AEF">
        <w:rPr>
          <w:sz w:val="22"/>
        </w:rPr>
        <w:t xml:space="preserve"> </w:t>
      </w:r>
      <w:proofErr w:type="spellStart"/>
      <w:r w:rsidR="00444E5C" w:rsidRPr="00CC7AEF">
        <w:rPr>
          <w:sz w:val="22"/>
        </w:rPr>
        <w:t>прогнозама</w:t>
      </w:r>
      <w:proofErr w:type="spellEnd"/>
      <w:r w:rsidR="00444E5C" w:rsidRPr="00CC7AEF">
        <w:rPr>
          <w:sz w:val="22"/>
        </w:rPr>
        <w:t xml:space="preserve"> </w:t>
      </w:r>
      <w:proofErr w:type="spellStart"/>
      <w:r w:rsidR="00444E5C" w:rsidRPr="00A10D76">
        <w:rPr>
          <w:sz w:val="22"/>
        </w:rPr>
        <w:t>Европске</w:t>
      </w:r>
      <w:proofErr w:type="spellEnd"/>
      <w:r w:rsidR="00444E5C" w:rsidRPr="00A10D76">
        <w:rPr>
          <w:sz w:val="22"/>
        </w:rPr>
        <w:t xml:space="preserve"> </w:t>
      </w:r>
      <w:proofErr w:type="spellStart"/>
      <w:r w:rsidR="00444E5C" w:rsidRPr="00A10D76">
        <w:rPr>
          <w:sz w:val="22"/>
        </w:rPr>
        <w:t>комисије</w:t>
      </w:r>
      <w:proofErr w:type="spellEnd"/>
      <w:r w:rsidR="00444E5C" w:rsidRPr="00A10D76">
        <w:rPr>
          <w:sz w:val="22"/>
        </w:rPr>
        <w:t xml:space="preserve"> </w:t>
      </w:r>
      <w:proofErr w:type="spellStart"/>
      <w:r w:rsidR="00444E5C" w:rsidRPr="00A10D76">
        <w:rPr>
          <w:sz w:val="22"/>
        </w:rPr>
        <w:t>из</w:t>
      </w:r>
      <w:proofErr w:type="spellEnd"/>
      <w:r w:rsidR="00444E5C" w:rsidRPr="00A10D76">
        <w:rPr>
          <w:sz w:val="22"/>
        </w:rPr>
        <w:t xml:space="preserve"> </w:t>
      </w:r>
      <w:proofErr w:type="spellStart"/>
      <w:r w:rsidR="00444E5C" w:rsidRPr="00A10D76">
        <w:rPr>
          <w:sz w:val="22"/>
        </w:rPr>
        <w:t>маја</w:t>
      </w:r>
      <w:proofErr w:type="spellEnd"/>
      <w:r w:rsidR="00444E5C" w:rsidRPr="00A10D76">
        <w:rPr>
          <w:sz w:val="22"/>
        </w:rPr>
        <w:t xml:space="preserve"> 2020. </w:t>
      </w:r>
      <w:proofErr w:type="spellStart"/>
      <w:r w:rsidR="00444E5C" w:rsidRPr="00A10D76">
        <w:rPr>
          <w:sz w:val="22"/>
        </w:rPr>
        <w:t>године</w:t>
      </w:r>
      <w:proofErr w:type="spellEnd"/>
      <w:r w:rsidR="00444E5C" w:rsidRPr="00A10D76">
        <w:rPr>
          <w:sz w:val="22"/>
        </w:rPr>
        <w:t xml:space="preserve">, </w:t>
      </w:r>
      <w:r w:rsidR="00444E5C" w:rsidRPr="00A10D76">
        <w:rPr>
          <w:i/>
          <w:sz w:val="22"/>
          <w:lang w:val="en-US"/>
        </w:rPr>
        <w:t>Europe</w:t>
      </w:r>
      <w:r w:rsidR="00A4518F" w:rsidRPr="00A10D76">
        <w:rPr>
          <w:i/>
          <w:sz w:val="22"/>
          <w:lang w:val="en-US"/>
        </w:rPr>
        <w:t>an</w:t>
      </w:r>
      <w:r w:rsidR="00444E5C" w:rsidRPr="00A10D76">
        <w:rPr>
          <w:i/>
          <w:sz w:val="22"/>
          <w:lang w:val="en-US"/>
        </w:rPr>
        <w:t xml:space="preserve"> Economic Forecast, Spring 2020, </w:t>
      </w:r>
      <w:proofErr w:type="spellStart"/>
      <w:r w:rsidR="0001556D" w:rsidRPr="00A10D76">
        <w:rPr>
          <w:sz w:val="22"/>
        </w:rPr>
        <w:t>због</w:t>
      </w:r>
      <w:proofErr w:type="spellEnd"/>
      <w:r w:rsidR="0001556D" w:rsidRPr="00A10D76">
        <w:rPr>
          <w:sz w:val="22"/>
        </w:rPr>
        <w:t xml:space="preserve"> </w:t>
      </w:r>
      <w:proofErr w:type="spellStart"/>
      <w:r w:rsidR="00444E5C" w:rsidRPr="00A10D76">
        <w:rPr>
          <w:sz w:val="22"/>
        </w:rPr>
        <w:t>пандемије</w:t>
      </w:r>
      <w:proofErr w:type="spellEnd"/>
      <w:r w:rsidR="00444E5C" w:rsidRPr="00A10D76">
        <w:rPr>
          <w:sz w:val="22"/>
        </w:rPr>
        <w:t xml:space="preserve"> </w:t>
      </w:r>
      <w:proofErr w:type="spellStart"/>
      <w:r w:rsidR="00444E5C" w:rsidRPr="00A10D76">
        <w:rPr>
          <w:sz w:val="22"/>
        </w:rPr>
        <w:t>корона</w:t>
      </w:r>
      <w:proofErr w:type="spellEnd"/>
      <w:r w:rsidR="00444E5C" w:rsidRPr="00A10D76">
        <w:rPr>
          <w:sz w:val="22"/>
        </w:rPr>
        <w:t xml:space="preserve"> </w:t>
      </w:r>
      <w:proofErr w:type="spellStart"/>
      <w:r w:rsidR="00444E5C" w:rsidRPr="00A10D76">
        <w:rPr>
          <w:sz w:val="22"/>
        </w:rPr>
        <w:t>виру</w:t>
      </w:r>
      <w:r w:rsidR="001934C0" w:rsidRPr="00A10D76">
        <w:rPr>
          <w:sz w:val="22"/>
        </w:rPr>
        <w:t>са</w:t>
      </w:r>
      <w:proofErr w:type="spellEnd"/>
      <w:r w:rsidR="001934C0" w:rsidRPr="00A10D76">
        <w:rPr>
          <w:sz w:val="22"/>
        </w:rPr>
        <w:t xml:space="preserve">, </w:t>
      </w:r>
      <w:r w:rsidR="00A10D76">
        <w:rPr>
          <w:sz w:val="22"/>
          <w:lang w:val="sr-Cyrl-RS"/>
        </w:rPr>
        <w:t>ЕУ</w:t>
      </w:r>
      <w:r w:rsidR="001934C0" w:rsidRPr="00A10D76">
        <w:rPr>
          <w:sz w:val="22"/>
        </w:rPr>
        <w:t xml:space="preserve"> </w:t>
      </w:r>
      <w:proofErr w:type="spellStart"/>
      <w:r w:rsidR="001934C0" w:rsidRPr="00A10D76">
        <w:rPr>
          <w:sz w:val="22"/>
        </w:rPr>
        <w:t>се</w:t>
      </w:r>
      <w:proofErr w:type="spellEnd"/>
      <w:r w:rsidR="001934C0" w:rsidRPr="00A10D76">
        <w:rPr>
          <w:sz w:val="22"/>
        </w:rPr>
        <w:t xml:space="preserve"> </w:t>
      </w:r>
      <w:proofErr w:type="spellStart"/>
      <w:r w:rsidR="001934C0" w:rsidRPr="00A10D76">
        <w:rPr>
          <w:sz w:val="22"/>
        </w:rPr>
        <w:t>суочава</w:t>
      </w:r>
      <w:proofErr w:type="spellEnd"/>
      <w:r w:rsidR="001934C0" w:rsidRPr="00A10D76">
        <w:rPr>
          <w:sz w:val="22"/>
        </w:rPr>
        <w:t xml:space="preserve"> </w:t>
      </w:r>
      <w:r w:rsidR="001934C0" w:rsidRPr="00A10D76">
        <w:rPr>
          <w:sz w:val="22"/>
          <w:lang w:val="sr-Cyrl-RS"/>
        </w:rPr>
        <w:t>са „</w:t>
      </w:r>
      <w:proofErr w:type="spellStart"/>
      <w:r w:rsidR="00231FEF" w:rsidRPr="00A10D76">
        <w:rPr>
          <w:sz w:val="22"/>
        </w:rPr>
        <w:t>рецесијом</w:t>
      </w:r>
      <w:proofErr w:type="spellEnd"/>
      <w:r w:rsidR="00444E5C" w:rsidRPr="00A10D76">
        <w:rPr>
          <w:sz w:val="22"/>
        </w:rPr>
        <w:t xml:space="preserve"> </w:t>
      </w:r>
      <w:proofErr w:type="spellStart"/>
      <w:r w:rsidR="00444E5C" w:rsidRPr="00A10D76">
        <w:rPr>
          <w:sz w:val="22"/>
        </w:rPr>
        <w:t>историјских</w:t>
      </w:r>
      <w:proofErr w:type="spellEnd"/>
      <w:r w:rsidR="00444E5C" w:rsidRPr="00A10D76">
        <w:rPr>
          <w:sz w:val="22"/>
        </w:rPr>
        <w:t xml:space="preserve"> </w:t>
      </w:r>
      <w:proofErr w:type="spellStart"/>
      <w:r w:rsidR="00444E5C" w:rsidRPr="00A10D76">
        <w:rPr>
          <w:sz w:val="22"/>
        </w:rPr>
        <w:t>размјера</w:t>
      </w:r>
      <w:proofErr w:type="spellEnd"/>
      <w:r w:rsidR="001934C0" w:rsidRPr="00A10D76">
        <w:rPr>
          <w:sz w:val="22"/>
          <w:lang w:val="sr-Cyrl-RS"/>
        </w:rPr>
        <w:t>“</w:t>
      </w:r>
      <w:r w:rsidR="00444E5C" w:rsidRPr="00A10D76">
        <w:rPr>
          <w:sz w:val="22"/>
        </w:rPr>
        <w:t xml:space="preserve">, и </w:t>
      </w:r>
      <w:proofErr w:type="spellStart"/>
      <w:r w:rsidR="00444E5C" w:rsidRPr="00A10D76">
        <w:rPr>
          <w:sz w:val="22"/>
        </w:rPr>
        <w:t>поред</w:t>
      </w:r>
      <w:proofErr w:type="spellEnd"/>
      <w:r w:rsidR="00444E5C" w:rsidRPr="00A10D76">
        <w:rPr>
          <w:sz w:val="22"/>
        </w:rPr>
        <w:t xml:space="preserve"> </w:t>
      </w:r>
      <w:r w:rsidR="001934C0" w:rsidRPr="00A10D76">
        <w:rPr>
          <w:sz w:val="22"/>
          <w:lang w:val="sr-Cyrl-RS"/>
        </w:rPr>
        <w:t xml:space="preserve">бројних </w:t>
      </w:r>
      <w:proofErr w:type="spellStart"/>
      <w:r w:rsidR="00444E5C" w:rsidRPr="00A10D76">
        <w:rPr>
          <w:sz w:val="22"/>
        </w:rPr>
        <w:t>мје</w:t>
      </w:r>
      <w:r w:rsidR="001934C0" w:rsidRPr="00A10D76">
        <w:rPr>
          <w:sz w:val="22"/>
        </w:rPr>
        <w:t>ра</w:t>
      </w:r>
      <w:proofErr w:type="spellEnd"/>
      <w:r w:rsidR="001934C0" w:rsidRPr="00CC7AEF">
        <w:rPr>
          <w:sz w:val="22"/>
        </w:rPr>
        <w:t xml:space="preserve"> </w:t>
      </w:r>
      <w:proofErr w:type="spellStart"/>
      <w:r w:rsidR="001934C0" w:rsidRPr="00CC7AEF">
        <w:rPr>
          <w:sz w:val="22"/>
        </w:rPr>
        <w:t>спроведених</w:t>
      </w:r>
      <w:proofErr w:type="spellEnd"/>
      <w:r w:rsidR="001934C0" w:rsidRPr="00CC7AEF">
        <w:rPr>
          <w:sz w:val="22"/>
        </w:rPr>
        <w:t xml:space="preserve"> </w:t>
      </w:r>
      <w:proofErr w:type="spellStart"/>
      <w:r w:rsidR="001934C0" w:rsidRPr="00CC7AEF">
        <w:rPr>
          <w:sz w:val="22"/>
        </w:rPr>
        <w:t>на</w:t>
      </w:r>
      <w:proofErr w:type="spellEnd"/>
      <w:r w:rsidR="001934C0" w:rsidRPr="00CC7AEF">
        <w:rPr>
          <w:sz w:val="22"/>
        </w:rPr>
        <w:t xml:space="preserve"> </w:t>
      </w:r>
      <w:proofErr w:type="spellStart"/>
      <w:r w:rsidR="001934C0" w:rsidRPr="00CC7AEF">
        <w:rPr>
          <w:sz w:val="22"/>
        </w:rPr>
        <w:t>нивоу</w:t>
      </w:r>
      <w:proofErr w:type="spellEnd"/>
      <w:r w:rsidR="001934C0" w:rsidRPr="00CC7AEF">
        <w:rPr>
          <w:sz w:val="22"/>
        </w:rPr>
        <w:t xml:space="preserve">  </w:t>
      </w:r>
      <w:proofErr w:type="spellStart"/>
      <w:r w:rsidR="001934C0" w:rsidRPr="00CC7AEF">
        <w:rPr>
          <w:sz w:val="22"/>
        </w:rPr>
        <w:t>Уније</w:t>
      </w:r>
      <w:proofErr w:type="spellEnd"/>
      <w:r w:rsidR="001934C0" w:rsidRPr="00CC7AEF">
        <w:rPr>
          <w:sz w:val="22"/>
        </w:rPr>
        <w:t xml:space="preserve"> и </w:t>
      </w:r>
      <w:proofErr w:type="spellStart"/>
      <w:r w:rsidR="001934C0" w:rsidRPr="00CC7AEF">
        <w:rPr>
          <w:sz w:val="22"/>
        </w:rPr>
        <w:t>код</w:t>
      </w:r>
      <w:proofErr w:type="spellEnd"/>
      <w:r w:rsidR="001934C0" w:rsidRPr="00CC7AEF">
        <w:rPr>
          <w:sz w:val="22"/>
        </w:rPr>
        <w:t xml:space="preserve"> </w:t>
      </w:r>
      <w:proofErr w:type="spellStart"/>
      <w:r w:rsidR="00444E5C" w:rsidRPr="00CC7AEF">
        <w:rPr>
          <w:sz w:val="22"/>
        </w:rPr>
        <w:t>појединих</w:t>
      </w:r>
      <w:proofErr w:type="spellEnd"/>
      <w:r w:rsidR="00444E5C" w:rsidRPr="00CC7AEF">
        <w:rPr>
          <w:sz w:val="22"/>
        </w:rPr>
        <w:t xml:space="preserve"> </w:t>
      </w:r>
      <w:proofErr w:type="spellStart"/>
      <w:r w:rsidR="00444E5C" w:rsidRPr="00CC7AEF">
        <w:rPr>
          <w:sz w:val="22"/>
        </w:rPr>
        <w:t>земаља</w:t>
      </w:r>
      <w:proofErr w:type="spellEnd"/>
      <w:r w:rsidR="00444E5C" w:rsidRPr="00CC7AEF">
        <w:rPr>
          <w:sz w:val="22"/>
        </w:rPr>
        <w:t xml:space="preserve"> </w:t>
      </w:r>
      <w:proofErr w:type="spellStart"/>
      <w:r w:rsidR="00444E5C" w:rsidRPr="00CC7AEF">
        <w:rPr>
          <w:sz w:val="22"/>
        </w:rPr>
        <w:t>чланица</w:t>
      </w:r>
      <w:proofErr w:type="spellEnd"/>
      <w:r w:rsidR="00444E5C" w:rsidRPr="00CC7AEF">
        <w:rPr>
          <w:sz w:val="22"/>
        </w:rPr>
        <w:t xml:space="preserve">. </w:t>
      </w:r>
      <w:proofErr w:type="spellStart"/>
      <w:r w:rsidR="00444E5C" w:rsidRPr="00CC7AEF">
        <w:rPr>
          <w:sz w:val="22"/>
        </w:rPr>
        <w:t>Наиме</w:t>
      </w:r>
      <w:proofErr w:type="spellEnd"/>
      <w:r w:rsidR="00444E5C" w:rsidRPr="00CC7AEF">
        <w:rPr>
          <w:sz w:val="22"/>
        </w:rPr>
        <w:t xml:space="preserve">, </w:t>
      </w:r>
      <w:proofErr w:type="spellStart"/>
      <w:r w:rsidR="00444E5C" w:rsidRPr="00CC7AEF">
        <w:rPr>
          <w:sz w:val="22"/>
        </w:rPr>
        <w:t>пред</w:t>
      </w:r>
      <w:r w:rsidR="00951B7E" w:rsidRPr="00CC7AEF">
        <w:rPr>
          <w:sz w:val="22"/>
        </w:rPr>
        <w:t>виђа</w:t>
      </w:r>
      <w:proofErr w:type="spellEnd"/>
      <w:r w:rsidR="00951B7E" w:rsidRPr="00CC7AEF">
        <w:rPr>
          <w:sz w:val="22"/>
        </w:rPr>
        <w:t xml:space="preserve"> </w:t>
      </w:r>
      <w:proofErr w:type="spellStart"/>
      <w:r w:rsidR="00951B7E" w:rsidRPr="00CC7AEF">
        <w:rPr>
          <w:sz w:val="22"/>
        </w:rPr>
        <w:t>се</w:t>
      </w:r>
      <w:proofErr w:type="spellEnd"/>
      <w:r w:rsidR="00951B7E" w:rsidRPr="00CC7AEF">
        <w:rPr>
          <w:sz w:val="22"/>
        </w:rPr>
        <w:t xml:space="preserve"> </w:t>
      </w:r>
      <w:proofErr w:type="spellStart"/>
      <w:r w:rsidR="00951B7E" w:rsidRPr="00CC7AEF">
        <w:rPr>
          <w:sz w:val="22"/>
        </w:rPr>
        <w:t>да</w:t>
      </w:r>
      <w:proofErr w:type="spellEnd"/>
      <w:r w:rsidR="00951B7E" w:rsidRPr="00CC7AEF">
        <w:rPr>
          <w:sz w:val="22"/>
        </w:rPr>
        <w:t xml:space="preserve"> </w:t>
      </w:r>
      <w:proofErr w:type="spellStart"/>
      <w:r w:rsidR="00951B7E" w:rsidRPr="00CC7AEF">
        <w:rPr>
          <w:sz w:val="22"/>
        </w:rPr>
        <w:t>ће</w:t>
      </w:r>
      <w:proofErr w:type="spellEnd"/>
      <w:r w:rsidR="00951B7E" w:rsidRPr="00CC7AEF">
        <w:rPr>
          <w:sz w:val="22"/>
        </w:rPr>
        <w:t xml:space="preserve"> </w:t>
      </w:r>
      <w:proofErr w:type="spellStart"/>
      <w:r w:rsidR="00951B7E" w:rsidRPr="00CC7AEF">
        <w:rPr>
          <w:sz w:val="22"/>
        </w:rPr>
        <w:t>реално</w:t>
      </w:r>
      <w:proofErr w:type="spellEnd"/>
      <w:r w:rsidR="00444E5C" w:rsidRPr="00CC7AEF">
        <w:rPr>
          <w:sz w:val="22"/>
        </w:rPr>
        <w:t xml:space="preserve"> БДП-а у </w:t>
      </w:r>
      <w:proofErr w:type="spellStart"/>
      <w:r w:rsidR="00444E5C" w:rsidRPr="00CC7AEF">
        <w:rPr>
          <w:sz w:val="22"/>
        </w:rPr>
        <w:t>Еврозони</w:t>
      </w:r>
      <w:proofErr w:type="spellEnd"/>
      <w:r w:rsidR="00444E5C" w:rsidRPr="00CC7AEF">
        <w:rPr>
          <w:sz w:val="22"/>
        </w:rPr>
        <w:t xml:space="preserve"> у 2020. </w:t>
      </w:r>
      <w:proofErr w:type="spellStart"/>
      <w:r w:rsidR="00444E5C" w:rsidRPr="00CC7AEF">
        <w:rPr>
          <w:sz w:val="22"/>
        </w:rPr>
        <w:t>години</w:t>
      </w:r>
      <w:proofErr w:type="spellEnd"/>
      <w:r w:rsidR="00444E5C" w:rsidRPr="00CC7AEF">
        <w:rPr>
          <w:sz w:val="22"/>
        </w:rPr>
        <w:t xml:space="preserve"> </w:t>
      </w:r>
      <w:proofErr w:type="spellStart"/>
      <w:r w:rsidR="00444E5C" w:rsidRPr="00CC7AEF">
        <w:rPr>
          <w:sz w:val="22"/>
        </w:rPr>
        <w:t>пасти</w:t>
      </w:r>
      <w:proofErr w:type="spellEnd"/>
      <w:r w:rsidR="00444E5C" w:rsidRPr="00CC7AEF">
        <w:rPr>
          <w:sz w:val="22"/>
        </w:rPr>
        <w:t xml:space="preserve"> </w:t>
      </w:r>
      <w:proofErr w:type="spellStart"/>
      <w:r w:rsidR="00951B7E" w:rsidRPr="00CC7AEF">
        <w:rPr>
          <w:sz w:val="22"/>
        </w:rPr>
        <w:t>за</w:t>
      </w:r>
      <w:proofErr w:type="spellEnd"/>
      <w:r w:rsidR="00444E5C" w:rsidRPr="00CC7AEF">
        <w:rPr>
          <w:sz w:val="22"/>
        </w:rPr>
        <w:t xml:space="preserve"> </w:t>
      </w:r>
      <w:proofErr w:type="spellStart"/>
      <w:r w:rsidR="00444E5C" w:rsidRPr="00CC7AEF">
        <w:rPr>
          <w:sz w:val="22"/>
        </w:rPr>
        <w:t>рекордних</w:t>
      </w:r>
      <w:proofErr w:type="spellEnd"/>
      <w:r w:rsidR="00444E5C" w:rsidRPr="00CC7AEF">
        <w:rPr>
          <w:sz w:val="22"/>
        </w:rPr>
        <w:t xml:space="preserve"> 7,7%, </w:t>
      </w:r>
      <w:proofErr w:type="spellStart"/>
      <w:r w:rsidR="00444E5C" w:rsidRPr="00CC7AEF">
        <w:rPr>
          <w:sz w:val="22"/>
        </w:rPr>
        <w:t>да</w:t>
      </w:r>
      <w:proofErr w:type="spellEnd"/>
      <w:r w:rsidR="00444E5C" w:rsidRPr="00CC7AEF">
        <w:rPr>
          <w:sz w:val="22"/>
        </w:rPr>
        <w:t xml:space="preserve"> </w:t>
      </w:r>
      <w:proofErr w:type="spellStart"/>
      <w:r w:rsidR="00444E5C" w:rsidRPr="00CC7AEF">
        <w:rPr>
          <w:sz w:val="22"/>
        </w:rPr>
        <w:t>би</w:t>
      </w:r>
      <w:proofErr w:type="spellEnd"/>
      <w:r w:rsidR="00444E5C" w:rsidRPr="00CC7AEF">
        <w:rPr>
          <w:sz w:val="22"/>
        </w:rPr>
        <w:t xml:space="preserve"> </w:t>
      </w:r>
      <w:r w:rsidR="00951B7E" w:rsidRPr="00CC7AEF">
        <w:rPr>
          <w:sz w:val="22"/>
        </w:rPr>
        <w:t xml:space="preserve">у 2021. </w:t>
      </w:r>
      <w:proofErr w:type="spellStart"/>
      <w:r w:rsidR="00951B7E" w:rsidRPr="00CC7AEF">
        <w:rPr>
          <w:sz w:val="22"/>
        </w:rPr>
        <w:t>години</w:t>
      </w:r>
      <w:proofErr w:type="spellEnd"/>
      <w:r w:rsidR="00951B7E" w:rsidRPr="00CC7AEF">
        <w:rPr>
          <w:sz w:val="22"/>
        </w:rPr>
        <w:t xml:space="preserve"> </w:t>
      </w:r>
      <w:r w:rsidR="00951B7E" w:rsidRPr="00CC7AEF">
        <w:rPr>
          <w:sz w:val="22"/>
          <w:lang w:val="sr-Cyrl-RS"/>
        </w:rPr>
        <w:t>био остварен раст од</w:t>
      </w:r>
      <w:r w:rsidRPr="00CC7AEF">
        <w:rPr>
          <w:sz w:val="22"/>
        </w:rPr>
        <w:t xml:space="preserve"> 6,3%.</w:t>
      </w:r>
      <w:r w:rsidR="0001556D" w:rsidRPr="00CC7AEF">
        <w:rPr>
          <w:sz w:val="22"/>
        </w:rPr>
        <w:t xml:space="preserve"> </w:t>
      </w:r>
      <w:proofErr w:type="spellStart"/>
      <w:r w:rsidR="0001556D" w:rsidRPr="00CC7AEF">
        <w:rPr>
          <w:sz w:val="22"/>
        </w:rPr>
        <w:t>П</w:t>
      </w:r>
      <w:r w:rsidR="00444E5C" w:rsidRPr="00CC7AEF">
        <w:rPr>
          <w:sz w:val="22"/>
        </w:rPr>
        <w:t>остепено</w:t>
      </w:r>
      <w:proofErr w:type="spellEnd"/>
      <w:r w:rsidR="00444E5C" w:rsidRPr="00CC7AEF">
        <w:rPr>
          <w:sz w:val="22"/>
        </w:rPr>
        <w:t xml:space="preserve"> </w:t>
      </w:r>
      <w:proofErr w:type="spellStart"/>
      <w:r w:rsidR="00444E5C" w:rsidRPr="00CC7AEF">
        <w:rPr>
          <w:sz w:val="22"/>
        </w:rPr>
        <w:t>попуштање</w:t>
      </w:r>
      <w:proofErr w:type="spellEnd"/>
      <w:r w:rsidR="00444E5C" w:rsidRPr="00CC7AEF">
        <w:rPr>
          <w:sz w:val="22"/>
        </w:rPr>
        <w:t xml:space="preserve"> </w:t>
      </w:r>
      <w:proofErr w:type="spellStart"/>
      <w:r w:rsidR="00444E5C" w:rsidRPr="00CC7AEF">
        <w:rPr>
          <w:sz w:val="22"/>
        </w:rPr>
        <w:t>мјера</w:t>
      </w:r>
      <w:proofErr w:type="spellEnd"/>
      <w:r w:rsidR="00444E5C" w:rsidRPr="00CC7AEF">
        <w:rPr>
          <w:sz w:val="22"/>
        </w:rPr>
        <w:t xml:space="preserve"> </w:t>
      </w:r>
      <w:proofErr w:type="spellStart"/>
      <w:r w:rsidR="00444E5C" w:rsidRPr="00CC7AEF">
        <w:rPr>
          <w:sz w:val="22"/>
        </w:rPr>
        <w:t>ограничавања</w:t>
      </w:r>
      <w:proofErr w:type="spellEnd"/>
      <w:r w:rsidR="00A10D76">
        <w:rPr>
          <w:sz w:val="22"/>
          <w:lang w:val="sr-Cyrl-RS"/>
        </w:rPr>
        <w:t>,</w:t>
      </w:r>
      <w:r w:rsidR="00444E5C" w:rsidRPr="00CC7AEF">
        <w:rPr>
          <w:sz w:val="22"/>
        </w:rPr>
        <w:t xml:space="preserve"> </w:t>
      </w:r>
      <w:proofErr w:type="spellStart"/>
      <w:r w:rsidR="00444E5C" w:rsidRPr="00CC7AEF">
        <w:rPr>
          <w:sz w:val="22"/>
        </w:rPr>
        <w:t>требало</w:t>
      </w:r>
      <w:proofErr w:type="spellEnd"/>
      <w:r w:rsidR="00444E5C" w:rsidRPr="00CC7AEF">
        <w:rPr>
          <w:sz w:val="22"/>
        </w:rPr>
        <w:t xml:space="preserve"> </w:t>
      </w:r>
      <w:proofErr w:type="spellStart"/>
      <w:r w:rsidR="00444E5C" w:rsidRPr="00CC7AEF">
        <w:rPr>
          <w:sz w:val="22"/>
        </w:rPr>
        <w:t>би</w:t>
      </w:r>
      <w:proofErr w:type="spellEnd"/>
      <w:r w:rsidR="00444E5C" w:rsidRPr="00CC7AEF">
        <w:rPr>
          <w:sz w:val="22"/>
        </w:rPr>
        <w:t xml:space="preserve"> </w:t>
      </w:r>
      <w:proofErr w:type="spellStart"/>
      <w:r w:rsidR="0001556D" w:rsidRPr="00CC7AEF">
        <w:rPr>
          <w:sz w:val="22"/>
          <w:lang w:val="sr-Cyrl-RS"/>
        </w:rPr>
        <w:t>об</w:t>
      </w:r>
      <w:r w:rsidR="009F31F7">
        <w:rPr>
          <w:sz w:val="22"/>
          <w:lang w:val="sr-Cyrl-RS"/>
        </w:rPr>
        <w:t>езбиједити</w:t>
      </w:r>
      <w:proofErr w:type="spellEnd"/>
      <w:r w:rsidR="009F31F7">
        <w:rPr>
          <w:sz w:val="22"/>
          <w:lang w:val="sr-Cyrl-RS"/>
        </w:rPr>
        <w:t xml:space="preserve"> услове за</w:t>
      </w:r>
      <w:r w:rsidR="00444E5C" w:rsidRPr="00CC7AEF">
        <w:rPr>
          <w:sz w:val="22"/>
        </w:rPr>
        <w:t xml:space="preserve"> </w:t>
      </w:r>
      <w:proofErr w:type="spellStart"/>
      <w:r w:rsidR="00444E5C" w:rsidRPr="00CC7AEF">
        <w:rPr>
          <w:sz w:val="22"/>
        </w:rPr>
        <w:t>опоравак</w:t>
      </w:r>
      <w:proofErr w:type="spellEnd"/>
      <w:r w:rsidR="00444E5C" w:rsidRPr="00CC7AEF">
        <w:rPr>
          <w:sz w:val="22"/>
        </w:rPr>
        <w:t xml:space="preserve">, </w:t>
      </w:r>
      <w:proofErr w:type="spellStart"/>
      <w:r w:rsidR="00444E5C" w:rsidRPr="00CC7AEF">
        <w:rPr>
          <w:sz w:val="22"/>
        </w:rPr>
        <w:t>мада</w:t>
      </w:r>
      <w:proofErr w:type="spellEnd"/>
      <w:r w:rsidR="00444E5C" w:rsidRPr="00CC7AEF">
        <w:rPr>
          <w:sz w:val="22"/>
        </w:rPr>
        <w:t xml:space="preserve"> </w:t>
      </w:r>
      <w:proofErr w:type="spellStart"/>
      <w:r w:rsidR="00444E5C" w:rsidRPr="00CC7AEF">
        <w:rPr>
          <w:sz w:val="22"/>
        </w:rPr>
        <w:t>се</w:t>
      </w:r>
      <w:proofErr w:type="spellEnd"/>
      <w:r w:rsidR="00444E5C" w:rsidRPr="00CC7AEF">
        <w:rPr>
          <w:sz w:val="22"/>
        </w:rPr>
        <w:t xml:space="preserve"> </w:t>
      </w:r>
      <w:proofErr w:type="spellStart"/>
      <w:r w:rsidR="00444E5C" w:rsidRPr="00CC7AEF">
        <w:rPr>
          <w:sz w:val="22"/>
        </w:rPr>
        <w:t>не</w:t>
      </w:r>
      <w:proofErr w:type="spellEnd"/>
      <w:r w:rsidR="00444E5C" w:rsidRPr="00CC7AEF">
        <w:rPr>
          <w:sz w:val="22"/>
        </w:rPr>
        <w:t xml:space="preserve"> </w:t>
      </w:r>
      <w:proofErr w:type="spellStart"/>
      <w:r w:rsidR="00444E5C" w:rsidRPr="00CC7AEF">
        <w:rPr>
          <w:sz w:val="22"/>
        </w:rPr>
        <w:t>очекује</w:t>
      </w:r>
      <w:proofErr w:type="spellEnd"/>
      <w:r w:rsidR="00444E5C" w:rsidRPr="00CC7AEF">
        <w:rPr>
          <w:sz w:val="22"/>
        </w:rPr>
        <w:t xml:space="preserve"> </w:t>
      </w:r>
      <w:proofErr w:type="spellStart"/>
      <w:r w:rsidR="00444E5C" w:rsidRPr="00CC7AEF">
        <w:rPr>
          <w:sz w:val="22"/>
        </w:rPr>
        <w:t>да</w:t>
      </w:r>
      <w:proofErr w:type="spellEnd"/>
      <w:r w:rsidR="00444E5C" w:rsidRPr="00CC7AEF">
        <w:rPr>
          <w:sz w:val="22"/>
        </w:rPr>
        <w:t xml:space="preserve"> </w:t>
      </w:r>
      <w:proofErr w:type="spellStart"/>
      <w:r w:rsidR="00444E5C" w:rsidRPr="00CC7AEF">
        <w:rPr>
          <w:sz w:val="22"/>
        </w:rPr>
        <w:t>ће</w:t>
      </w:r>
      <w:proofErr w:type="spellEnd"/>
      <w:r w:rsidR="00444E5C" w:rsidRPr="00CC7AEF">
        <w:rPr>
          <w:sz w:val="22"/>
        </w:rPr>
        <w:t xml:space="preserve"> </w:t>
      </w:r>
      <w:proofErr w:type="spellStart"/>
      <w:r w:rsidR="00444E5C" w:rsidRPr="00CC7AEF">
        <w:rPr>
          <w:sz w:val="22"/>
        </w:rPr>
        <w:t>економија</w:t>
      </w:r>
      <w:proofErr w:type="spellEnd"/>
      <w:r w:rsidR="00444E5C" w:rsidRPr="00CC7AEF">
        <w:rPr>
          <w:sz w:val="22"/>
        </w:rPr>
        <w:t xml:space="preserve"> </w:t>
      </w:r>
      <w:r w:rsidR="00A10D76">
        <w:rPr>
          <w:sz w:val="22"/>
          <w:lang w:val="sr-Cyrl-RS"/>
        </w:rPr>
        <w:t>ЕУ</w:t>
      </w:r>
      <w:r w:rsidR="00444E5C" w:rsidRPr="00CC7AEF">
        <w:rPr>
          <w:b/>
          <w:sz w:val="22"/>
        </w:rPr>
        <w:t xml:space="preserve"> </w:t>
      </w:r>
      <w:proofErr w:type="spellStart"/>
      <w:r w:rsidR="00444E5C" w:rsidRPr="00CC7AEF">
        <w:rPr>
          <w:sz w:val="22"/>
        </w:rPr>
        <w:t>до</w:t>
      </w:r>
      <w:proofErr w:type="spellEnd"/>
      <w:r w:rsidR="00444E5C" w:rsidRPr="00CC7AEF">
        <w:rPr>
          <w:sz w:val="22"/>
        </w:rPr>
        <w:t xml:space="preserve"> </w:t>
      </w:r>
      <w:proofErr w:type="spellStart"/>
      <w:r w:rsidR="00444E5C" w:rsidRPr="00CC7AEF">
        <w:rPr>
          <w:sz w:val="22"/>
        </w:rPr>
        <w:t>краја</w:t>
      </w:r>
      <w:proofErr w:type="spellEnd"/>
      <w:r w:rsidR="00444E5C" w:rsidRPr="00CC7AEF">
        <w:rPr>
          <w:sz w:val="22"/>
        </w:rPr>
        <w:t xml:space="preserve"> 2021. </w:t>
      </w:r>
      <w:proofErr w:type="spellStart"/>
      <w:r w:rsidR="00444E5C" w:rsidRPr="00CC7AEF">
        <w:rPr>
          <w:sz w:val="22"/>
        </w:rPr>
        <w:t>године</w:t>
      </w:r>
      <w:proofErr w:type="spellEnd"/>
      <w:r w:rsidR="00444E5C" w:rsidRPr="00CC7AEF">
        <w:rPr>
          <w:sz w:val="22"/>
        </w:rPr>
        <w:t xml:space="preserve"> у </w:t>
      </w:r>
      <w:proofErr w:type="spellStart"/>
      <w:r w:rsidR="00444E5C" w:rsidRPr="00CC7AEF">
        <w:rPr>
          <w:sz w:val="22"/>
        </w:rPr>
        <w:t>потпуности</w:t>
      </w:r>
      <w:proofErr w:type="spellEnd"/>
      <w:r w:rsidR="009B3067" w:rsidRPr="00CC7AEF">
        <w:rPr>
          <w:sz w:val="22"/>
        </w:rPr>
        <w:t xml:space="preserve"> </w:t>
      </w:r>
      <w:proofErr w:type="spellStart"/>
      <w:r w:rsidR="009B3067" w:rsidRPr="00CC7AEF">
        <w:rPr>
          <w:sz w:val="22"/>
        </w:rPr>
        <w:t>надокнадити</w:t>
      </w:r>
      <w:proofErr w:type="spellEnd"/>
      <w:r w:rsidR="009B3067" w:rsidRPr="00CC7AEF">
        <w:rPr>
          <w:sz w:val="22"/>
        </w:rPr>
        <w:t xml:space="preserve"> </w:t>
      </w:r>
      <w:proofErr w:type="spellStart"/>
      <w:r w:rsidR="009B3067" w:rsidRPr="00CC7AEF">
        <w:rPr>
          <w:sz w:val="22"/>
        </w:rPr>
        <w:t>овогодишње</w:t>
      </w:r>
      <w:proofErr w:type="spellEnd"/>
      <w:r w:rsidR="009B3067" w:rsidRPr="00CC7AEF">
        <w:rPr>
          <w:sz w:val="22"/>
        </w:rPr>
        <w:t xml:space="preserve"> </w:t>
      </w:r>
      <w:proofErr w:type="spellStart"/>
      <w:r w:rsidR="009B3067" w:rsidRPr="00CC7AEF">
        <w:rPr>
          <w:sz w:val="22"/>
        </w:rPr>
        <w:t>губитке</w:t>
      </w:r>
      <w:proofErr w:type="spellEnd"/>
      <w:r w:rsidR="00951B7E" w:rsidRPr="00CC7AEF">
        <w:rPr>
          <w:sz w:val="22"/>
        </w:rPr>
        <w:t>.</w:t>
      </w:r>
      <w:r w:rsidR="00C43C49" w:rsidRPr="00CC7AEF">
        <w:rPr>
          <w:sz w:val="22"/>
          <w:lang w:val="sr-Cyrl-RS"/>
        </w:rPr>
        <w:t xml:space="preserve"> </w:t>
      </w:r>
    </w:p>
    <w:p w14:paraId="78C47132" w14:textId="77777777" w:rsidR="009B3067" w:rsidRPr="00CC7AEF" w:rsidRDefault="009B3067" w:rsidP="009B3067">
      <w:pPr>
        <w:spacing w:line="276" w:lineRule="auto"/>
        <w:ind w:firstLine="709"/>
        <w:jc w:val="both"/>
        <w:rPr>
          <w:sz w:val="22"/>
        </w:rPr>
      </w:pPr>
    </w:p>
    <w:p w14:paraId="23377C3C" w14:textId="77777777" w:rsidR="008A135B" w:rsidRPr="00CC7AEF" w:rsidRDefault="008A135B" w:rsidP="00157B36">
      <w:pPr>
        <w:spacing w:line="276" w:lineRule="auto"/>
        <w:ind w:firstLine="709"/>
        <w:jc w:val="both"/>
        <w:rPr>
          <w:sz w:val="22"/>
          <w:shd w:val="clear" w:color="auto" w:fill="FFFFFF"/>
        </w:rPr>
      </w:pPr>
      <w:proofErr w:type="spellStart"/>
      <w:r w:rsidRPr="00CC7AEF">
        <w:rPr>
          <w:sz w:val="22"/>
          <w:shd w:val="clear" w:color="auto" w:fill="FFFFFF"/>
        </w:rPr>
        <w:t>Према</w:t>
      </w:r>
      <w:proofErr w:type="spellEnd"/>
      <w:r w:rsidRPr="00CC7AEF">
        <w:rPr>
          <w:sz w:val="22"/>
          <w:shd w:val="clear" w:color="auto" w:fill="FFFFFF"/>
        </w:rPr>
        <w:t xml:space="preserve"> </w:t>
      </w:r>
      <w:proofErr w:type="spellStart"/>
      <w:r w:rsidRPr="00CC7AEF">
        <w:rPr>
          <w:sz w:val="22"/>
          <w:shd w:val="clear" w:color="auto" w:fill="FFFFFF"/>
        </w:rPr>
        <w:t>прогнозама</w:t>
      </w:r>
      <w:proofErr w:type="spellEnd"/>
      <w:r w:rsidRPr="00CC7AEF">
        <w:rPr>
          <w:sz w:val="22"/>
          <w:shd w:val="clear" w:color="auto" w:fill="FFFFFF"/>
        </w:rPr>
        <w:t xml:space="preserve"> </w:t>
      </w:r>
      <w:proofErr w:type="spellStart"/>
      <w:r w:rsidRPr="00CC7AEF">
        <w:rPr>
          <w:b/>
          <w:sz w:val="22"/>
          <w:shd w:val="clear" w:color="auto" w:fill="FFFFFF"/>
        </w:rPr>
        <w:t>Свјетске</w:t>
      </w:r>
      <w:proofErr w:type="spellEnd"/>
      <w:r w:rsidRPr="00CC7AEF">
        <w:rPr>
          <w:b/>
          <w:sz w:val="22"/>
          <w:shd w:val="clear" w:color="auto" w:fill="FFFFFF"/>
        </w:rPr>
        <w:t xml:space="preserve"> </w:t>
      </w:r>
      <w:proofErr w:type="spellStart"/>
      <w:r w:rsidRPr="00CC7AEF">
        <w:rPr>
          <w:b/>
          <w:sz w:val="22"/>
          <w:shd w:val="clear" w:color="auto" w:fill="FFFFFF"/>
        </w:rPr>
        <w:t>банке</w:t>
      </w:r>
      <w:proofErr w:type="spellEnd"/>
      <w:r w:rsidR="00E216EF">
        <w:rPr>
          <w:b/>
          <w:sz w:val="22"/>
          <w:shd w:val="clear" w:color="auto" w:fill="FFFFFF"/>
          <w:lang w:val="sr-Cyrl-RS"/>
        </w:rPr>
        <w:t xml:space="preserve"> (СБ)</w:t>
      </w:r>
      <w:r w:rsidR="00157B36" w:rsidRPr="00CC7AEF">
        <w:rPr>
          <w:sz w:val="22"/>
          <w:shd w:val="clear" w:color="auto" w:fill="FFFFFF"/>
          <w:lang w:val="sr-Cyrl-RS"/>
        </w:rPr>
        <w:t xml:space="preserve">, </w:t>
      </w:r>
      <w:proofErr w:type="spellStart"/>
      <w:r w:rsidRPr="00CC7AEF">
        <w:rPr>
          <w:sz w:val="22"/>
          <w:shd w:val="clear" w:color="auto" w:fill="FFFFFF"/>
        </w:rPr>
        <w:t>ове</w:t>
      </w:r>
      <w:proofErr w:type="spellEnd"/>
      <w:r w:rsidRPr="00CC7AEF">
        <w:rPr>
          <w:sz w:val="22"/>
          <w:shd w:val="clear" w:color="auto" w:fill="FFFFFF"/>
        </w:rPr>
        <w:t xml:space="preserve"> </w:t>
      </w:r>
      <w:proofErr w:type="spellStart"/>
      <w:r w:rsidRPr="00CC7AEF">
        <w:rPr>
          <w:sz w:val="22"/>
          <w:shd w:val="clear" w:color="auto" w:fill="FFFFFF"/>
        </w:rPr>
        <w:t>године</w:t>
      </w:r>
      <w:proofErr w:type="spellEnd"/>
      <w:r w:rsidRPr="00CC7AEF">
        <w:rPr>
          <w:sz w:val="22"/>
          <w:shd w:val="clear" w:color="auto" w:fill="FFFFFF"/>
        </w:rPr>
        <w:t xml:space="preserve"> </w:t>
      </w:r>
      <w:proofErr w:type="spellStart"/>
      <w:r w:rsidRPr="00CC7AEF">
        <w:rPr>
          <w:sz w:val="22"/>
          <w:shd w:val="clear" w:color="auto" w:fill="FFFFFF"/>
        </w:rPr>
        <w:t>ће</w:t>
      </w:r>
      <w:proofErr w:type="spellEnd"/>
      <w:r w:rsidRPr="00CC7AEF">
        <w:rPr>
          <w:sz w:val="22"/>
          <w:shd w:val="clear" w:color="auto" w:fill="FFFFFF"/>
        </w:rPr>
        <w:t xml:space="preserve"> </w:t>
      </w:r>
      <w:proofErr w:type="spellStart"/>
      <w:r w:rsidRPr="00CC7AEF">
        <w:rPr>
          <w:sz w:val="22"/>
          <w:shd w:val="clear" w:color="auto" w:fill="FFFFFF"/>
        </w:rPr>
        <w:t>до</w:t>
      </w:r>
      <w:r w:rsidR="00881997" w:rsidRPr="00CC7AEF">
        <w:rPr>
          <w:sz w:val="22"/>
          <w:shd w:val="clear" w:color="auto" w:fill="FFFFFF"/>
        </w:rPr>
        <w:t>ћи</w:t>
      </w:r>
      <w:proofErr w:type="spellEnd"/>
      <w:r w:rsidR="00881997" w:rsidRPr="00CC7AEF">
        <w:rPr>
          <w:sz w:val="22"/>
          <w:shd w:val="clear" w:color="auto" w:fill="FFFFFF"/>
        </w:rPr>
        <w:t xml:space="preserve"> </w:t>
      </w:r>
      <w:proofErr w:type="spellStart"/>
      <w:r w:rsidR="00881997" w:rsidRPr="00CC7AEF">
        <w:rPr>
          <w:sz w:val="22"/>
          <w:shd w:val="clear" w:color="auto" w:fill="FFFFFF"/>
        </w:rPr>
        <w:t>до</w:t>
      </w:r>
      <w:proofErr w:type="spellEnd"/>
      <w:r w:rsidR="00881997" w:rsidRPr="00CC7AEF">
        <w:rPr>
          <w:sz w:val="22"/>
          <w:shd w:val="clear" w:color="auto" w:fill="FFFFFF"/>
        </w:rPr>
        <w:t xml:space="preserve"> </w:t>
      </w:r>
      <w:proofErr w:type="spellStart"/>
      <w:r w:rsidR="00951B7E" w:rsidRPr="00CC7AEF">
        <w:rPr>
          <w:sz w:val="22"/>
          <w:shd w:val="clear" w:color="auto" w:fill="FFFFFF"/>
        </w:rPr>
        <w:t>глобалног</w:t>
      </w:r>
      <w:proofErr w:type="spellEnd"/>
      <w:r w:rsidR="00951B7E" w:rsidRPr="00CC7AEF">
        <w:rPr>
          <w:sz w:val="22"/>
          <w:shd w:val="clear" w:color="auto" w:fill="FFFFFF"/>
        </w:rPr>
        <w:t xml:space="preserve"> </w:t>
      </w:r>
      <w:r w:rsidR="00951B7E" w:rsidRPr="00CC7AEF">
        <w:rPr>
          <w:sz w:val="22"/>
          <w:shd w:val="clear" w:color="auto" w:fill="FFFFFF"/>
          <w:lang w:val="sr-Cyrl-RS"/>
        </w:rPr>
        <w:t xml:space="preserve">економског </w:t>
      </w:r>
      <w:proofErr w:type="spellStart"/>
      <w:r w:rsidR="00951B7E" w:rsidRPr="00CC7AEF">
        <w:rPr>
          <w:sz w:val="22"/>
          <w:shd w:val="clear" w:color="auto" w:fill="FFFFFF"/>
        </w:rPr>
        <w:t>пада</w:t>
      </w:r>
      <w:proofErr w:type="spellEnd"/>
      <w:r w:rsidR="00881997" w:rsidRPr="00CC7AEF">
        <w:rPr>
          <w:sz w:val="22"/>
          <w:shd w:val="clear" w:color="auto" w:fill="FFFFFF"/>
        </w:rPr>
        <w:t xml:space="preserve"> </w:t>
      </w:r>
      <w:proofErr w:type="spellStart"/>
      <w:r w:rsidR="00881997" w:rsidRPr="00CC7AEF">
        <w:rPr>
          <w:sz w:val="22"/>
          <w:shd w:val="clear" w:color="auto" w:fill="FFFFFF"/>
        </w:rPr>
        <w:t>за</w:t>
      </w:r>
      <w:proofErr w:type="spellEnd"/>
      <w:r w:rsidR="00881997" w:rsidRPr="00CC7AEF">
        <w:rPr>
          <w:sz w:val="22"/>
          <w:shd w:val="clear" w:color="auto" w:fill="FFFFFF"/>
        </w:rPr>
        <w:t xml:space="preserve"> 5</w:t>
      </w:r>
      <w:r w:rsidRPr="00CC7AEF">
        <w:rPr>
          <w:sz w:val="22"/>
          <w:shd w:val="clear" w:color="auto" w:fill="FFFFFF"/>
        </w:rPr>
        <w:t xml:space="preserve">%. </w:t>
      </w:r>
      <w:proofErr w:type="spellStart"/>
      <w:r w:rsidRPr="00CC7AEF">
        <w:rPr>
          <w:sz w:val="22"/>
          <w:shd w:val="clear" w:color="auto" w:fill="FFFFFF"/>
        </w:rPr>
        <w:t>Слиједи</w:t>
      </w:r>
      <w:proofErr w:type="spellEnd"/>
      <w:r w:rsidR="00157B36" w:rsidRPr="00CC7AEF">
        <w:rPr>
          <w:sz w:val="22"/>
          <w:shd w:val="clear" w:color="auto" w:fill="FFFFFF"/>
        </w:rPr>
        <w:t xml:space="preserve"> </w:t>
      </w:r>
      <w:proofErr w:type="spellStart"/>
      <w:r w:rsidR="00157B36" w:rsidRPr="00CC7AEF">
        <w:rPr>
          <w:sz w:val="22"/>
          <w:shd w:val="clear" w:color="auto" w:fill="FFFFFF"/>
        </w:rPr>
        <w:t>најдубљ</w:t>
      </w:r>
      <w:r w:rsidR="004B73D9" w:rsidRPr="00CC7AEF">
        <w:rPr>
          <w:sz w:val="22"/>
          <w:shd w:val="clear" w:color="auto" w:fill="FFFFFF"/>
        </w:rPr>
        <w:t>а</w:t>
      </w:r>
      <w:proofErr w:type="spellEnd"/>
      <w:r w:rsidR="004B73D9" w:rsidRPr="00CC7AEF">
        <w:rPr>
          <w:sz w:val="22"/>
          <w:shd w:val="clear" w:color="auto" w:fill="FFFFFF"/>
        </w:rPr>
        <w:t xml:space="preserve"> </w:t>
      </w:r>
      <w:proofErr w:type="spellStart"/>
      <w:r w:rsidR="004B73D9" w:rsidRPr="00CC7AEF">
        <w:rPr>
          <w:sz w:val="22"/>
          <w:shd w:val="clear" w:color="auto" w:fill="FFFFFF"/>
        </w:rPr>
        <w:t>рецесија</w:t>
      </w:r>
      <w:proofErr w:type="spellEnd"/>
      <w:r w:rsidR="004B73D9" w:rsidRPr="00CC7AEF">
        <w:rPr>
          <w:sz w:val="22"/>
          <w:shd w:val="clear" w:color="auto" w:fill="FFFFFF"/>
        </w:rPr>
        <w:t xml:space="preserve"> </w:t>
      </w:r>
      <w:proofErr w:type="spellStart"/>
      <w:r w:rsidR="004B73D9" w:rsidRPr="00CC7AEF">
        <w:rPr>
          <w:sz w:val="22"/>
          <w:shd w:val="clear" w:color="auto" w:fill="FFFFFF"/>
        </w:rPr>
        <w:t>од</w:t>
      </w:r>
      <w:proofErr w:type="spellEnd"/>
      <w:r w:rsidR="004B73D9" w:rsidRPr="00CC7AEF">
        <w:rPr>
          <w:sz w:val="22"/>
          <w:shd w:val="clear" w:color="auto" w:fill="FFFFFF"/>
        </w:rPr>
        <w:t xml:space="preserve"> II</w:t>
      </w:r>
      <w:r w:rsidR="00157B36" w:rsidRPr="00CC7AEF">
        <w:rPr>
          <w:sz w:val="22"/>
          <w:shd w:val="clear" w:color="auto" w:fill="FFFFFF"/>
        </w:rPr>
        <w:t xml:space="preserve"> </w:t>
      </w:r>
      <w:proofErr w:type="spellStart"/>
      <w:r w:rsidR="00157B36" w:rsidRPr="00CC7AEF">
        <w:rPr>
          <w:sz w:val="22"/>
          <w:shd w:val="clear" w:color="auto" w:fill="FFFFFF"/>
        </w:rPr>
        <w:t>свје</w:t>
      </w:r>
      <w:r w:rsidR="00951B7E" w:rsidRPr="00CC7AEF">
        <w:rPr>
          <w:sz w:val="22"/>
          <w:shd w:val="clear" w:color="auto" w:fill="FFFFFF"/>
        </w:rPr>
        <w:t>тског</w:t>
      </w:r>
      <w:proofErr w:type="spellEnd"/>
      <w:r w:rsidR="00951B7E" w:rsidRPr="00CC7AEF">
        <w:rPr>
          <w:sz w:val="22"/>
          <w:shd w:val="clear" w:color="auto" w:fill="FFFFFF"/>
        </w:rPr>
        <w:t xml:space="preserve"> </w:t>
      </w:r>
      <w:proofErr w:type="spellStart"/>
      <w:r w:rsidR="00951B7E" w:rsidRPr="00CC7AEF">
        <w:rPr>
          <w:sz w:val="22"/>
          <w:shd w:val="clear" w:color="auto" w:fill="FFFFFF"/>
        </w:rPr>
        <w:t>рата</w:t>
      </w:r>
      <w:proofErr w:type="spellEnd"/>
      <w:r w:rsidR="00951B7E" w:rsidRPr="00CC7AEF">
        <w:rPr>
          <w:sz w:val="22"/>
          <w:shd w:val="clear" w:color="auto" w:fill="FFFFFF"/>
        </w:rPr>
        <w:t xml:space="preserve">, </w:t>
      </w:r>
      <w:proofErr w:type="spellStart"/>
      <w:r w:rsidR="00951B7E" w:rsidRPr="00CC7AEF">
        <w:rPr>
          <w:sz w:val="22"/>
          <w:shd w:val="clear" w:color="auto" w:fill="FFFFFF"/>
        </w:rPr>
        <w:t>при</w:t>
      </w:r>
      <w:proofErr w:type="spellEnd"/>
      <w:r w:rsidR="00951B7E" w:rsidRPr="00CC7AEF">
        <w:rPr>
          <w:sz w:val="22"/>
          <w:shd w:val="clear" w:color="auto" w:fill="FFFFFF"/>
        </w:rPr>
        <w:t xml:space="preserve"> </w:t>
      </w:r>
      <w:proofErr w:type="spellStart"/>
      <w:r w:rsidR="00951B7E" w:rsidRPr="00CC7AEF">
        <w:rPr>
          <w:sz w:val="22"/>
          <w:shd w:val="clear" w:color="auto" w:fill="FFFFFF"/>
        </w:rPr>
        <w:t>чему</w:t>
      </w:r>
      <w:proofErr w:type="spellEnd"/>
      <w:r w:rsidR="00951B7E" w:rsidRPr="00CC7AEF">
        <w:rPr>
          <w:sz w:val="22"/>
          <w:shd w:val="clear" w:color="auto" w:fill="FFFFFF"/>
        </w:rPr>
        <w:t xml:space="preserve"> </w:t>
      </w:r>
      <w:proofErr w:type="spellStart"/>
      <w:r w:rsidR="00951B7E" w:rsidRPr="00CC7AEF">
        <w:rPr>
          <w:sz w:val="22"/>
          <w:shd w:val="clear" w:color="auto" w:fill="FFFFFF"/>
        </w:rPr>
        <w:t>би</w:t>
      </w:r>
      <w:proofErr w:type="spellEnd"/>
      <w:r w:rsidR="00951B7E" w:rsidRPr="00CC7AEF">
        <w:rPr>
          <w:sz w:val="22"/>
          <w:shd w:val="clear" w:color="auto" w:fill="FFFFFF"/>
        </w:rPr>
        <w:t xml:space="preserve"> </w:t>
      </w:r>
      <w:proofErr w:type="spellStart"/>
      <w:r w:rsidR="00951B7E" w:rsidRPr="00CC7AEF">
        <w:rPr>
          <w:sz w:val="22"/>
          <w:shd w:val="clear" w:color="auto" w:fill="FFFFFF"/>
        </w:rPr>
        <w:t>значајан</w:t>
      </w:r>
      <w:proofErr w:type="spellEnd"/>
      <w:r w:rsidRPr="00CC7AEF">
        <w:rPr>
          <w:sz w:val="22"/>
          <w:shd w:val="clear" w:color="auto" w:fill="FFFFFF"/>
        </w:rPr>
        <w:t xml:space="preserve"> </w:t>
      </w:r>
      <w:proofErr w:type="spellStart"/>
      <w:r w:rsidRPr="00CC7AEF">
        <w:rPr>
          <w:sz w:val="22"/>
          <w:shd w:val="clear" w:color="auto" w:fill="FFFFFF"/>
        </w:rPr>
        <w:t>број</w:t>
      </w:r>
      <w:proofErr w:type="spellEnd"/>
      <w:r w:rsidRPr="00CC7AEF">
        <w:rPr>
          <w:sz w:val="22"/>
          <w:shd w:val="clear" w:color="auto" w:fill="FFFFFF"/>
        </w:rPr>
        <w:t xml:space="preserve"> </w:t>
      </w:r>
      <w:proofErr w:type="spellStart"/>
      <w:r w:rsidRPr="00CC7AEF">
        <w:rPr>
          <w:sz w:val="22"/>
          <w:shd w:val="clear" w:color="auto" w:fill="FFFFFF"/>
        </w:rPr>
        <w:t>економија</w:t>
      </w:r>
      <w:proofErr w:type="spellEnd"/>
      <w:r w:rsidRPr="00CC7AEF">
        <w:rPr>
          <w:sz w:val="22"/>
          <w:shd w:val="clear" w:color="auto" w:fill="FFFFFF"/>
        </w:rPr>
        <w:t xml:space="preserve"> </w:t>
      </w:r>
      <w:proofErr w:type="spellStart"/>
      <w:r w:rsidRPr="00CC7AEF">
        <w:rPr>
          <w:sz w:val="22"/>
          <w:shd w:val="clear" w:color="auto" w:fill="FFFFFF"/>
        </w:rPr>
        <w:t>доживио</w:t>
      </w:r>
      <w:proofErr w:type="spellEnd"/>
      <w:r w:rsidRPr="00CC7AEF">
        <w:rPr>
          <w:sz w:val="22"/>
          <w:shd w:val="clear" w:color="auto" w:fill="FFFFFF"/>
        </w:rPr>
        <w:t xml:space="preserve"> </w:t>
      </w:r>
      <w:proofErr w:type="spellStart"/>
      <w:r w:rsidRPr="00CC7AEF">
        <w:rPr>
          <w:sz w:val="22"/>
          <w:shd w:val="clear" w:color="auto" w:fill="FFFFFF"/>
        </w:rPr>
        <w:t>највећи</w:t>
      </w:r>
      <w:proofErr w:type="spellEnd"/>
      <w:r w:rsidRPr="00CC7AEF">
        <w:rPr>
          <w:sz w:val="22"/>
          <w:shd w:val="clear" w:color="auto" w:fill="FFFFFF"/>
        </w:rPr>
        <w:t xml:space="preserve"> </w:t>
      </w:r>
      <w:proofErr w:type="spellStart"/>
      <w:r w:rsidRPr="00CC7AEF">
        <w:rPr>
          <w:sz w:val="22"/>
          <w:shd w:val="clear" w:color="auto" w:fill="FFFFFF"/>
        </w:rPr>
        <w:t>пад</w:t>
      </w:r>
      <w:proofErr w:type="spellEnd"/>
      <w:r w:rsidRPr="00CC7AEF">
        <w:rPr>
          <w:sz w:val="22"/>
          <w:shd w:val="clear" w:color="auto" w:fill="FFFFFF"/>
        </w:rPr>
        <w:t xml:space="preserve"> </w:t>
      </w:r>
      <w:proofErr w:type="spellStart"/>
      <w:r w:rsidRPr="00CC7AEF">
        <w:rPr>
          <w:sz w:val="22"/>
          <w:shd w:val="clear" w:color="auto" w:fill="FFFFFF"/>
        </w:rPr>
        <w:t>производње</w:t>
      </w:r>
      <w:proofErr w:type="spellEnd"/>
      <w:r w:rsidRPr="00CC7AEF">
        <w:rPr>
          <w:sz w:val="22"/>
          <w:shd w:val="clear" w:color="auto" w:fill="FFFFFF"/>
        </w:rPr>
        <w:t xml:space="preserve"> </w:t>
      </w:r>
      <w:proofErr w:type="spellStart"/>
      <w:r w:rsidRPr="00CC7AEF">
        <w:rPr>
          <w:sz w:val="22"/>
          <w:shd w:val="clear" w:color="auto" w:fill="FFFFFF"/>
        </w:rPr>
        <w:t>по</w:t>
      </w:r>
      <w:proofErr w:type="spellEnd"/>
      <w:r w:rsidRPr="00CC7AEF">
        <w:rPr>
          <w:sz w:val="22"/>
          <w:shd w:val="clear" w:color="auto" w:fill="FFFFFF"/>
        </w:rPr>
        <w:t xml:space="preserve"> </w:t>
      </w:r>
      <w:proofErr w:type="spellStart"/>
      <w:r w:rsidRPr="00CC7AEF">
        <w:rPr>
          <w:sz w:val="22"/>
          <w:shd w:val="clear" w:color="auto" w:fill="FFFFFF"/>
        </w:rPr>
        <w:t>глави</w:t>
      </w:r>
      <w:proofErr w:type="spellEnd"/>
      <w:r w:rsidRPr="00CC7AEF">
        <w:rPr>
          <w:sz w:val="22"/>
          <w:shd w:val="clear" w:color="auto" w:fill="FFFFFF"/>
        </w:rPr>
        <w:t xml:space="preserve"> </w:t>
      </w:r>
      <w:proofErr w:type="spellStart"/>
      <w:r w:rsidRPr="00CC7AEF">
        <w:rPr>
          <w:sz w:val="22"/>
          <w:shd w:val="clear" w:color="auto" w:fill="FFFFFF"/>
        </w:rPr>
        <w:t>стано</w:t>
      </w:r>
      <w:r w:rsidR="007E0049">
        <w:rPr>
          <w:sz w:val="22"/>
          <w:shd w:val="clear" w:color="auto" w:fill="FFFFFF"/>
        </w:rPr>
        <w:t>вника</w:t>
      </w:r>
      <w:proofErr w:type="spellEnd"/>
      <w:r w:rsidR="007E0049">
        <w:rPr>
          <w:sz w:val="22"/>
          <w:shd w:val="clear" w:color="auto" w:fill="FFFFFF"/>
        </w:rPr>
        <w:t xml:space="preserve"> </w:t>
      </w:r>
      <w:proofErr w:type="spellStart"/>
      <w:r w:rsidR="007E0049">
        <w:rPr>
          <w:sz w:val="22"/>
          <w:shd w:val="clear" w:color="auto" w:fill="FFFFFF"/>
        </w:rPr>
        <w:t>од</w:t>
      </w:r>
      <w:proofErr w:type="spellEnd"/>
      <w:r w:rsidR="007E0049">
        <w:rPr>
          <w:sz w:val="22"/>
          <w:shd w:val="clear" w:color="auto" w:fill="FFFFFF"/>
        </w:rPr>
        <w:t xml:space="preserve"> 1870. </w:t>
      </w:r>
      <w:proofErr w:type="spellStart"/>
      <w:r w:rsidR="007E0049">
        <w:rPr>
          <w:sz w:val="22"/>
          <w:shd w:val="clear" w:color="auto" w:fill="FFFFFF"/>
        </w:rPr>
        <w:t>године</w:t>
      </w:r>
      <w:proofErr w:type="spellEnd"/>
      <w:r w:rsidR="004B73D9" w:rsidRPr="00CC7AEF">
        <w:rPr>
          <w:sz w:val="22"/>
          <w:shd w:val="clear" w:color="auto" w:fill="FFFFFF"/>
        </w:rPr>
        <w:t xml:space="preserve">, </w:t>
      </w:r>
      <w:proofErr w:type="spellStart"/>
      <w:r w:rsidR="004B73D9" w:rsidRPr="00CC7AEF">
        <w:rPr>
          <w:sz w:val="22"/>
          <w:shd w:val="clear" w:color="auto" w:fill="FFFFFF"/>
        </w:rPr>
        <w:t>наводи</w:t>
      </w:r>
      <w:proofErr w:type="spellEnd"/>
      <w:r w:rsidRPr="00CC7AEF">
        <w:rPr>
          <w:sz w:val="22"/>
          <w:shd w:val="clear" w:color="auto" w:fill="FFFFFF"/>
        </w:rPr>
        <w:t xml:space="preserve"> </w:t>
      </w:r>
      <w:r w:rsidR="002E311B">
        <w:rPr>
          <w:sz w:val="22"/>
          <w:shd w:val="clear" w:color="auto" w:fill="FFFFFF"/>
          <w:lang w:val="sr-Cyrl-RS"/>
        </w:rPr>
        <w:t>СБ</w:t>
      </w:r>
      <w:r w:rsidRPr="00CC7AEF">
        <w:rPr>
          <w:sz w:val="22"/>
          <w:shd w:val="clear" w:color="auto" w:fill="FFFFFF"/>
        </w:rPr>
        <w:t xml:space="preserve"> у </w:t>
      </w:r>
      <w:proofErr w:type="spellStart"/>
      <w:r w:rsidRPr="00CC7AEF">
        <w:rPr>
          <w:sz w:val="22"/>
          <w:shd w:val="clear" w:color="auto" w:fill="FFFFFF"/>
        </w:rPr>
        <w:t>свом</w:t>
      </w:r>
      <w:proofErr w:type="spellEnd"/>
      <w:r w:rsidRPr="00CC7AEF">
        <w:rPr>
          <w:sz w:val="22"/>
          <w:shd w:val="clear" w:color="auto" w:fill="FFFFFF"/>
        </w:rPr>
        <w:t xml:space="preserve"> </w:t>
      </w:r>
      <w:proofErr w:type="spellStart"/>
      <w:r w:rsidRPr="00CC7AEF">
        <w:rPr>
          <w:sz w:val="22"/>
          <w:shd w:val="clear" w:color="auto" w:fill="FFFFFF"/>
        </w:rPr>
        <w:t>извјештају</w:t>
      </w:r>
      <w:proofErr w:type="spellEnd"/>
      <w:r w:rsidRPr="00CC7AEF">
        <w:rPr>
          <w:sz w:val="22"/>
          <w:shd w:val="clear" w:color="auto" w:fill="FFFFFF"/>
        </w:rPr>
        <w:t xml:space="preserve"> „</w:t>
      </w:r>
      <w:proofErr w:type="spellStart"/>
      <w:r w:rsidRPr="00CC7AEF">
        <w:rPr>
          <w:sz w:val="22"/>
          <w:shd w:val="clear" w:color="auto" w:fill="FFFFFF"/>
        </w:rPr>
        <w:t>Глобални</w:t>
      </w:r>
      <w:proofErr w:type="spellEnd"/>
      <w:r w:rsidRPr="00CC7AEF">
        <w:rPr>
          <w:sz w:val="22"/>
          <w:shd w:val="clear" w:color="auto" w:fill="FFFFFF"/>
        </w:rPr>
        <w:t xml:space="preserve"> </w:t>
      </w:r>
      <w:proofErr w:type="spellStart"/>
      <w:r w:rsidRPr="00CC7AEF">
        <w:rPr>
          <w:sz w:val="22"/>
          <w:shd w:val="clear" w:color="auto" w:fill="FFFFFF"/>
        </w:rPr>
        <w:t>економски</w:t>
      </w:r>
      <w:proofErr w:type="spellEnd"/>
      <w:r w:rsidRPr="00CC7AEF">
        <w:rPr>
          <w:sz w:val="22"/>
          <w:shd w:val="clear" w:color="auto" w:fill="FFFFFF"/>
        </w:rPr>
        <w:t xml:space="preserve"> </w:t>
      </w:r>
      <w:proofErr w:type="spellStart"/>
      <w:r w:rsidRPr="00CC7AEF">
        <w:rPr>
          <w:sz w:val="22"/>
          <w:shd w:val="clear" w:color="auto" w:fill="FFFFFF"/>
        </w:rPr>
        <w:t>изгледи</w:t>
      </w:r>
      <w:proofErr w:type="spellEnd"/>
      <w:r w:rsidRPr="00CC7AEF">
        <w:rPr>
          <w:sz w:val="22"/>
          <w:shd w:val="clear" w:color="auto" w:fill="FFFFFF"/>
        </w:rPr>
        <w:t>“</w:t>
      </w:r>
      <w:r w:rsidRPr="00CC7AEF">
        <w:rPr>
          <w:sz w:val="22"/>
          <w:vertAlign w:val="superscript"/>
        </w:rPr>
        <w:footnoteReference w:id="3"/>
      </w:r>
      <w:r w:rsidRPr="00CC7AEF">
        <w:rPr>
          <w:sz w:val="22"/>
          <w:shd w:val="clear" w:color="auto" w:fill="FFFFFF"/>
        </w:rPr>
        <w:t xml:space="preserve">. </w:t>
      </w:r>
    </w:p>
    <w:p w14:paraId="22A5C105" w14:textId="77777777" w:rsidR="00812A6B" w:rsidRPr="00CC7AEF" w:rsidRDefault="00812A6B" w:rsidP="00157B36">
      <w:pPr>
        <w:spacing w:line="276" w:lineRule="auto"/>
        <w:ind w:firstLine="709"/>
        <w:jc w:val="both"/>
        <w:rPr>
          <w:sz w:val="22"/>
          <w:shd w:val="clear" w:color="auto" w:fill="FFFFFF"/>
        </w:rPr>
      </w:pPr>
    </w:p>
    <w:p w14:paraId="4BEAB1A3" w14:textId="77777777" w:rsidR="008A135B" w:rsidRPr="00CC7AEF" w:rsidRDefault="00A105E9" w:rsidP="008A135B">
      <w:pPr>
        <w:spacing w:line="276" w:lineRule="auto"/>
        <w:ind w:firstLine="709"/>
        <w:jc w:val="both"/>
        <w:rPr>
          <w:sz w:val="22"/>
          <w:shd w:val="clear" w:color="auto" w:fill="FFFFFF"/>
          <w:lang w:val="sr-Cyrl-RS"/>
        </w:rPr>
      </w:pPr>
      <w:proofErr w:type="spellStart"/>
      <w:r w:rsidRPr="00CC7AEF">
        <w:rPr>
          <w:sz w:val="22"/>
          <w:shd w:val="clear" w:color="auto" w:fill="FFFFFF"/>
        </w:rPr>
        <w:lastRenderedPageBreak/>
        <w:t>Очекује</w:t>
      </w:r>
      <w:proofErr w:type="spellEnd"/>
      <w:r w:rsidRPr="00CC7AEF">
        <w:rPr>
          <w:sz w:val="22"/>
          <w:shd w:val="clear" w:color="auto" w:fill="FFFFFF"/>
        </w:rPr>
        <w:t xml:space="preserve"> </w:t>
      </w:r>
      <w:proofErr w:type="spellStart"/>
      <w:r w:rsidRPr="00CC7AEF">
        <w:rPr>
          <w:sz w:val="22"/>
          <w:shd w:val="clear" w:color="auto" w:fill="FFFFFF"/>
        </w:rPr>
        <w:t>се</w:t>
      </w:r>
      <w:proofErr w:type="spellEnd"/>
      <w:r w:rsidRPr="00CC7AEF">
        <w:rPr>
          <w:sz w:val="22"/>
          <w:shd w:val="clear" w:color="auto" w:fill="FFFFFF"/>
        </w:rPr>
        <w:t xml:space="preserve"> </w:t>
      </w:r>
      <w:proofErr w:type="spellStart"/>
      <w:r w:rsidRPr="00CC7AEF">
        <w:rPr>
          <w:sz w:val="22"/>
          <w:shd w:val="clear" w:color="auto" w:fill="FFFFFF"/>
        </w:rPr>
        <w:t>да</w:t>
      </w:r>
      <w:proofErr w:type="spellEnd"/>
      <w:r w:rsidR="009F0489">
        <w:rPr>
          <w:sz w:val="22"/>
          <w:shd w:val="clear" w:color="auto" w:fill="FFFFFF"/>
        </w:rPr>
        <w:t xml:space="preserve"> </w:t>
      </w:r>
      <w:proofErr w:type="spellStart"/>
      <w:r w:rsidR="008A135B" w:rsidRPr="00CC7AEF">
        <w:rPr>
          <w:sz w:val="22"/>
          <w:shd w:val="clear" w:color="auto" w:fill="FFFFFF"/>
        </w:rPr>
        <w:t>економска</w:t>
      </w:r>
      <w:proofErr w:type="spellEnd"/>
      <w:r w:rsidR="008A135B" w:rsidRPr="00CC7AEF">
        <w:rPr>
          <w:sz w:val="22"/>
          <w:shd w:val="clear" w:color="auto" w:fill="FFFFFF"/>
        </w:rPr>
        <w:t xml:space="preserve"> </w:t>
      </w:r>
      <w:proofErr w:type="spellStart"/>
      <w:r w:rsidR="008A135B" w:rsidRPr="00CC7AEF">
        <w:rPr>
          <w:sz w:val="22"/>
          <w:shd w:val="clear" w:color="auto" w:fill="FFFFFF"/>
        </w:rPr>
        <w:t>активност</w:t>
      </w:r>
      <w:proofErr w:type="spellEnd"/>
      <w:r w:rsidR="008A135B" w:rsidRPr="00CC7AEF">
        <w:rPr>
          <w:sz w:val="22"/>
          <w:shd w:val="clear" w:color="auto" w:fill="FFFFFF"/>
        </w:rPr>
        <w:t xml:space="preserve"> </w:t>
      </w:r>
      <w:proofErr w:type="spellStart"/>
      <w:r w:rsidR="008A135B" w:rsidRPr="00CC7AEF">
        <w:rPr>
          <w:sz w:val="22"/>
          <w:shd w:val="clear" w:color="auto" w:fill="FFFFFF"/>
        </w:rPr>
        <w:t>напредних</w:t>
      </w:r>
      <w:proofErr w:type="spellEnd"/>
      <w:r w:rsidR="008A135B" w:rsidRPr="00CC7AEF">
        <w:rPr>
          <w:sz w:val="22"/>
          <w:shd w:val="clear" w:color="auto" w:fill="FFFFFF"/>
        </w:rPr>
        <w:t xml:space="preserve"> </w:t>
      </w:r>
      <w:proofErr w:type="spellStart"/>
      <w:r w:rsidR="008A135B" w:rsidRPr="00CC7AEF">
        <w:rPr>
          <w:sz w:val="22"/>
          <w:shd w:val="clear" w:color="auto" w:fill="FFFFFF"/>
        </w:rPr>
        <w:t>економија</w:t>
      </w:r>
      <w:proofErr w:type="spellEnd"/>
      <w:r w:rsidR="008A135B" w:rsidRPr="00CC7AEF">
        <w:rPr>
          <w:sz w:val="22"/>
          <w:shd w:val="clear" w:color="auto" w:fill="FFFFFF"/>
        </w:rPr>
        <w:t xml:space="preserve"> </w:t>
      </w:r>
      <w:proofErr w:type="spellStart"/>
      <w:r w:rsidR="008A135B" w:rsidRPr="00CC7AEF">
        <w:rPr>
          <w:sz w:val="22"/>
          <w:shd w:val="clear" w:color="auto" w:fill="FFFFFF"/>
        </w:rPr>
        <w:t>доживи</w:t>
      </w:r>
      <w:proofErr w:type="spellEnd"/>
      <w:r w:rsidR="008A135B" w:rsidRPr="00CC7AEF">
        <w:rPr>
          <w:sz w:val="22"/>
          <w:shd w:val="clear" w:color="auto" w:fill="FFFFFF"/>
        </w:rPr>
        <w:t xml:space="preserve"> </w:t>
      </w:r>
      <w:proofErr w:type="spellStart"/>
      <w:r w:rsidR="008A135B" w:rsidRPr="00CC7AEF">
        <w:rPr>
          <w:sz w:val="22"/>
          <w:shd w:val="clear" w:color="auto" w:fill="FFFFFF"/>
        </w:rPr>
        <w:t>пад</w:t>
      </w:r>
      <w:proofErr w:type="spellEnd"/>
      <w:r w:rsidR="008A135B" w:rsidRPr="00CC7AEF">
        <w:rPr>
          <w:sz w:val="22"/>
          <w:shd w:val="clear" w:color="auto" w:fill="FFFFFF"/>
        </w:rPr>
        <w:t xml:space="preserve"> </w:t>
      </w:r>
      <w:proofErr w:type="spellStart"/>
      <w:r w:rsidR="008A135B" w:rsidRPr="00CC7AEF">
        <w:rPr>
          <w:sz w:val="22"/>
          <w:shd w:val="clear" w:color="auto" w:fill="FFFFFF"/>
        </w:rPr>
        <w:t>за</w:t>
      </w:r>
      <w:proofErr w:type="spellEnd"/>
      <w:r w:rsidR="008A135B" w:rsidRPr="00CC7AEF">
        <w:rPr>
          <w:sz w:val="22"/>
          <w:shd w:val="clear" w:color="auto" w:fill="FFFFFF"/>
        </w:rPr>
        <w:t xml:space="preserve"> </w:t>
      </w:r>
      <w:r w:rsidR="005E2408" w:rsidRPr="00CC7AEF">
        <w:rPr>
          <w:sz w:val="22"/>
          <w:shd w:val="clear" w:color="auto" w:fill="FFFFFF"/>
        </w:rPr>
        <w:t>7%</w:t>
      </w:r>
      <w:r w:rsidR="00951B7E" w:rsidRPr="00CC7AEF">
        <w:rPr>
          <w:sz w:val="22"/>
          <w:shd w:val="clear" w:color="auto" w:fill="FFFFFF"/>
        </w:rPr>
        <w:t xml:space="preserve"> у 2020. </w:t>
      </w:r>
      <w:proofErr w:type="spellStart"/>
      <w:r w:rsidR="00951B7E" w:rsidRPr="00CC7AEF">
        <w:rPr>
          <w:sz w:val="22"/>
          <w:shd w:val="clear" w:color="auto" w:fill="FFFFFF"/>
        </w:rPr>
        <w:t>години</w:t>
      </w:r>
      <w:proofErr w:type="spellEnd"/>
      <w:r w:rsidR="00951B7E" w:rsidRPr="00CC7AEF">
        <w:rPr>
          <w:sz w:val="22"/>
          <w:shd w:val="clear" w:color="auto" w:fill="FFFFFF"/>
        </w:rPr>
        <w:t xml:space="preserve">, а </w:t>
      </w:r>
      <w:proofErr w:type="spellStart"/>
      <w:r w:rsidR="007E0049">
        <w:rPr>
          <w:sz w:val="22"/>
          <w:shd w:val="clear" w:color="auto" w:fill="FFFFFF"/>
        </w:rPr>
        <w:t>нових</w:t>
      </w:r>
      <w:proofErr w:type="spellEnd"/>
      <w:r w:rsidR="008A135B" w:rsidRPr="00CC7AEF">
        <w:rPr>
          <w:sz w:val="22"/>
          <w:shd w:val="clear" w:color="auto" w:fill="FFFFFF"/>
        </w:rPr>
        <w:t xml:space="preserve"> </w:t>
      </w:r>
      <w:proofErr w:type="spellStart"/>
      <w:r w:rsidR="008A135B" w:rsidRPr="00CC7AEF">
        <w:rPr>
          <w:sz w:val="22"/>
          <w:shd w:val="clear" w:color="auto" w:fill="FFFFFF"/>
        </w:rPr>
        <w:t>тржишта</w:t>
      </w:r>
      <w:proofErr w:type="spellEnd"/>
      <w:r w:rsidR="008A135B" w:rsidRPr="00CC7AEF">
        <w:rPr>
          <w:sz w:val="22"/>
          <w:shd w:val="clear" w:color="auto" w:fill="FFFFFF"/>
        </w:rPr>
        <w:t xml:space="preserve"> </w:t>
      </w:r>
      <w:r w:rsidR="007E0049">
        <w:rPr>
          <w:sz w:val="22"/>
          <w:shd w:val="clear" w:color="auto" w:fill="FFFFFF"/>
        </w:rPr>
        <w:t xml:space="preserve">и </w:t>
      </w:r>
      <w:proofErr w:type="spellStart"/>
      <w:r w:rsidR="007E0049">
        <w:rPr>
          <w:sz w:val="22"/>
          <w:shd w:val="clear" w:color="auto" w:fill="FFFFFF"/>
        </w:rPr>
        <w:t>економија</w:t>
      </w:r>
      <w:proofErr w:type="spellEnd"/>
      <w:r w:rsidR="00744738" w:rsidRPr="00CC7AEF">
        <w:rPr>
          <w:sz w:val="22"/>
          <w:shd w:val="clear" w:color="auto" w:fill="FFFFFF"/>
        </w:rPr>
        <w:t xml:space="preserve"> у </w:t>
      </w:r>
      <w:proofErr w:type="spellStart"/>
      <w:r w:rsidR="00744738" w:rsidRPr="00CC7AEF">
        <w:rPr>
          <w:sz w:val="22"/>
          <w:shd w:val="clear" w:color="auto" w:fill="FFFFFF"/>
        </w:rPr>
        <w:t>развоју</w:t>
      </w:r>
      <w:proofErr w:type="spellEnd"/>
      <w:r w:rsidR="00744738" w:rsidRPr="00CC7AEF">
        <w:rPr>
          <w:sz w:val="22"/>
          <w:shd w:val="clear" w:color="auto" w:fill="FFFFFF"/>
        </w:rPr>
        <w:t xml:space="preserve"> </w:t>
      </w:r>
      <w:proofErr w:type="spellStart"/>
      <w:r w:rsidR="00744738" w:rsidRPr="00CC7AEF">
        <w:rPr>
          <w:sz w:val="22"/>
          <w:shd w:val="clear" w:color="auto" w:fill="FFFFFF"/>
        </w:rPr>
        <w:t>за</w:t>
      </w:r>
      <w:proofErr w:type="spellEnd"/>
      <w:r w:rsidR="00744738" w:rsidRPr="00CC7AEF">
        <w:rPr>
          <w:sz w:val="22"/>
          <w:shd w:val="clear" w:color="auto" w:fill="FFFFFF"/>
        </w:rPr>
        <w:t xml:space="preserve"> 2,5%.  </w:t>
      </w:r>
      <w:proofErr w:type="spellStart"/>
      <w:r w:rsidR="00744738" w:rsidRPr="00CC7AEF">
        <w:rPr>
          <w:sz w:val="22"/>
          <w:shd w:val="clear" w:color="auto" w:fill="FFFFFF"/>
        </w:rPr>
        <w:t>Највише</w:t>
      </w:r>
      <w:proofErr w:type="spellEnd"/>
      <w:r w:rsidR="008A135B" w:rsidRPr="00CC7AEF">
        <w:rPr>
          <w:sz w:val="22"/>
          <w:shd w:val="clear" w:color="auto" w:fill="FFFFFF"/>
        </w:rPr>
        <w:t xml:space="preserve"> </w:t>
      </w:r>
      <w:proofErr w:type="spellStart"/>
      <w:r w:rsidR="008A135B" w:rsidRPr="00CC7AEF">
        <w:rPr>
          <w:sz w:val="22"/>
          <w:shd w:val="clear" w:color="auto" w:fill="FFFFFF"/>
        </w:rPr>
        <w:t>су</w:t>
      </w:r>
      <w:proofErr w:type="spellEnd"/>
      <w:r w:rsidR="008A135B" w:rsidRPr="00CC7AEF">
        <w:rPr>
          <w:sz w:val="22"/>
          <w:shd w:val="clear" w:color="auto" w:fill="FFFFFF"/>
        </w:rPr>
        <w:t xml:space="preserve"> </w:t>
      </w:r>
      <w:proofErr w:type="spellStart"/>
      <w:r w:rsidR="008A135B" w:rsidRPr="00CC7AEF">
        <w:rPr>
          <w:sz w:val="22"/>
          <w:shd w:val="clear" w:color="auto" w:fill="FFFFFF"/>
        </w:rPr>
        <w:t>погођене</w:t>
      </w:r>
      <w:proofErr w:type="spellEnd"/>
      <w:r w:rsidR="008A135B" w:rsidRPr="00CC7AEF">
        <w:rPr>
          <w:sz w:val="22"/>
          <w:shd w:val="clear" w:color="auto" w:fill="FFFFFF"/>
        </w:rPr>
        <w:t xml:space="preserve"> </w:t>
      </w:r>
      <w:proofErr w:type="spellStart"/>
      <w:r w:rsidR="008A135B" w:rsidRPr="00CC7AEF">
        <w:rPr>
          <w:sz w:val="22"/>
          <w:shd w:val="clear" w:color="auto" w:fill="FFFFFF"/>
        </w:rPr>
        <w:t>оне</w:t>
      </w:r>
      <w:proofErr w:type="spellEnd"/>
      <w:r w:rsidR="008A135B" w:rsidRPr="00CC7AEF">
        <w:rPr>
          <w:sz w:val="22"/>
          <w:shd w:val="clear" w:color="auto" w:fill="FFFFFF"/>
        </w:rPr>
        <w:t xml:space="preserve"> </w:t>
      </w:r>
      <w:proofErr w:type="spellStart"/>
      <w:r w:rsidR="008A135B" w:rsidRPr="00CC7AEF">
        <w:rPr>
          <w:sz w:val="22"/>
          <w:shd w:val="clear" w:color="auto" w:fill="FFFFFF"/>
        </w:rPr>
        <w:t>земље</w:t>
      </w:r>
      <w:proofErr w:type="spellEnd"/>
      <w:r w:rsidR="008A135B" w:rsidRPr="00CC7AEF">
        <w:rPr>
          <w:sz w:val="22"/>
          <w:shd w:val="clear" w:color="auto" w:fill="FFFFFF"/>
        </w:rPr>
        <w:t xml:space="preserve"> у </w:t>
      </w:r>
      <w:proofErr w:type="spellStart"/>
      <w:r w:rsidR="008A135B" w:rsidRPr="00CC7AEF">
        <w:rPr>
          <w:sz w:val="22"/>
          <w:shd w:val="clear" w:color="auto" w:fill="FFFFFF"/>
        </w:rPr>
        <w:t>којима</w:t>
      </w:r>
      <w:proofErr w:type="spellEnd"/>
      <w:r w:rsidR="008A135B" w:rsidRPr="00CC7AEF">
        <w:rPr>
          <w:sz w:val="22"/>
          <w:shd w:val="clear" w:color="auto" w:fill="FFFFFF"/>
        </w:rPr>
        <w:t xml:space="preserve"> </w:t>
      </w:r>
      <w:proofErr w:type="spellStart"/>
      <w:r w:rsidR="008A135B" w:rsidRPr="00CC7AEF">
        <w:rPr>
          <w:sz w:val="22"/>
          <w:shd w:val="clear" w:color="auto" w:fill="FFFFFF"/>
        </w:rPr>
        <w:t>је</w:t>
      </w:r>
      <w:proofErr w:type="spellEnd"/>
      <w:r w:rsidR="008A135B" w:rsidRPr="00CC7AEF">
        <w:rPr>
          <w:sz w:val="22"/>
          <w:shd w:val="clear" w:color="auto" w:fill="FFFFFF"/>
        </w:rPr>
        <w:t xml:space="preserve"> </w:t>
      </w:r>
      <w:proofErr w:type="spellStart"/>
      <w:r w:rsidR="008A135B" w:rsidRPr="00CC7AEF">
        <w:rPr>
          <w:sz w:val="22"/>
          <w:shd w:val="clear" w:color="auto" w:fill="FFFFFF"/>
        </w:rPr>
        <w:t>пандемија</w:t>
      </w:r>
      <w:proofErr w:type="spellEnd"/>
      <w:r w:rsidR="008A135B" w:rsidRPr="00CC7AEF">
        <w:rPr>
          <w:sz w:val="22"/>
          <w:shd w:val="clear" w:color="auto" w:fill="FFFFFF"/>
        </w:rPr>
        <w:t xml:space="preserve"> </w:t>
      </w:r>
      <w:proofErr w:type="spellStart"/>
      <w:r w:rsidR="008A135B" w:rsidRPr="00CC7AEF">
        <w:rPr>
          <w:sz w:val="22"/>
          <w:shd w:val="clear" w:color="auto" w:fill="FFFFFF"/>
        </w:rPr>
        <w:t>била</w:t>
      </w:r>
      <w:proofErr w:type="spellEnd"/>
      <w:r w:rsidR="008A135B" w:rsidRPr="00CC7AEF">
        <w:rPr>
          <w:sz w:val="22"/>
          <w:shd w:val="clear" w:color="auto" w:fill="FFFFFF"/>
        </w:rPr>
        <w:t xml:space="preserve"> </w:t>
      </w:r>
      <w:proofErr w:type="spellStart"/>
      <w:r w:rsidR="008A135B" w:rsidRPr="00CC7AEF">
        <w:rPr>
          <w:sz w:val="22"/>
          <w:shd w:val="clear" w:color="auto" w:fill="FFFFFF"/>
        </w:rPr>
        <w:t>најтежа</w:t>
      </w:r>
      <w:proofErr w:type="spellEnd"/>
      <w:r w:rsidR="008A135B" w:rsidRPr="00CC7AEF">
        <w:rPr>
          <w:sz w:val="22"/>
          <w:shd w:val="clear" w:color="auto" w:fill="FFFFFF"/>
        </w:rPr>
        <w:t xml:space="preserve"> и </w:t>
      </w:r>
      <w:proofErr w:type="spellStart"/>
      <w:r w:rsidR="008A135B" w:rsidRPr="00CC7AEF">
        <w:rPr>
          <w:sz w:val="22"/>
          <w:shd w:val="clear" w:color="auto" w:fill="FFFFFF"/>
        </w:rPr>
        <w:t>које</w:t>
      </w:r>
      <w:proofErr w:type="spellEnd"/>
      <w:r w:rsidR="008A135B" w:rsidRPr="00CC7AEF">
        <w:rPr>
          <w:sz w:val="22"/>
          <w:shd w:val="clear" w:color="auto" w:fill="FFFFFF"/>
        </w:rPr>
        <w:t xml:space="preserve"> </w:t>
      </w:r>
      <w:proofErr w:type="spellStart"/>
      <w:r w:rsidR="008A135B" w:rsidRPr="00CC7AEF">
        <w:rPr>
          <w:sz w:val="22"/>
          <w:shd w:val="clear" w:color="auto" w:fill="FFFFFF"/>
        </w:rPr>
        <w:t>се</w:t>
      </w:r>
      <w:proofErr w:type="spellEnd"/>
      <w:r w:rsidR="008A135B" w:rsidRPr="00CC7AEF">
        <w:rPr>
          <w:sz w:val="22"/>
          <w:shd w:val="clear" w:color="auto" w:fill="FFFFFF"/>
        </w:rPr>
        <w:t xml:space="preserve"> у </w:t>
      </w:r>
      <w:proofErr w:type="spellStart"/>
      <w:r w:rsidR="008A135B" w:rsidRPr="00CC7AEF">
        <w:rPr>
          <w:sz w:val="22"/>
          <w:shd w:val="clear" w:color="auto" w:fill="FFFFFF"/>
        </w:rPr>
        <w:t>великој</w:t>
      </w:r>
      <w:proofErr w:type="spellEnd"/>
      <w:r w:rsidR="008A135B" w:rsidRPr="00CC7AEF">
        <w:rPr>
          <w:sz w:val="22"/>
          <w:shd w:val="clear" w:color="auto" w:fill="FFFFFF"/>
        </w:rPr>
        <w:t xml:space="preserve"> </w:t>
      </w:r>
      <w:proofErr w:type="spellStart"/>
      <w:r w:rsidR="008A135B" w:rsidRPr="00CC7AEF">
        <w:rPr>
          <w:sz w:val="22"/>
          <w:shd w:val="clear" w:color="auto" w:fill="FFFFFF"/>
        </w:rPr>
        <w:t>мјери</w:t>
      </w:r>
      <w:proofErr w:type="spellEnd"/>
      <w:r w:rsidR="008A135B" w:rsidRPr="00CC7AEF">
        <w:rPr>
          <w:sz w:val="22"/>
          <w:shd w:val="clear" w:color="auto" w:fill="FFFFFF"/>
        </w:rPr>
        <w:t xml:space="preserve"> </w:t>
      </w:r>
      <w:proofErr w:type="spellStart"/>
      <w:r w:rsidR="008A135B" w:rsidRPr="00CC7AEF">
        <w:rPr>
          <w:sz w:val="22"/>
          <w:shd w:val="clear" w:color="auto" w:fill="FFFFFF"/>
        </w:rPr>
        <w:t>ослањају</w:t>
      </w:r>
      <w:proofErr w:type="spellEnd"/>
      <w:r w:rsidR="008A135B" w:rsidRPr="00CC7AEF">
        <w:rPr>
          <w:sz w:val="22"/>
          <w:shd w:val="clear" w:color="auto" w:fill="FFFFFF"/>
        </w:rPr>
        <w:t xml:space="preserve"> </w:t>
      </w:r>
      <w:proofErr w:type="spellStart"/>
      <w:r w:rsidR="008A135B" w:rsidRPr="00CC7AEF">
        <w:rPr>
          <w:sz w:val="22"/>
          <w:shd w:val="clear" w:color="auto" w:fill="FFFFFF"/>
        </w:rPr>
        <w:t>на</w:t>
      </w:r>
      <w:proofErr w:type="spellEnd"/>
      <w:r w:rsidR="008A135B" w:rsidRPr="00CC7AEF">
        <w:rPr>
          <w:sz w:val="22"/>
          <w:shd w:val="clear" w:color="auto" w:fill="FFFFFF"/>
        </w:rPr>
        <w:t xml:space="preserve"> </w:t>
      </w:r>
      <w:proofErr w:type="spellStart"/>
      <w:r w:rsidR="008A135B" w:rsidRPr="00CC7AEF">
        <w:rPr>
          <w:sz w:val="22"/>
          <w:shd w:val="clear" w:color="auto" w:fill="FFFFFF"/>
        </w:rPr>
        <w:t>глобалну</w:t>
      </w:r>
      <w:proofErr w:type="spellEnd"/>
      <w:r w:rsidR="008A135B" w:rsidRPr="00CC7AEF">
        <w:rPr>
          <w:sz w:val="22"/>
          <w:shd w:val="clear" w:color="auto" w:fill="FFFFFF"/>
        </w:rPr>
        <w:t xml:space="preserve"> </w:t>
      </w:r>
      <w:proofErr w:type="spellStart"/>
      <w:r w:rsidR="008A135B" w:rsidRPr="00CC7AEF">
        <w:rPr>
          <w:sz w:val="22"/>
          <w:shd w:val="clear" w:color="auto" w:fill="FFFFFF"/>
        </w:rPr>
        <w:t>трговину</w:t>
      </w:r>
      <w:proofErr w:type="spellEnd"/>
      <w:r w:rsidR="008A135B" w:rsidRPr="00CC7AEF">
        <w:rPr>
          <w:sz w:val="22"/>
          <w:shd w:val="clear" w:color="auto" w:fill="FFFFFF"/>
        </w:rPr>
        <w:t xml:space="preserve">, </w:t>
      </w:r>
      <w:proofErr w:type="spellStart"/>
      <w:r w:rsidR="008A135B" w:rsidRPr="00CC7AEF">
        <w:rPr>
          <w:sz w:val="22"/>
          <w:shd w:val="clear" w:color="auto" w:fill="FFFFFF"/>
        </w:rPr>
        <w:t>туризам</w:t>
      </w:r>
      <w:proofErr w:type="spellEnd"/>
      <w:r w:rsidR="008A135B" w:rsidRPr="00CC7AEF">
        <w:rPr>
          <w:sz w:val="22"/>
          <w:shd w:val="clear" w:color="auto" w:fill="FFFFFF"/>
        </w:rPr>
        <w:t xml:space="preserve">, </w:t>
      </w:r>
      <w:proofErr w:type="spellStart"/>
      <w:r w:rsidR="008A135B" w:rsidRPr="00CC7AEF">
        <w:rPr>
          <w:sz w:val="22"/>
          <w:shd w:val="clear" w:color="auto" w:fill="FFFFFF"/>
        </w:rPr>
        <w:t>извоз</w:t>
      </w:r>
      <w:proofErr w:type="spellEnd"/>
      <w:r w:rsidR="008A135B" w:rsidRPr="00CC7AEF">
        <w:rPr>
          <w:sz w:val="22"/>
          <w:shd w:val="clear" w:color="auto" w:fill="FFFFFF"/>
        </w:rPr>
        <w:t xml:space="preserve"> </w:t>
      </w:r>
      <w:proofErr w:type="spellStart"/>
      <w:r w:rsidR="008A135B" w:rsidRPr="00CC7AEF">
        <w:rPr>
          <w:sz w:val="22"/>
          <w:shd w:val="clear" w:color="auto" w:fill="FFFFFF"/>
        </w:rPr>
        <w:t>роба</w:t>
      </w:r>
      <w:proofErr w:type="spellEnd"/>
      <w:r w:rsidR="008A135B" w:rsidRPr="00CC7AEF">
        <w:rPr>
          <w:sz w:val="22"/>
          <w:shd w:val="clear" w:color="auto" w:fill="FFFFFF"/>
        </w:rPr>
        <w:t xml:space="preserve"> и </w:t>
      </w:r>
      <w:proofErr w:type="spellStart"/>
      <w:r w:rsidR="008A135B" w:rsidRPr="00CC7AEF">
        <w:rPr>
          <w:sz w:val="22"/>
          <w:shd w:val="clear" w:color="auto" w:fill="FFFFFF"/>
        </w:rPr>
        <w:t>ва</w:t>
      </w:r>
      <w:r w:rsidR="00AC2C2B" w:rsidRPr="00CC7AEF">
        <w:rPr>
          <w:sz w:val="22"/>
          <w:shd w:val="clear" w:color="auto" w:fill="FFFFFF"/>
        </w:rPr>
        <w:t>њско</w:t>
      </w:r>
      <w:proofErr w:type="spellEnd"/>
      <w:r w:rsidR="00AC2C2B" w:rsidRPr="00CC7AEF">
        <w:rPr>
          <w:sz w:val="22"/>
          <w:shd w:val="clear" w:color="auto" w:fill="FFFFFF"/>
        </w:rPr>
        <w:t xml:space="preserve"> </w:t>
      </w:r>
      <w:proofErr w:type="spellStart"/>
      <w:r w:rsidR="00AC2C2B" w:rsidRPr="00CC7AEF">
        <w:rPr>
          <w:sz w:val="22"/>
          <w:shd w:val="clear" w:color="auto" w:fill="FFFFFF"/>
        </w:rPr>
        <w:t>финансирање</w:t>
      </w:r>
      <w:proofErr w:type="spellEnd"/>
      <w:r w:rsidR="00AC2C2B" w:rsidRPr="00CC7AEF">
        <w:rPr>
          <w:sz w:val="22"/>
          <w:shd w:val="clear" w:color="auto" w:fill="FFFFFF"/>
        </w:rPr>
        <w:t xml:space="preserve">. </w:t>
      </w:r>
      <w:proofErr w:type="spellStart"/>
      <w:r w:rsidR="00AC2C2B" w:rsidRPr="00CC7AEF">
        <w:rPr>
          <w:sz w:val="22"/>
          <w:shd w:val="clear" w:color="auto" w:fill="FFFFFF"/>
        </w:rPr>
        <w:t>Према</w:t>
      </w:r>
      <w:proofErr w:type="spellEnd"/>
      <w:r w:rsidR="00AC2C2B" w:rsidRPr="00CC7AEF">
        <w:rPr>
          <w:sz w:val="22"/>
          <w:shd w:val="clear" w:color="auto" w:fill="FFFFFF"/>
        </w:rPr>
        <w:t xml:space="preserve"> </w:t>
      </w:r>
      <w:proofErr w:type="spellStart"/>
      <w:r w:rsidR="00AC2C2B" w:rsidRPr="00CC7AEF">
        <w:rPr>
          <w:sz w:val="22"/>
          <w:shd w:val="clear" w:color="auto" w:fill="FFFFFF"/>
        </w:rPr>
        <w:t>основном</w:t>
      </w:r>
      <w:proofErr w:type="spellEnd"/>
      <w:r w:rsidR="008A135B" w:rsidRPr="00CC7AEF">
        <w:rPr>
          <w:sz w:val="22"/>
          <w:shd w:val="clear" w:color="auto" w:fill="FFFFFF"/>
        </w:rPr>
        <w:t xml:space="preserve"> </w:t>
      </w:r>
      <w:r w:rsidR="00AC2C2B" w:rsidRPr="00CC7AEF">
        <w:rPr>
          <w:sz w:val="22"/>
          <w:shd w:val="clear" w:color="auto" w:fill="FFFFFF"/>
          <w:lang w:val="sr-Cyrl-RS"/>
        </w:rPr>
        <w:t>сценарију</w:t>
      </w:r>
      <w:r w:rsidR="004B73D9" w:rsidRPr="00CC7AEF">
        <w:rPr>
          <w:sz w:val="22"/>
          <w:shd w:val="clear" w:color="auto" w:fill="FFFFFF"/>
        </w:rPr>
        <w:t xml:space="preserve"> (</w:t>
      </w:r>
      <w:proofErr w:type="spellStart"/>
      <w:r w:rsidR="008A135B" w:rsidRPr="00CC7AEF">
        <w:rPr>
          <w:sz w:val="22"/>
          <w:shd w:val="clear" w:color="auto" w:fill="FFFFFF"/>
        </w:rPr>
        <w:t>пре</w:t>
      </w:r>
      <w:r w:rsidR="004B73D9" w:rsidRPr="00CC7AEF">
        <w:rPr>
          <w:sz w:val="22"/>
          <w:shd w:val="clear" w:color="auto" w:fill="FFFFFF"/>
        </w:rPr>
        <w:t>тпоставке</w:t>
      </w:r>
      <w:proofErr w:type="spellEnd"/>
      <w:r w:rsidR="008A135B" w:rsidRPr="00CC7AEF">
        <w:rPr>
          <w:sz w:val="22"/>
          <w:shd w:val="clear" w:color="auto" w:fill="FFFFFF"/>
        </w:rPr>
        <w:t xml:space="preserve"> </w:t>
      </w:r>
      <w:proofErr w:type="spellStart"/>
      <w:r w:rsidR="008A135B" w:rsidRPr="00CC7AEF">
        <w:rPr>
          <w:sz w:val="22"/>
          <w:shd w:val="clear" w:color="auto" w:fill="FFFFFF"/>
        </w:rPr>
        <w:t>да</w:t>
      </w:r>
      <w:proofErr w:type="spellEnd"/>
      <w:r w:rsidR="008A135B" w:rsidRPr="00CC7AEF">
        <w:rPr>
          <w:sz w:val="22"/>
          <w:shd w:val="clear" w:color="auto" w:fill="FFFFFF"/>
        </w:rPr>
        <w:t xml:space="preserve"> </w:t>
      </w:r>
      <w:proofErr w:type="spellStart"/>
      <w:r w:rsidR="008A135B" w:rsidRPr="00CC7AEF">
        <w:rPr>
          <w:sz w:val="22"/>
          <w:shd w:val="clear" w:color="auto" w:fill="FFFFFF"/>
        </w:rPr>
        <w:t>се</w:t>
      </w:r>
      <w:proofErr w:type="spellEnd"/>
      <w:r w:rsidR="008A135B" w:rsidRPr="00CC7AEF">
        <w:rPr>
          <w:sz w:val="22"/>
          <w:shd w:val="clear" w:color="auto" w:fill="FFFFFF"/>
        </w:rPr>
        <w:t xml:space="preserve"> </w:t>
      </w:r>
      <w:proofErr w:type="spellStart"/>
      <w:r w:rsidR="008A135B" w:rsidRPr="00CC7AEF">
        <w:rPr>
          <w:sz w:val="22"/>
          <w:shd w:val="clear" w:color="auto" w:fill="FFFFFF"/>
        </w:rPr>
        <w:t>пандемија</w:t>
      </w:r>
      <w:proofErr w:type="spellEnd"/>
      <w:r w:rsidR="008A135B" w:rsidRPr="00CC7AEF">
        <w:rPr>
          <w:sz w:val="22"/>
          <w:shd w:val="clear" w:color="auto" w:fill="FFFFFF"/>
        </w:rPr>
        <w:t xml:space="preserve"> </w:t>
      </w:r>
      <w:proofErr w:type="spellStart"/>
      <w:r w:rsidR="008A135B" w:rsidRPr="00CC7AEF">
        <w:rPr>
          <w:sz w:val="22"/>
          <w:shd w:val="clear" w:color="auto" w:fill="FFFFFF"/>
        </w:rPr>
        <w:t>повуче</w:t>
      </w:r>
      <w:proofErr w:type="spellEnd"/>
      <w:r w:rsidR="009F31F7">
        <w:rPr>
          <w:sz w:val="22"/>
          <w:shd w:val="clear" w:color="auto" w:fill="FFFFFF"/>
          <w:lang w:val="sr-Cyrl-RS"/>
        </w:rPr>
        <w:t>, тако да се омогући укидање рестриктивних</w:t>
      </w:r>
      <w:r w:rsidR="003F427E" w:rsidRPr="00CC7AEF">
        <w:rPr>
          <w:sz w:val="22"/>
          <w:shd w:val="clear" w:color="auto" w:fill="FFFFFF"/>
          <w:lang w:val="sr-Cyrl-RS"/>
        </w:rPr>
        <w:t xml:space="preserve"> </w:t>
      </w:r>
      <w:proofErr w:type="spellStart"/>
      <w:r w:rsidR="009F31F7">
        <w:rPr>
          <w:sz w:val="22"/>
          <w:shd w:val="clear" w:color="auto" w:fill="FFFFFF"/>
        </w:rPr>
        <w:t>мјера</w:t>
      </w:r>
      <w:proofErr w:type="spellEnd"/>
      <w:r w:rsidR="008A135B" w:rsidRPr="00CC7AEF">
        <w:rPr>
          <w:sz w:val="22"/>
          <w:shd w:val="clear" w:color="auto" w:fill="FFFFFF"/>
        </w:rPr>
        <w:t xml:space="preserve"> </w:t>
      </w:r>
      <w:proofErr w:type="spellStart"/>
      <w:r w:rsidR="008A135B" w:rsidRPr="00CC7AEF">
        <w:rPr>
          <w:sz w:val="22"/>
          <w:shd w:val="clear" w:color="auto" w:fill="FFFFFF"/>
        </w:rPr>
        <w:t>до</w:t>
      </w:r>
      <w:proofErr w:type="spellEnd"/>
      <w:r w:rsidR="008A135B" w:rsidRPr="00CC7AEF">
        <w:rPr>
          <w:sz w:val="22"/>
          <w:shd w:val="clear" w:color="auto" w:fill="FFFFFF"/>
        </w:rPr>
        <w:t xml:space="preserve"> </w:t>
      </w:r>
      <w:proofErr w:type="spellStart"/>
      <w:r w:rsidR="008A135B" w:rsidRPr="00CC7AEF">
        <w:rPr>
          <w:sz w:val="22"/>
          <w:shd w:val="clear" w:color="auto" w:fill="FFFFFF"/>
        </w:rPr>
        <w:t>средине</w:t>
      </w:r>
      <w:proofErr w:type="spellEnd"/>
      <w:r w:rsidR="008A135B" w:rsidRPr="00CC7AEF">
        <w:rPr>
          <w:sz w:val="22"/>
          <w:shd w:val="clear" w:color="auto" w:fill="FFFFFF"/>
        </w:rPr>
        <w:t xml:space="preserve"> </w:t>
      </w:r>
      <w:proofErr w:type="spellStart"/>
      <w:r w:rsidR="008A135B" w:rsidRPr="00CC7AEF">
        <w:rPr>
          <w:sz w:val="22"/>
          <w:shd w:val="clear" w:color="auto" w:fill="FFFFFF"/>
        </w:rPr>
        <w:t>године</w:t>
      </w:r>
      <w:proofErr w:type="spellEnd"/>
      <w:r w:rsidR="00AC2C2B" w:rsidRPr="00CC7AEF">
        <w:rPr>
          <w:sz w:val="22"/>
          <w:shd w:val="clear" w:color="auto" w:fill="FFFFFF"/>
          <w:lang w:val="sr-Cyrl-RS"/>
        </w:rPr>
        <w:t>,</w:t>
      </w:r>
      <w:r w:rsidR="008A135B" w:rsidRPr="00CC7AEF">
        <w:rPr>
          <w:sz w:val="22"/>
          <w:shd w:val="clear" w:color="auto" w:fill="FFFFFF"/>
        </w:rPr>
        <w:t xml:space="preserve"> </w:t>
      </w:r>
      <w:proofErr w:type="spellStart"/>
      <w:r w:rsidR="008A135B" w:rsidRPr="00CC7AEF">
        <w:rPr>
          <w:sz w:val="22"/>
          <w:shd w:val="clear" w:color="auto" w:fill="FFFFFF"/>
        </w:rPr>
        <w:t>те</w:t>
      </w:r>
      <w:proofErr w:type="spellEnd"/>
      <w:r w:rsidR="008A135B" w:rsidRPr="00CC7AEF">
        <w:rPr>
          <w:sz w:val="22"/>
          <w:shd w:val="clear" w:color="auto" w:fill="FFFFFF"/>
        </w:rPr>
        <w:t xml:space="preserve"> </w:t>
      </w:r>
      <w:proofErr w:type="spellStart"/>
      <w:r w:rsidR="008A135B" w:rsidRPr="00CC7AEF">
        <w:rPr>
          <w:sz w:val="22"/>
          <w:shd w:val="clear" w:color="auto" w:fill="FFFFFF"/>
        </w:rPr>
        <w:t>да</w:t>
      </w:r>
      <w:proofErr w:type="spellEnd"/>
      <w:r w:rsidR="008A135B" w:rsidRPr="00CC7AEF">
        <w:rPr>
          <w:sz w:val="22"/>
          <w:shd w:val="clear" w:color="auto" w:fill="FFFFFF"/>
        </w:rPr>
        <w:t xml:space="preserve"> </w:t>
      </w:r>
      <w:proofErr w:type="spellStart"/>
      <w:r w:rsidR="008A135B" w:rsidRPr="00CC7AEF">
        <w:rPr>
          <w:sz w:val="22"/>
          <w:shd w:val="clear" w:color="auto" w:fill="FFFFFF"/>
        </w:rPr>
        <w:t>поремећаји</w:t>
      </w:r>
      <w:proofErr w:type="spellEnd"/>
      <w:r w:rsidR="008A135B" w:rsidRPr="00CC7AEF">
        <w:rPr>
          <w:sz w:val="22"/>
          <w:shd w:val="clear" w:color="auto" w:fill="FFFFFF"/>
        </w:rPr>
        <w:t xml:space="preserve"> </w:t>
      </w:r>
      <w:proofErr w:type="spellStart"/>
      <w:r w:rsidR="008A135B" w:rsidRPr="00CC7AEF">
        <w:rPr>
          <w:sz w:val="22"/>
          <w:shd w:val="clear" w:color="auto" w:fill="FFFFFF"/>
        </w:rPr>
        <w:t>на</w:t>
      </w:r>
      <w:proofErr w:type="spellEnd"/>
      <w:r w:rsidR="008A135B" w:rsidRPr="00CC7AEF">
        <w:rPr>
          <w:sz w:val="22"/>
          <w:shd w:val="clear" w:color="auto" w:fill="FFFFFF"/>
        </w:rPr>
        <w:t xml:space="preserve"> </w:t>
      </w:r>
      <w:proofErr w:type="spellStart"/>
      <w:r w:rsidR="008A135B" w:rsidRPr="00CC7AEF">
        <w:rPr>
          <w:sz w:val="22"/>
          <w:shd w:val="clear" w:color="auto" w:fill="FFFFFF"/>
        </w:rPr>
        <w:t>финансијским</w:t>
      </w:r>
      <w:proofErr w:type="spellEnd"/>
      <w:r w:rsidR="008A135B" w:rsidRPr="00CC7AEF">
        <w:rPr>
          <w:sz w:val="22"/>
          <w:shd w:val="clear" w:color="auto" w:fill="FFFFFF"/>
        </w:rPr>
        <w:t xml:space="preserve"> </w:t>
      </w:r>
      <w:proofErr w:type="spellStart"/>
      <w:r w:rsidR="008A135B" w:rsidRPr="00CC7AEF">
        <w:rPr>
          <w:sz w:val="22"/>
          <w:shd w:val="clear" w:color="auto" w:fill="FFFFFF"/>
        </w:rPr>
        <w:t>тржиштима</w:t>
      </w:r>
      <w:proofErr w:type="spellEnd"/>
      <w:r w:rsidR="008A135B" w:rsidRPr="00CC7AEF">
        <w:rPr>
          <w:sz w:val="22"/>
          <w:shd w:val="clear" w:color="auto" w:fill="FFFFFF"/>
        </w:rPr>
        <w:t xml:space="preserve"> </w:t>
      </w:r>
      <w:proofErr w:type="spellStart"/>
      <w:r w:rsidR="008A135B" w:rsidRPr="00CC7AEF">
        <w:rPr>
          <w:sz w:val="22"/>
          <w:shd w:val="clear" w:color="auto" w:fill="FFFFFF"/>
        </w:rPr>
        <w:t>не</w:t>
      </w:r>
      <w:proofErr w:type="spellEnd"/>
      <w:r w:rsidR="008A135B" w:rsidRPr="00CC7AEF">
        <w:rPr>
          <w:sz w:val="22"/>
          <w:shd w:val="clear" w:color="auto" w:fill="FFFFFF"/>
        </w:rPr>
        <w:t xml:space="preserve"> </w:t>
      </w:r>
      <w:proofErr w:type="spellStart"/>
      <w:r w:rsidR="008A135B" w:rsidRPr="00CC7AEF">
        <w:rPr>
          <w:sz w:val="22"/>
          <w:shd w:val="clear" w:color="auto" w:fill="FFFFFF"/>
        </w:rPr>
        <w:t>буду</w:t>
      </w:r>
      <w:proofErr w:type="spellEnd"/>
      <w:r w:rsidR="008A135B" w:rsidRPr="00CC7AEF">
        <w:rPr>
          <w:sz w:val="22"/>
          <w:shd w:val="clear" w:color="auto" w:fill="FFFFFF"/>
        </w:rPr>
        <w:t xml:space="preserve"> </w:t>
      </w:r>
      <w:proofErr w:type="spellStart"/>
      <w:r w:rsidR="008A135B" w:rsidRPr="00CC7AEF">
        <w:rPr>
          <w:sz w:val="22"/>
          <w:shd w:val="clear" w:color="auto" w:fill="FFFFFF"/>
        </w:rPr>
        <w:t>дуготрајни</w:t>
      </w:r>
      <w:proofErr w:type="spellEnd"/>
      <w:r w:rsidR="004B73D9" w:rsidRPr="00CC7AEF">
        <w:rPr>
          <w:sz w:val="22"/>
          <w:shd w:val="clear" w:color="auto" w:fill="FFFFFF"/>
          <w:lang w:val="sr-Cyrl-RS"/>
        </w:rPr>
        <w:t xml:space="preserve">), </w:t>
      </w:r>
      <w:r w:rsidR="008A135B" w:rsidRPr="00CC7AEF">
        <w:rPr>
          <w:sz w:val="22"/>
          <w:shd w:val="clear" w:color="auto" w:fill="FFFFFF"/>
        </w:rPr>
        <w:t xml:space="preserve"> </w:t>
      </w:r>
      <w:proofErr w:type="spellStart"/>
      <w:r w:rsidR="004B73D9" w:rsidRPr="00CC7AEF">
        <w:rPr>
          <w:sz w:val="22"/>
          <w:shd w:val="clear" w:color="auto" w:fill="FFFFFF"/>
        </w:rPr>
        <w:t>прогнозира</w:t>
      </w:r>
      <w:proofErr w:type="spellEnd"/>
      <w:r w:rsidR="004B73D9" w:rsidRPr="00CC7AEF">
        <w:rPr>
          <w:sz w:val="22"/>
          <w:shd w:val="clear" w:color="auto" w:fill="FFFFFF"/>
        </w:rPr>
        <w:t xml:space="preserve"> </w:t>
      </w:r>
      <w:proofErr w:type="spellStart"/>
      <w:r w:rsidR="004B73D9" w:rsidRPr="00CC7AEF">
        <w:rPr>
          <w:sz w:val="22"/>
          <w:shd w:val="clear" w:color="auto" w:fill="FFFFFF"/>
        </w:rPr>
        <w:t>се</w:t>
      </w:r>
      <w:proofErr w:type="spellEnd"/>
      <w:r w:rsidR="004B73D9" w:rsidRPr="00CC7AEF">
        <w:rPr>
          <w:sz w:val="22"/>
          <w:shd w:val="clear" w:color="auto" w:fill="FFFFFF"/>
        </w:rPr>
        <w:t xml:space="preserve"> </w:t>
      </w:r>
      <w:proofErr w:type="spellStart"/>
      <w:r w:rsidR="004B73D9" w:rsidRPr="00CC7AEF">
        <w:rPr>
          <w:sz w:val="22"/>
          <w:shd w:val="clear" w:color="auto" w:fill="FFFFFF"/>
        </w:rPr>
        <w:t>глобални</w:t>
      </w:r>
      <w:proofErr w:type="spellEnd"/>
      <w:r w:rsidR="004B73D9" w:rsidRPr="00CC7AEF">
        <w:rPr>
          <w:sz w:val="22"/>
          <w:shd w:val="clear" w:color="auto" w:fill="FFFFFF"/>
        </w:rPr>
        <w:t xml:space="preserve"> </w:t>
      </w:r>
      <w:proofErr w:type="spellStart"/>
      <w:r w:rsidR="004B73D9" w:rsidRPr="00CC7AEF">
        <w:rPr>
          <w:sz w:val="22"/>
          <w:shd w:val="clear" w:color="auto" w:fill="FFFFFF"/>
        </w:rPr>
        <w:t>раст</w:t>
      </w:r>
      <w:proofErr w:type="spellEnd"/>
      <w:r w:rsidR="004B73D9" w:rsidRPr="00CC7AEF">
        <w:rPr>
          <w:sz w:val="22"/>
          <w:shd w:val="clear" w:color="auto" w:fill="FFFFFF"/>
        </w:rPr>
        <w:t xml:space="preserve"> </w:t>
      </w:r>
      <w:proofErr w:type="spellStart"/>
      <w:r w:rsidR="004B73D9" w:rsidRPr="00CC7AEF">
        <w:rPr>
          <w:sz w:val="22"/>
          <w:shd w:val="clear" w:color="auto" w:fill="FFFFFF"/>
        </w:rPr>
        <w:t>од</w:t>
      </w:r>
      <w:proofErr w:type="spellEnd"/>
      <w:r w:rsidR="004B73D9" w:rsidRPr="00CC7AEF">
        <w:rPr>
          <w:sz w:val="22"/>
          <w:shd w:val="clear" w:color="auto" w:fill="FFFFFF"/>
        </w:rPr>
        <w:t xml:space="preserve"> </w:t>
      </w:r>
      <w:r w:rsidR="008A135B" w:rsidRPr="00CC7AEF">
        <w:rPr>
          <w:sz w:val="22"/>
          <w:shd w:val="clear" w:color="auto" w:fill="FFFFFF"/>
        </w:rPr>
        <w:t xml:space="preserve"> </w:t>
      </w:r>
      <w:r w:rsidR="004B73D9" w:rsidRPr="00CC7AEF">
        <w:rPr>
          <w:sz w:val="22"/>
          <w:shd w:val="clear" w:color="auto" w:fill="FFFFFF"/>
        </w:rPr>
        <w:t xml:space="preserve">4,2% у 2021. </w:t>
      </w:r>
      <w:proofErr w:type="spellStart"/>
      <w:r w:rsidR="004B73D9" w:rsidRPr="00CC7AEF">
        <w:rPr>
          <w:sz w:val="22"/>
          <w:shd w:val="clear" w:color="auto" w:fill="FFFFFF"/>
        </w:rPr>
        <w:t>години</w:t>
      </w:r>
      <w:proofErr w:type="spellEnd"/>
      <w:r w:rsidR="004B73D9" w:rsidRPr="00CC7AEF">
        <w:rPr>
          <w:sz w:val="22"/>
          <w:shd w:val="clear" w:color="auto" w:fill="FFFFFF"/>
        </w:rPr>
        <w:t xml:space="preserve">, </w:t>
      </w:r>
      <w:proofErr w:type="spellStart"/>
      <w:r w:rsidR="004B73D9" w:rsidRPr="00CC7AEF">
        <w:rPr>
          <w:sz w:val="22"/>
          <w:shd w:val="clear" w:color="auto" w:fill="FFFFFF"/>
        </w:rPr>
        <w:t>односно</w:t>
      </w:r>
      <w:proofErr w:type="spellEnd"/>
      <w:r w:rsidR="004B73D9" w:rsidRPr="00CC7AEF">
        <w:rPr>
          <w:sz w:val="22"/>
          <w:shd w:val="clear" w:color="auto" w:fill="FFFFFF"/>
        </w:rPr>
        <w:t xml:space="preserve"> </w:t>
      </w:r>
      <w:r w:rsidR="008A135B" w:rsidRPr="00CC7AEF">
        <w:rPr>
          <w:sz w:val="22"/>
          <w:shd w:val="clear" w:color="auto" w:fill="FFFFFF"/>
        </w:rPr>
        <w:t xml:space="preserve">3,9% </w:t>
      </w:r>
      <w:proofErr w:type="spellStart"/>
      <w:r w:rsidR="008A135B" w:rsidRPr="00CC7AEF">
        <w:rPr>
          <w:sz w:val="22"/>
          <w:shd w:val="clear" w:color="auto" w:fill="FFFFFF"/>
        </w:rPr>
        <w:t>за</w:t>
      </w:r>
      <w:proofErr w:type="spellEnd"/>
      <w:r w:rsidR="008A135B" w:rsidRPr="00CC7AEF">
        <w:rPr>
          <w:sz w:val="22"/>
          <w:shd w:val="clear" w:color="auto" w:fill="FFFFFF"/>
        </w:rPr>
        <w:t xml:space="preserve"> </w:t>
      </w:r>
      <w:proofErr w:type="spellStart"/>
      <w:r w:rsidR="008A135B" w:rsidRPr="00CC7AEF">
        <w:rPr>
          <w:sz w:val="22"/>
          <w:shd w:val="clear" w:color="auto" w:fill="FFFFFF"/>
        </w:rPr>
        <w:t>напредне</w:t>
      </w:r>
      <w:proofErr w:type="spellEnd"/>
      <w:r w:rsidR="008A135B" w:rsidRPr="00CC7AEF">
        <w:rPr>
          <w:sz w:val="22"/>
          <w:shd w:val="clear" w:color="auto" w:fill="FFFFFF"/>
        </w:rPr>
        <w:t xml:space="preserve"> </w:t>
      </w:r>
      <w:proofErr w:type="spellStart"/>
      <w:r w:rsidR="008A135B" w:rsidRPr="00CC7AEF">
        <w:rPr>
          <w:sz w:val="22"/>
          <w:shd w:val="clear" w:color="auto" w:fill="FFFFFF"/>
        </w:rPr>
        <w:t>економије</w:t>
      </w:r>
      <w:proofErr w:type="spellEnd"/>
      <w:r w:rsidR="008A135B" w:rsidRPr="00CC7AEF">
        <w:rPr>
          <w:sz w:val="22"/>
          <w:shd w:val="clear" w:color="auto" w:fill="FFFFFF"/>
        </w:rPr>
        <w:t xml:space="preserve"> и 4,6% </w:t>
      </w:r>
      <w:proofErr w:type="spellStart"/>
      <w:r w:rsidR="008A135B" w:rsidRPr="00CC7AEF">
        <w:rPr>
          <w:sz w:val="22"/>
          <w:shd w:val="clear" w:color="auto" w:fill="FFFFFF"/>
        </w:rPr>
        <w:t>за</w:t>
      </w:r>
      <w:proofErr w:type="spellEnd"/>
      <w:r w:rsidR="008A135B" w:rsidRPr="00CC7AEF">
        <w:rPr>
          <w:sz w:val="22"/>
          <w:shd w:val="clear" w:color="auto" w:fill="FFFFFF"/>
        </w:rPr>
        <w:t xml:space="preserve"> </w:t>
      </w:r>
      <w:proofErr w:type="spellStart"/>
      <w:r w:rsidR="008A135B" w:rsidRPr="00CC7AEF">
        <w:rPr>
          <w:sz w:val="22"/>
          <w:shd w:val="clear" w:color="auto" w:fill="FFFFFF"/>
        </w:rPr>
        <w:t>нова</w:t>
      </w:r>
      <w:proofErr w:type="spellEnd"/>
      <w:r w:rsidR="008A135B" w:rsidRPr="00CC7AEF">
        <w:rPr>
          <w:sz w:val="22"/>
          <w:shd w:val="clear" w:color="auto" w:fill="FFFFFF"/>
        </w:rPr>
        <w:t xml:space="preserve"> </w:t>
      </w:r>
      <w:proofErr w:type="spellStart"/>
      <w:r w:rsidR="008A135B" w:rsidRPr="00CC7AEF">
        <w:rPr>
          <w:sz w:val="22"/>
          <w:shd w:val="clear" w:color="auto" w:fill="FFFFFF"/>
        </w:rPr>
        <w:t>тржишта</w:t>
      </w:r>
      <w:proofErr w:type="spellEnd"/>
      <w:r w:rsidR="008A135B" w:rsidRPr="00CC7AEF">
        <w:rPr>
          <w:sz w:val="22"/>
          <w:shd w:val="clear" w:color="auto" w:fill="FFFFFF"/>
        </w:rPr>
        <w:t xml:space="preserve"> и </w:t>
      </w:r>
      <w:proofErr w:type="spellStart"/>
      <w:r w:rsidR="008A135B" w:rsidRPr="00CC7AEF">
        <w:rPr>
          <w:sz w:val="22"/>
          <w:shd w:val="clear" w:color="auto" w:fill="FFFFFF"/>
        </w:rPr>
        <w:t>екон</w:t>
      </w:r>
      <w:r w:rsidR="004B73D9" w:rsidRPr="00CC7AEF">
        <w:rPr>
          <w:sz w:val="22"/>
          <w:shd w:val="clear" w:color="auto" w:fill="FFFFFF"/>
        </w:rPr>
        <w:t>омије</w:t>
      </w:r>
      <w:proofErr w:type="spellEnd"/>
      <w:r w:rsidR="004B73D9" w:rsidRPr="00CC7AEF">
        <w:rPr>
          <w:sz w:val="22"/>
          <w:shd w:val="clear" w:color="auto" w:fill="FFFFFF"/>
        </w:rPr>
        <w:t xml:space="preserve"> у </w:t>
      </w:r>
      <w:proofErr w:type="spellStart"/>
      <w:r w:rsidR="004B73D9" w:rsidRPr="00CC7AEF">
        <w:rPr>
          <w:sz w:val="22"/>
          <w:shd w:val="clear" w:color="auto" w:fill="FFFFFF"/>
        </w:rPr>
        <w:t>развоју</w:t>
      </w:r>
      <w:proofErr w:type="spellEnd"/>
      <w:r w:rsidR="004B73D9" w:rsidRPr="00CC7AEF">
        <w:rPr>
          <w:sz w:val="22"/>
          <w:shd w:val="clear" w:color="auto" w:fill="FFFFFF"/>
        </w:rPr>
        <w:t xml:space="preserve">. </w:t>
      </w:r>
      <w:proofErr w:type="spellStart"/>
      <w:r w:rsidR="00E07FE7" w:rsidRPr="00CC7AEF">
        <w:rPr>
          <w:sz w:val="22"/>
          <w:shd w:val="clear" w:color="auto" w:fill="FFFFFF"/>
        </w:rPr>
        <w:t>Песимистички</w:t>
      </w:r>
      <w:proofErr w:type="spellEnd"/>
      <w:r w:rsidR="009F0489">
        <w:rPr>
          <w:sz w:val="22"/>
          <w:shd w:val="clear" w:color="auto" w:fill="FFFFFF"/>
        </w:rPr>
        <w:t xml:space="preserve"> </w:t>
      </w:r>
      <w:proofErr w:type="spellStart"/>
      <w:r w:rsidR="009F0489">
        <w:rPr>
          <w:sz w:val="22"/>
          <w:shd w:val="clear" w:color="auto" w:fill="FFFFFF"/>
        </w:rPr>
        <w:t>сценарио</w:t>
      </w:r>
      <w:proofErr w:type="spellEnd"/>
      <w:r w:rsidR="009F0489">
        <w:rPr>
          <w:sz w:val="22"/>
          <w:shd w:val="clear" w:color="auto" w:fill="FFFFFF"/>
        </w:rPr>
        <w:t xml:space="preserve"> </w:t>
      </w:r>
      <w:proofErr w:type="spellStart"/>
      <w:r w:rsidR="009F0489">
        <w:rPr>
          <w:sz w:val="22"/>
          <w:shd w:val="clear" w:color="auto" w:fill="FFFFFF"/>
        </w:rPr>
        <w:t>предвиђа</w:t>
      </w:r>
      <w:proofErr w:type="spellEnd"/>
      <w:r w:rsidR="009F0489">
        <w:rPr>
          <w:sz w:val="22"/>
          <w:shd w:val="clear" w:color="auto" w:fill="FFFFFF"/>
        </w:rPr>
        <w:t xml:space="preserve"> </w:t>
      </w:r>
      <w:proofErr w:type="spellStart"/>
      <w:r w:rsidR="004B73D9" w:rsidRPr="00CC7AEF">
        <w:rPr>
          <w:sz w:val="22"/>
          <w:shd w:val="clear" w:color="auto" w:fill="FFFFFF"/>
        </w:rPr>
        <w:t>пад</w:t>
      </w:r>
      <w:proofErr w:type="spellEnd"/>
      <w:r w:rsidR="008A135B" w:rsidRPr="00CC7AEF">
        <w:rPr>
          <w:sz w:val="22"/>
          <w:shd w:val="clear" w:color="auto" w:fill="FFFFFF"/>
        </w:rPr>
        <w:t xml:space="preserve"> </w:t>
      </w:r>
      <w:proofErr w:type="spellStart"/>
      <w:r w:rsidR="008A135B" w:rsidRPr="00CC7AEF">
        <w:rPr>
          <w:sz w:val="22"/>
          <w:shd w:val="clear" w:color="auto" w:fill="FFFFFF"/>
        </w:rPr>
        <w:t>глобалне</w:t>
      </w:r>
      <w:proofErr w:type="spellEnd"/>
      <w:r w:rsidR="008A135B" w:rsidRPr="00CC7AEF">
        <w:rPr>
          <w:sz w:val="22"/>
          <w:shd w:val="clear" w:color="auto" w:fill="FFFFFF"/>
        </w:rPr>
        <w:t xml:space="preserve"> </w:t>
      </w:r>
      <w:proofErr w:type="spellStart"/>
      <w:r w:rsidR="008A135B" w:rsidRPr="00CC7AEF">
        <w:rPr>
          <w:sz w:val="22"/>
          <w:shd w:val="clear" w:color="auto" w:fill="FFFFFF"/>
        </w:rPr>
        <w:t>економије</w:t>
      </w:r>
      <w:proofErr w:type="spellEnd"/>
      <w:r w:rsidR="008A135B" w:rsidRPr="00CC7AEF">
        <w:rPr>
          <w:sz w:val="22"/>
          <w:shd w:val="clear" w:color="auto" w:fill="FFFFFF"/>
        </w:rPr>
        <w:t xml:space="preserve"> </w:t>
      </w:r>
      <w:proofErr w:type="spellStart"/>
      <w:r w:rsidR="008A135B" w:rsidRPr="00CC7AEF">
        <w:rPr>
          <w:sz w:val="22"/>
          <w:shd w:val="clear" w:color="auto" w:fill="FFFFFF"/>
        </w:rPr>
        <w:t>за</w:t>
      </w:r>
      <w:proofErr w:type="spellEnd"/>
      <w:r w:rsidR="008A135B" w:rsidRPr="00CC7AEF">
        <w:rPr>
          <w:sz w:val="22"/>
          <w:shd w:val="clear" w:color="auto" w:fill="FFFFFF"/>
        </w:rPr>
        <w:t xml:space="preserve"> </w:t>
      </w:r>
      <w:proofErr w:type="spellStart"/>
      <w:r w:rsidR="008A135B" w:rsidRPr="00CC7AEF">
        <w:rPr>
          <w:sz w:val="22"/>
          <w:shd w:val="clear" w:color="auto" w:fill="FFFFFF"/>
        </w:rPr>
        <w:t>чак</w:t>
      </w:r>
      <w:proofErr w:type="spellEnd"/>
      <w:r w:rsidR="008A135B" w:rsidRPr="00CC7AEF">
        <w:rPr>
          <w:sz w:val="22"/>
          <w:shd w:val="clear" w:color="auto" w:fill="FFFFFF"/>
        </w:rPr>
        <w:t xml:space="preserve"> </w:t>
      </w:r>
      <w:r w:rsidR="005E2408" w:rsidRPr="00CC7AEF">
        <w:rPr>
          <w:sz w:val="22"/>
          <w:shd w:val="clear" w:color="auto" w:fill="FFFFFF"/>
        </w:rPr>
        <w:t>8%</w:t>
      </w:r>
      <w:r w:rsidR="008A135B" w:rsidRPr="00CC7AEF">
        <w:rPr>
          <w:sz w:val="22"/>
          <w:shd w:val="clear" w:color="auto" w:fill="FFFFFF"/>
        </w:rPr>
        <w:t xml:space="preserve"> </w:t>
      </w:r>
      <w:proofErr w:type="spellStart"/>
      <w:r w:rsidR="008A135B" w:rsidRPr="00CC7AEF">
        <w:rPr>
          <w:sz w:val="22"/>
          <w:shd w:val="clear" w:color="auto" w:fill="FFFFFF"/>
        </w:rPr>
        <w:t>ове</w:t>
      </w:r>
      <w:proofErr w:type="spellEnd"/>
      <w:r w:rsidR="008A135B" w:rsidRPr="00CC7AEF">
        <w:rPr>
          <w:sz w:val="22"/>
          <w:shd w:val="clear" w:color="auto" w:fill="FFFFFF"/>
        </w:rPr>
        <w:t xml:space="preserve"> </w:t>
      </w:r>
      <w:proofErr w:type="spellStart"/>
      <w:r w:rsidR="008A135B" w:rsidRPr="00CC7AEF">
        <w:rPr>
          <w:sz w:val="22"/>
          <w:shd w:val="clear" w:color="auto" w:fill="FFFFFF"/>
        </w:rPr>
        <w:t>године</w:t>
      </w:r>
      <w:proofErr w:type="spellEnd"/>
      <w:r w:rsidR="008A135B" w:rsidRPr="00CC7AEF">
        <w:rPr>
          <w:sz w:val="22"/>
          <w:shd w:val="clear" w:color="auto" w:fill="FFFFFF"/>
        </w:rPr>
        <w:t xml:space="preserve">, </w:t>
      </w:r>
      <w:proofErr w:type="spellStart"/>
      <w:r w:rsidR="008A135B" w:rsidRPr="00CC7AEF">
        <w:rPr>
          <w:sz w:val="22"/>
          <w:shd w:val="clear" w:color="auto" w:fill="FFFFFF"/>
        </w:rPr>
        <w:t>након</w:t>
      </w:r>
      <w:proofErr w:type="spellEnd"/>
      <w:r w:rsidR="008A135B" w:rsidRPr="00CC7AEF">
        <w:rPr>
          <w:sz w:val="22"/>
          <w:shd w:val="clear" w:color="auto" w:fill="FFFFFF"/>
        </w:rPr>
        <w:t xml:space="preserve"> </w:t>
      </w:r>
      <w:proofErr w:type="spellStart"/>
      <w:r w:rsidR="008A135B" w:rsidRPr="00CC7AEF">
        <w:rPr>
          <w:sz w:val="22"/>
          <w:shd w:val="clear" w:color="auto" w:fill="FFFFFF"/>
        </w:rPr>
        <w:t>чега</w:t>
      </w:r>
      <w:proofErr w:type="spellEnd"/>
      <w:r w:rsidR="008A135B" w:rsidRPr="00CC7AEF">
        <w:rPr>
          <w:sz w:val="22"/>
          <w:shd w:val="clear" w:color="auto" w:fill="FFFFFF"/>
        </w:rPr>
        <w:t xml:space="preserve"> </w:t>
      </w:r>
      <w:proofErr w:type="spellStart"/>
      <w:r w:rsidR="008A135B" w:rsidRPr="00CC7AEF">
        <w:rPr>
          <w:sz w:val="22"/>
          <w:shd w:val="clear" w:color="auto" w:fill="FFFFFF"/>
        </w:rPr>
        <w:t>би</w:t>
      </w:r>
      <w:proofErr w:type="spellEnd"/>
      <w:r w:rsidR="008A135B" w:rsidRPr="00CC7AEF">
        <w:rPr>
          <w:sz w:val="22"/>
          <w:shd w:val="clear" w:color="auto" w:fill="FFFFFF"/>
        </w:rPr>
        <w:t xml:space="preserve"> </w:t>
      </w:r>
      <w:proofErr w:type="spellStart"/>
      <w:r w:rsidR="008A135B" w:rsidRPr="00CC7AEF">
        <w:rPr>
          <w:sz w:val="22"/>
          <w:shd w:val="clear" w:color="auto" w:fill="FFFFFF"/>
        </w:rPr>
        <w:t>услиједио</w:t>
      </w:r>
      <w:proofErr w:type="spellEnd"/>
      <w:r w:rsidR="008A135B" w:rsidRPr="00CC7AEF">
        <w:rPr>
          <w:sz w:val="22"/>
          <w:shd w:val="clear" w:color="auto" w:fill="FFFFFF"/>
        </w:rPr>
        <w:t xml:space="preserve"> </w:t>
      </w:r>
      <w:r w:rsidR="004B73D9" w:rsidRPr="00CC7AEF">
        <w:rPr>
          <w:sz w:val="22"/>
          <w:shd w:val="clear" w:color="auto" w:fill="FFFFFF"/>
          <w:lang w:val="sr-Cyrl-RS"/>
        </w:rPr>
        <w:t xml:space="preserve">постепени </w:t>
      </w:r>
      <w:proofErr w:type="spellStart"/>
      <w:r w:rsidR="008A135B" w:rsidRPr="00CC7AEF">
        <w:rPr>
          <w:sz w:val="22"/>
          <w:shd w:val="clear" w:color="auto" w:fill="FFFFFF"/>
        </w:rPr>
        <w:t>опор</w:t>
      </w:r>
      <w:r w:rsidR="004B73D9" w:rsidRPr="00CC7AEF">
        <w:rPr>
          <w:sz w:val="22"/>
          <w:shd w:val="clear" w:color="auto" w:fill="FFFFFF"/>
        </w:rPr>
        <w:t>авак</w:t>
      </w:r>
      <w:proofErr w:type="spellEnd"/>
      <w:r w:rsidR="004B73D9" w:rsidRPr="00CC7AEF">
        <w:rPr>
          <w:sz w:val="22"/>
          <w:shd w:val="clear" w:color="auto" w:fill="FFFFFF"/>
        </w:rPr>
        <w:t xml:space="preserve"> у 2021. </w:t>
      </w:r>
      <w:proofErr w:type="spellStart"/>
      <w:r w:rsidR="004B73D9" w:rsidRPr="00CC7AEF">
        <w:rPr>
          <w:sz w:val="22"/>
          <w:shd w:val="clear" w:color="auto" w:fill="FFFFFF"/>
        </w:rPr>
        <w:t>години</w:t>
      </w:r>
      <w:proofErr w:type="spellEnd"/>
      <w:r w:rsidR="004B73D9" w:rsidRPr="00CC7AEF">
        <w:rPr>
          <w:sz w:val="22"/>
          <w:shd w:val="clear" w:color="auto" w:fill="FFFFFF"/>
        </w:rPr>
        <w:t xml:space="preserve">, </w:t>
      </w:r>
      <w:proofErr w:type="spellStart"/>
      <w:r w:rsidR="004B73D9" w:rsidRPr="00CC7AEF">
        <w:rPr>
          <w:sz w:val="22"/>
          <w:shd w:val="clear" w:color="auto" w:fill="FFFFFF"/>
        </w:rPr>
        <w:t>од</w:t>
      </w:r>
      <w:proofErr w:type="spellEnd"/>
      <w:r w:rsidR="004B73D9" w:rsidRPr="00CC7AEF">
        <w:rPr>
          <w:sz w:val="22"/>
          <w:shd w:val="clear" w:color="auto" w:fill="FFFFFF"/>
        </w:rPr>
        <w:t xml:space="preserve"> </w:t>
      </w:r>
      <w:proofErr w:type="spellStart"/>
      <w:r w:rsidR="004B73D9" w:rsidRPr="00CC7AEF">
        <w:rPr>
          <w:sz w:val="22"/>
          <w:shd w:val="clear" w:color="auto" w:fill="FFFFFF"/>
        </w:rPr>
        <w:t>тек</w:t>
      </w:r>
      <w:proofErr w:type="spellEnd"/>
      <w:r w:rsidR="004B73D9" w:rsidRPr="00CC7AEF">
        <w:rPr>
          <w:sz w:val="22"/>
          <w:shd w:val="clear" w:color="auto" w:fill="FFFFFF"/>
        </w:rPr>
        <w:t xml:space="preserve"> </w:t>
      </w:r>
      <w:r w:rsidR="008A135B" w:rsidRPr="00CC7AEF">
        <w:rPr>
          <w:sz w:val="22"/>
          <w:shd w:val="clear" w:color="auto" w:fill="FFFFFF"/>
        </w:rPr>
        <w:t>1%</w:t>
      </w:r>
      <w:r w:rsidRPr="00CC7AEF">
        <w:rPr>
          <w:sz w:val="22"/>
          <w:shd w:val="clear" w:color="auto" w:fill="FFFFFF"/>
          <w:lang w:val="sr-Cyrl-RS"/>
        </w:rPr>
        <w:t xml:space="preserve">. </w:t>
      </w:r>
      <w:r w:rsidR="008A135B" w:rsidRPr="00CC7AEF">
        <w:rPr>
          <w:sz w:val="22"/>
          <w:shd w:val="clear" w:color="auto" w:fill="FFFFFF"/>
        </w:rPr>
        <w:t xml:space="preserve"> </w:t>
      </w:r>
      <w:proofErr w:type="spellStart"/>
      <w:r w:rsidRPr="00CC7AEF">
        <w:rPr>
          <w:sz w:val="22"/>
          <w:shd w:val="clear" w:color="auto" w:fill="FFFFFF"/>
        </w:rPr>
        <w:t>Очекује</w:t>
      </w:r>
      <w:proofErr w:type="spellEnd"/>
      <w:r w:rsidRPr="00CC7AEF">
        <w:rPr>
          <w:sz w:val="22"/>
          <w:shd w:val="clear" w:color="auto" w:fill="FFFFFF"/>
        </w:rPr>
        <w:t xml:space="preserve"> </w:t>
      </w:r>
      <w:proofErr w:type="spellStart"/>
      <w:r w:rsidRPr="00CC7AEF">
        <w:rPr>
          <w:sz w:val="22"/>
          <w:shd w:val="clear" w:color="auto" w:fill="FFFFFF"/>
        </w:rPr>
        <w:t>се</w:t>
      </w:r>
      <w:proofErr w:type="spellEnd"/>
      <w:r w:rsidRPr="00CC7AEF">
        <w:rPr>
          <w:sz w:val="22"/>
          <w:shd w:val="clear" w:color="auto" w:fill="FFFFFF"/>
        </w:rPr>
        <w:t xml:space="preserve"> </w:t>
      </w:r>
      <w:proofErr w:type="spellStart"/>
      <w:r w:rsidRPr="00CC7AEF">
        <w:rPr>
          <w:sz w:val="22"/>
          <w:shd w:val="clear" w:color="auto" w:fill="FFFFFF"/>
        </w:rPr>
        <w:t>пад</w:t>
      </w:r>
      <w:proofErr w:type="spellEnd"/>
      <w:r w:rsidRPr="00CC7AEF">
        <w:rPr>
          <w:sz w:val="22"/>
          <w:shd w:val="clear" w:color="auto" w:fill="FFFFFF"/>
        </w:rPr>
        <w:t xml:space="preserve"> </w:t>
      </w:r>
      <w:proofErr w:type="spellStart"/>
      <w:r w:rsidRPr="00CC7AEF">
        <w:rPr>
          <w:sz w:val="22"/>
          <w:shd w:val="clear" w:color="auto" w:fill="FFFFFF"/>
        </w:rPr>
        <w:t>п</w:t>
      </w:r>
      <w:r w:rsidR="00670B01" w:rsidRPr="00CC7AEF">
        <w:rPr>
          <w:sz w:val="22"/>
          <w:shd w:val="clear" w:color="auto" w:fill="FFFFFF"/>
        </w:rPr>
        <w:t>роизводње</w:t>
      </w:r>
      <w:proofErr w:type="spellEnd"/>
      <w:r w:rsidR="00670B01" w:rsidRPr="00CC7AEF">
        <w:rPr>
          <w:sz w:val="22"/>
          <w:shd w:val="clear" w:color="auto" w:fill="FFFFFF"/>
        </w:rPr>
        <w:t xml:space="preserve"> у </w:t>
      </w:r>
      <w:proofErr w:type="spellStart"/>
      <w:r w:rsidR="00670B01" w:rsidRPr="00CC7AEF">
        <w:rPr>
          <w:sz w:val="22"/>
          <w:shd w:val="clear" w:color="auto" w:fill="FFFFFF"/>
        </w:rPr>
        <w:t>еуро-подручју</w:t>
      </w:r>
      <w:proofErr w:type="spellEnd"/>
      <w:r w:rsidR="00670B01" w:rsidRPr="00CC7AEF">
        <w:rPr>
          <w:sz w:val="22"/>
          <w:shd w:val="clear" w:color="auto" w:fill="FFFFFF"/>
        </w:rPr>
        <w:t xml:space="preserve"> </w:t>
      </w:r>
      <w:proofErr w:type="spellStart"/>
      <w:r w:rsidR="00670B01" w:rsidRPr="00CC7AEF">
        <w:rPr>
          <w:sz w:val="22"/>
          <w:shd w:val="clear" w:color="auto" w:fill="FFFFFF"/>
        </w:rPr>
        <w:t>за</w:t>
      </w:r>
      <w:proofErr w:type="spellEnd"/>
      <w:r w:rsidR="00670B01" w:rsidRPr="00CC7AEF">
        <w:rPr>
          <w:sz w:val="22"/>
          <w:shd w:val="clear" w:color="auto" w:fill="FFFFFF"/>
        </w:rPr>
        <w:t xml:space="preserve"> 9</w:t>
      </w:r>
      <w:r w:rsidRPr="00CC7AEF">
        <w:rPr>
          <w:sz w:val="22"/>
          <w:shd w:val="clear" w:color="auto" w:fill="FFFFFF"/>
        </w:rPr>
        <w:t xml:space="preserve">% у 2020. </w:t>
      </w:r>
      <w:proofErr w:type="spellStart"/>
      <w:r w:rsidRPr="00CC7AEF">
        <w:rPr>
          <w:sz w:val="22"/>
          <w:shd w:val="clear" w:color="auto" w:fill="FFFFFF"/>
        </w:rPr>
        <w:t>години</w:t>
      </w:r>
      <w:proofErr w:type="spellEnd"/>
      <w:r w:rsidRPr="00CC7AEF">
        <w:rPr>
          <w:sz w:val="22"/>
          <w:shd w:val="clear" w:color="auto" w:fill="FFFFFF"/>
        </w:rPr>
        <w:t xml:space="preserve">, </w:t>
      </w:r>
      <w:proofErr w:type="spellStart"/>
      <w:r w:rsidR="008A135B" w:rsidRPr="00CC7AEF">
        <w:rPr>
          <w:sz w:val="22"/>
          <w:shd w:val="clear" w:color="auto" w:fill="FFFFFF"/>
        </w:rPr>
        <w:t>са</w:t>
      </w:r>
      <w:proofErr w:type="spellEnd"/>
      <w:r w:rsidR="008A135B" w:rsidRPr="00CC7AEF">
        <w:rPr>
          <w:sz w:val="22"/>
          <w:shd w:val="clear" w:color="auto" w:fill="FFFFFF"/>
        </w:rPr>
        <w:t xml:space="preserve"> </w:t>
      </w:r>
      <w:proofErr w:type="spellStart"/>
      <w:r w:rsidR="008A135B" w:rsidRPr="00CC7AEF">
        <w:rPr>
          <w:sz w:val="22"/>
          <w:shd w:val="clear" w:color="auto" w:fill="FFFFFF"/>
        </w:rPr>
        <w:t>смањењем</w:t>
      </w:r>
      <w:proofErr w:type="spellEnd"/>
      <w:r w:rsidR="008A135B" w:rsidRPr="00CC7AEF">
        <w:rPr>
          <w:sz w:val="22"/>
          <w:shd w:val="clear" w:color="auto" w:fill="FFFFFF"/>
        </w:rPr>
        <w:t xml:space="preserve"> </w:t>
      </w:r>
      <w:proofErr w:type="spellStart"/>
      <w:r w:rsidR="008A135B" w:rsidRPr="00CC7AEF">
        <w:rPr>
          <w:sz w:val="22"/>
          <w:shd w:val="clear" w:color="auto" w:fill="FFFFFF"/>
        </w:rPr>
        <w:t>производње</w:t>
      </w:r>
      <w:proofErr w:type="spellEnd"/>
      <w:r w:rsidR="008A135B" w:rsidRPr="00CC7AEF">
        <w:rPr>
          <w:sz w:val="22"/>
          <w:shd w:val="clear" w:color="auto" w:fill="FFFFFF"/>
        </w:rPr>
        <w:t xml:space="preserve"> у </w:t>
      </w:r>
      <w:proofErr w:type="spellStart"/>
      <w:r w:rsidR="008A135B" w:rsidRPr="00CC7AEF">
        <w:rPr>
          <w:sz w:val="22"/>
          <w:shd w:val="clear" w:color="auto" w:fill="FFFFFF"/>
        </w:rPr>
        <w:t>новим</w:t>
      </w:r>
      <w:proofErr w:type="spellEnd"/>
      <w:r w:rsidR="008A135B" w:rsidRPr="00CC7AEF">
        <w:rPr>
          <w:sz w:val="22"/>
          <w:shd w:val="clear" w:color="auto" w:fill="FFFFFF"/>
        </w:rPr>
        <w:t xml:space="preserve"> </w:t>
      </w:r>
      <w:proofErr w:type="spellStart"/>
      <w:r w:rsidR="008A135B" w:rsidRPr="00CC7AEF">
        <w:rPr>
          <w:sz w:val="22"/>
          <w:shd w:val="clear" w:color="auto" w:fill="FFFFFF"/>
        </w:rPr>
        <w:t>тржиштима</w:t>
      </w:r>
      <w:proofErr w:type="spellEnd"/>
      <w:r w:rsidR="008A135B" w:rsidRPr="00CC7AEF">
        <w:rPr>
          <w:sz w:val="22"/>
          <w:shd w:val="clear" w:color="auto" w:fill="FFFFFF"/>
        </w:rPr>
        <w:t xml:space="preserve"> и </w:t>
      </w:r>
      <w:proofErr w:type="spellStart"/>
      <w:r w:rsidR="008A135B" w:rsidRPr="00CC7AEF">
        <w:rPr>
          <w:sz w:val="22"/>
          <w:shd w:val="clear" w:color="auto" w:fill="FFFFFF"/>
        </w:rPr>
        <w:t>економијама</w:t>
      </w:r>
      <w:proofErr w:type="spellEnd"/>
      <w:r w:rsidR="008A135B" w:rsidRPr="00CC7AEF">
        <w:rPr>
          <w:sz w:val="22"/>
          <w:shd w:val="clear" w:color="auto" w:fill="FFFFFF"/>
        </w:rPr>
        <w:t xml:space="preserve"> у </w:t>
      </w:r>
      <w:proofErr w:type="spellStart"/>
      <w:r w:rsidR="008A135B" w:rsidRPr="00CC7AEF">
        <w:rPr>
          <w:sz w:val="22"/>
          <w:shd w:val="clear" w:color="auto" w:fill="FFFFFF"/>
        </w:rPr>
        <w:t>развоју</w:t>
      </w:r>
      <w:proofErr w:type="spellEnd"/>
      <w:r w:rsidR="008A135B" w:rsidRPr="00CC7AEF">
        <w:rPr>
          <w:sz w:val="22"/>
          <w:shd w:val="clear" w:color="auto" w:fill="FFFFFF"/>
        </w:rPr>
        <w:t xml:space="preserve"> </w:t>
      </w:r>
      <w:proofErr w:type="spellStart"/>
      <w:r w:rsidR="008A135B" w:rsidRPr="00CC7AEF">
        <w:rPr>
          <w:sz w:val="22"/>
          <w:shd w:val="clear" w:color="auto" w:fill="FFFFFF"/>
        </w:rPr>
        <w:t>за</w:t>
      </w:r>
      <w:proofErr w:type="spellEnd"/>
      <w:r w:rsidR="008A135B" w:rsidRPr="00CC7AEF">
        <w:rPr>
          <w:sz w:val="22"/>
          <w:shd w:val="clear" w:color="auto" w:fill="FFFFFF"/>
        </w:rPr>
        <w:t xml:space="preserve"> </w:t>
      </w:r>
      <w:proofErr w:type="spellStart"/>
      <w:r w:rsidR="008A135B" w:rsidRPr="00CC7AEF">
        <w:rPr>
          <w:sz w:val="22"/>
          <w:shd w:val="clear" w:color="auto" w:fill="FFFFFF"/>
        </w:rPr>
        <w:t>скоро</w:t>
      </w:r>
      <w:proofErr w:type="spellEnd"/>
      <w:r w:rsidR="008A135B" w:rsidRPr="00CC7AEF">
        <w:rPr>
          <w:sz w:val="22"/>
          <w:shd w:val="clear" w:color="auto" w:fill="FFFFFF"/>
        </w:rPr>
        <w:t xml:space="preserve"> 5% </w:t>
      </w:r>
      <w:proofErr w:type="spellStart"/>
      <w:r w:rsidR="008A135B" w:rsidRPr="00CC7AEF">
        <w:rPr>
          <w:sz w:val="22"/>
          <w:shd w:val="clear" w:color="auto" w:fill="FFFFFF"/>
        </w:rPr>
        <w:t>ове</w:t>
      </w:r>
      <w:proofErr w:type="spellEnd"/>
      <w:r w:rsidR="008A135B" w:rsidRPr="00CC7AEF">
        <w:rPr>
          <w:sz w:val="22"/>
          <w:shd w:val="clear" w:color="auto" w:fill="FFFFFF"/>
        </w:rPr>
        <w:t xml:space="preserve"> </w:t>
      </w:r>
      <w:proofErr w:type="spellStart"/>
      <w:r w:rsidR="008A135B" w:rsidRPr="00CC7AEF">
        <w:rPr>
          <w:sz w:val="22"/>
          <w:shd w:val="clear" w:color="auto" w:fill="FFFFFF"/>
        </w:rPr>
        <w:t>године</w:t>
      </w:r>
      <w:proofErr w:type="spellEnd"/>
      <w:r w:rsidR="008A135B" w:rsidRPr="00CC7AEF">
        <w:rPr>
          <w:sz w:val="22"/>
          <w:shd w:val="clear" w:color="auto" w:fill="FFFFFF"/>
        </w:rPr>
        <w:t xml:space="preserve">. </w:t>
      </w:r>
    </w:p>
    <w:p w14:paraId="05AD855F" w14:textId="77777777" w:rsidR="001D30BA" w:rsidRPr="00CC7AEF" w:rsidRDefault="001D30BA" w:rsidP="008A135B">
      <w:pPr>
        <w:spacing w:line="276" w:lineRule="auto"/>
        <w:ind w:firstLine="709"/>
        <w:jc w:val="both"/>
        <w:rPr>
          <w:sz w:val="22"/>
          <w:shd w:val="clear" w:color="auto" w:fill="FFFFFF"/>
          <w:lang w:val="sr-Cyrl-RS"/>
        </w:rPr>
      </w:pPr>
    </w:p>
    <w:p w14:paraId="6CE2481A" w14:textId="77777777" w:rsidR="001D30BA" w:rsidRPr="00CC7AEF" w:rsidRDefault="00A105E9" w:rsidP="00A105E9">
      <w:pPr>
        <w:spacing w:line="276" w:lineRule="auto"/>
        <w:jc w:val="both"/>
        <w:rPr>
          <w:sz w:val="22"/>
          <w:shd w:val="clear" w:color="auto" w:fill="FFFFFF"/>
          <w:lang w:val="sr-Cyrl-RS"/>
        </w:rPr>
      </w:pPr>
      <w:r w:rsidRPr="00CC7AEF">
        <w:rPr>
          <w:sz w:val="22"/>
          <w:shd w:val="clear" w:color="auto" w:fill="FFFFFF"/>
          <w:lang w:val="sr-Cyrl-RS"/>
        </w:rPr>
        <w:tab/>
        <w:t xml:space="preserve">Може се закључити да су сва </w:t>
      </w:r>
      <w:r w:rsidR="0070450D">
        <w:rPr>
          <w:sz w:val="22"/>
          <w:shd w:val="clear" w:color="auto" w:fill="FFFFFF"/>
          <w:lang w:val="sr-Cyrl-RS"/>
        </w:rPr>
        <w:t xml:space="preserve">претходна </w:t>
      </w:r>
      <w:proofErr w:type="spellStart"/>
      <w:r w:rsidRPr="00CC7AEF">
        <w:rPr>
          <w:sz w:val="22"/>
          <w:shd w:val="clear" w:color="auto" w:fill="FFFFFF"/>
          <w:lang w:val="sr-Cyrl-RS"/>
        </w:rPr>
        <w:t>предвиђења</w:t>
      </w:r>
      <w:proofErr w:type="spellEnd"/>
      <w:r w:rsidRPr="00CC7AEF">
        <w:rPr>
          <w:sz w:val="22"/>
          <w:shd w:val="clear" w:color="auto" w:fill="FFFFFF"/>
          <w:lang w:val="sr-Cyrl-RS"/>
        </w:rPr>
        <w:t xml:space="preserve"> </w:t>
      </w:r>
      <w:r w:rsidR="0070450D">
        <w:rPr>
          <w:sz w:val="22"/>
          <w:shd w:val="clear" w:color="auto" w:fill="FFFFFF"/>
          <w:lang w:val="sr-Cyrl-RS"/>
        </w:rPr>
        <w:t>ових институција</w:t>
      </w:r>
      <w:r w:rsidRPr="00CC7AEF">
        <w:rPr>
          <w:sz w:val="22"/>
          <w:shd w:val="clear" w:color="auto" w:fill="FFFFFF"/>
          <w:lang w:val="sr-Cyrl-RS"/>
        </w:rPr>
        <w:t xml:space="preserve"> врло </w:t>
      </w:r>
      <w:r w:rsidR="00BE2EE1" w:rsidRPr="00CC7AEF">
        <w:rPr>
          <w:sz w:val="22"/>
          <w:shd w:val="clear" w:color="auto" w:fill="FFFFFF"/>
          <w:lang w:val="sr-Cyrl-RS"/>
        </w:rPr>
        <w:t>песимистична</w:t>
      </w:r>
      <w:r w:rsidR="0070450D">
        <w:rPr>
          <w:sz w:val="22"/>
          <w:shd w:val="clear" w:color="auto" w:fill="FFFFFF"/>
          <w:lang w:val="sr-Cyrl-RS"/>
        </w:rPr>
        <w:t>,</w:t>
      </w:r>
      <w:r w:rsidR="00BE2EE1" w:rsidRPr="00CC7AEF">
        <w:rPr>
          <w:sz w:val="22"/>
          <w:shd w:val="clear" w:color="auto" w:fill="FFFFFF"/>
          <w:lang w:val="sr-Cyrl-RS"/>
        </w:rPr>
        <w:t xml:space="preserve"> али и </w:t>
      </w:r>
      <w:proofErr w:type="spellStart"/>
      <w:r w:rsidR="0070450D">
        <w:rPr>
          <w:sz w:val="22"/>
          <w:shd w:val="clear" w:color="auto" w:fill="FFFFFF"/>
          <w:lang w:val="sr-Cyrl-RS"/>
        </w:rPr>
        <w:t>неизвјесна</w:t>
      </w:r>
      <w:proofErr w:type="spellEnd"/>
      <w:r w:rsidR="0070450D">
        <w:rPr>
          <w:sz w:val="22"/>
          <w:shd w:val="clear" w:color="auto" w:fill="FFFFFF"/>
          <w:lang w:val="sr-Cyrl-RS"/>
        </w:rPr>
        <w:t xml:space="preserve"> и</w:t>
      </w:r>
      <w:r w:rsidRPr="00CC7AEF">
        <w:rPr>
          <w:sz w:val="22"/>
          <w:shd w:val="clear" w:color="auto" w:fill="FFFFFF"/>
          <w:lang w:val="sr-Cyrl-RS"/>
        </w:rPr>
        <w:t xml:space="preserve"> заснована на бројним претпоставка</w:t>
      </w:r>
      <w:r w:rsidR="0070450D">
        <w:rPr>
          <w:sz w:val="22"/>
          <w:shd w:val="clear" w:color="auto" w:fill="FFFFFF"/>
          <w:lang w:val="sr-Cyrl-RS"/>
        </w:rPr>
        <w:t>ма</w:t>
      </w:r>
      <w:r w:rsidRPr="00CC7AEF">
        <w:rPr>
          <w:sz w:val="22"/>
          <w:shd w:val="clear" w:color="auto" w:fill="FFFFFF"/>
          <w:lang w:val="sr-Cyrl-RS"/>
        </w:rPr>
        <w:t>,</w:t>
      </w:r>
      <w:r w:rsidR="00BE2EE1" w:rsidRPr="00CC7AEF">
        <w:rPr>
          <w:sz w:val="22"/>
          <w:shd w:val="clear" w:color="auto" w:fill="FFFFFF"/>
          <w:lang w:val="sr-Cyrl-RS"/>
        </w:rPr>
        <w:t xml:space="preserve"> </w:t>
      </w:r>
      <w:r w:rsidRPr="00CC7AEF">
        <w:rPr>
          <w:sz w:val="22"/>
          <w:shd w:val="clear" w:color="auto" w:fill="FFFFFF"/>
          <w:lang w:val="sr-Cyrl-RS"/>
        </w:rPr>
        <w:t xml:space="preserve">а чија је реализација изложена различитим </w:t>
      </w:r>
      <w:r w:rsidR="00E07FE7" w:rsidRPr="00CC7AEF">
        <w:rPr>
          <w:sz w:val="22"/>
          <w:shd w:val="clear" w:color="auto" w:fill="FFFFFF"/>
          <w:lang w:val="sr-Cyrl-RS"/>
        </w:rPr>
        <w:t xml:space="preserve">негативним </w:t>
      </w:r>
      <w:r w:rsidR="002E311B">
        <w:rPr>
          <w:sz w:val="22"/>
          <w:shd w:val="clear" w:color="auto" w:fill="FFFFFF"/>
          <w:lang w:val="sr-Cyrl-RS"/>
        </w:rPr>
        <w:t>ризицима</w:t>
      </w:r>
      <w:r w:rsidRPr="00CC7AEF">
        <w:rPr>
          <w:sz w:val="22"/>
          <w:shd w:val="clear" w:color="auto" w:fill="FFFFFF"/>
          <w:lang w:val="sr-Cyrl-RS"/>
        </w:rPr>
        <w:t xml:space="preserve">. Оптимистичке претпоставке су полазиле од </w:t>
      </w:r>
      <w:proofErr w:type="spellStart"/>
      <w:r w:rsidRPr="00CC7AEF">
        <w:rPr>
          <w:sz w:val="22"/>
          <w:shd w:val="clear" w:color="auto" w:fill="FFFFFF"/>
          <w:lang w:val="sr-Cyrl-RS"/>
        </w:rPr>
        <w:t>процјена</w:t>
      </w:r>
      <w:proofErr w:type="spellEnd"/>
      <w:r w:rsidRPr="00CC7AEF">
        <w:rPr>
          <w:sz w:val="22"/>
          <w:shd w:val="clear" w:color="auto" w:fill="FFFFFF"/>
          <w:lang w:val="sr-Cyrl-RS"/>
        </w:rPr>
        <w:t xml:space="preserve"> да ће се од маја 2020. године надаље, ук</w:t>
      </w:r>
      <w:r w:rsidR="00BE2EE1" w:rsidRPr="00CC7AEF">
        <w:rPr>
          <w:sz w:val="22"/>
          <w:shd w:val="clear" w:color="auto" w:fill="FFFFFF"/>
          <w:lang w:val="sr-Cyrl-RS"/>
        </w:rPr>
        <w:t xml:space="preserve">идати већина ограничења, што </w:t>
      </w:r>
      <w:r w:rsidRPr="00CC7AEF">
        <w:rPr>
          <w:sz w:val="22"/>
          <w:shd w:val="clear" w:color="auto" w:fill="FFFFFF"/>
          <w:lang w:val="sr-Cyrl-RS"/>
        </w:rPr>
        <w:t xml:space="preserve">се у </w:t>
      </w:r>
      <w:proofErr w:type="spellStart"/>
      <w:r w:rsidRPr="00CC7AEF">
        <w:rPr>
          <w:sz w:val="22"/>
          <w:shd w:val="clear" w:color="auto" w:fill="FFFFFF"/>
          <w:lang w:val="sr-Cyrl-RS"/>
        </w:rPr>
        <w:t>извјесној</w:t>
      </w:r>
      <w:proofErr w:type="spellEnd"/>
      <w:r w:rsidRPr="00CC7AEF">
        <w:rPr>
          <w:sz w:val="22"/>
          <w:shd w:val="clear" w:color="auto" w:fill="FFFFFF"/>
          <w:lang w:val="sr-Cyrl-RS"/>
        </w:rPr>
        <w:t xml:space="preserve"> </w:t>
      </w:r>
      <w:proofErr w:type="spellStart"/>
      <w:r w:rsidRPr="00CC7AEF">
        <w:rPr>
          <w:sz w:val="22"/>
          <w:shd w:val="clear" w:color="auto" w:fill="FFFFFF"/>
          <w:lang w:val="sr-Cyrl-RS"/>
        </w:rPr>
        <w:t>мје</w:t>
      </w:r>
      <w:r w:rsidR="005836CE">
        <w:rPr>
          <w:sz w:val="22"/>
          <w:shd w:val="clear" w:color="auto" w:fill="FFFFFF"/>
          <w:lang w:val="sr-Cyrl-RS"/>
        </w:rPr>
        <w:t>ри</w:t>
      </w:r>
      <w:proofErr w:type="spellEnd"/>
      <w:r w:rsidR="005836CE">
        <w:rPr>
          <w:sz w:val="22"/>
          <w:shd w:val="clear" w:color="auto" w:fill="FFFFFF"/>
          <w:lang w:val="sr-Cyrl-RS"/>
        </w:rPr>
        <w:t xml:space="preserve"> оств</w:t>
      </w:r>
      <w:r w:rsidR="00BE2EE1" w:rsidRPr="00CC7AEF">
        <w:rPr>
          <w:sz w:val="22"/>
          <w:shd w:val="clear" w:color="auto" w:fill="FFFFFF"/>
          <w:lang w:val="sr-Cyrl-RS"/>
        </w:rPr>
        <w:t>а</w:t>
      </w:r>
      <w:r w:rsidR="005836CE">
        <w:rPr>
          <w:sz w:val="22"/>
          <w:shd w:val="clear" w:color="auto" w:fill="FFFFFF"/>
          <w:lang w:val="sr-Cyrl-RS"/>
        </w:rPr>
        <w:t>р</w:t>
      </w:r>
      <w:r w:rsidR="00BE2EE1" w:rsidRPr="00CC7AEF">
        <w:rPr>
          <w:sz w:val="22"/>
          <w:shd w:val="clear" w:color="auto" w:fill="FFFFFF"/>
          <w:lang w:val="sr-Cyrl-RS"/>
        </w:rPr>
        <w:t xml:space="preserve">ило, али </w:t>
      </w:r>
      <w:r w:rsidR="005836CE">
        <w:rPr>
          <w:sz w:val="22"/>
          <w:shd w:val="clear" w:color="auto" w:fill="FFFFFF"/>
          <w:lang w:val="sr-Cyrl-RS"/>
        </w:rPr>
        <w:t xml:space="preserve">је </w:t>
      </w:r>
      <w:r w:rsidR="00BE2EE1" w:rsidRPr="00CC7AEF">
        <w:rPr>
          <w:sz w:val="22"/>
          <w:shd w:val="clear" w:color="auto" w:fill="FFFFFF"/>
          <w:lang w:val="sr-Cyrl-RS"/>
        </w:rPr>
        <w:t>нови талас</w:t>
      </w:r>
      <w:r w:rsidRPr="00CC7AEF">
        <w:rPr>
          <w:sz w:val="22"/>
          <w:shd w:val="clear" w:color="auto" w:fill="FFFFFF"/>
          <w:lang w:val="sr-Cyrl-RS"/>
        </w:rPr>
        <w:t xml:space="preserve"> епидемије </w:t>
      </w:r>
      <w:r w:rsidR="005836CE">
        <w:rPr>
          <w:sz w:val="22"/>
          <w:shd w:val="clear" w:color="auto" w:fill="FFFFFF"/>
          <w:lang w:val="sr-Cyrl-RS"/>
        </w:rPr>
        <w:t>почео поново</w:t>
      </w:r>
      <w:r w:rsidRPr="00CC7AEF">
        <w:rPr>
          <w:sz w:val="22"/>
          <w:shd w:val="clear" w:color="auto" w:fill="FFFFFF"/>
          <w:lang w:val="sr-Cyrl-RS"/>
        </w:rPr>
        <w:t xml:space="preserve"> </w:t>
      </w:r>
      <w:r w:rsidR="005836CE">
        <w:rPr>
          <w:sz w:val="22"/>
          <w:shd w:val="clear" w:color="auto" w:fill="FFFFFF"/>
          <w:lang w:val="sr-Cyrl-RS"/>
        </w:rPr>
        <w:t>у јесен</w:t>
      </w:r>
      <w:r w:rsidRPr="00CC7AEF">
        <w:rPr>
          <w:sz w:val="22"/>
          <w:shd w:val="clear" w:color="auto" w:fill="FFFFFF"/>
          <w:lang w:val="sr-Cyrl-RS"/>
        </w:rPr>
        <w:t>, па је упитно какве ће</w:t>
      </w:r>
      <w:r w:rsidR="00BE2EE1" w:rsidRPr="00CC7AEF">
        <w:rPr>
          <w:sz w:val="22"/>
          <w:shd w:val="clear" w:color="auto" w:fill="FFFFFF"/>
          <w:lang w:val="sr-Cyrl-RS"/>
        </w:rPr>
        <w:t xml:space="preserve"> се</w:t>
      </w:r>
      <w:r w:rsidRPr="00CC7AEF">
        <w:rPr>
          <w:sz w:val="22"/>
          <w:shd w:val="clear" w:color="auto" w:fill="FFFFFF"/>
          <w:lang w:val="sr-Cyrl-RS"/>
        </w:rPr>
        <w:t xml:space="preserve"> </w:t>
      </w:r>
      <w:proofErr w:type="spellStart"/>
      <w:r w:rsidRPr="00CC7AEF">
        <w:rPr>
          <w:sz w:val="22"/>
          <w:shd w:val="clear" w:color="auto" w:fill="FFFFFF"/>
          <w:lang w:val="sr-Cyrl-RS"/>
        </w:rPr>
        <w:t>мјере</w:t>
      </w:r>
      <w:proofErr w:type="spellEnd"/>
      <w:r w:rsidRPr="00CC7AEF">
        <w:rPr>
          <w:sz w:val="22"/>
          <w:shd w:val="clear" w:color="auto" w:fill="FFFFFF"/>
          <w:lang w:val="sr-Cyrl-RS"/>
        </w:rPr>
        <w:t xml:space="preserve"> поново морати предузимати.</w:t>
      </w:r>
      <w:r w:rsidR="009F31F7">
        <w:rPr>
          <w:sz w:val="22"/>
          <w:shd w:val="clear" w:color="auto" w:fill="FFFFFF"/>
          <w:lang w:val="sr-Cyrl-RS"/>
        </w:rPr>
        <w:t xml:space="preserve"> </w:t>
      </w:r>
      <w:r w:rsidR="007E0049">
        <w:rPr>
          <w:sz w:val="22"/>
          <w:shd w:val="clear" w:color="auto" w:fill="FFFFFF"/>
          <w:lang w:val="sr-Cyrl-RS"/>
        </w:rPr>
        <w:t>П</w:t>
      </w:r>
      <w:r w:rsidR="009F31F7">
        <w:rPr>
          <w:sz w:val="22"/>
          <w:shd w:val="clear" w:color="auto" w:fill="FFFFFF"/>
          <w:lang w:val="sr-Cyrl-RS"/>
        </w:rPr>
        <w:t xml:space="preserve">рема догађајима </w:t>
      </w:r>
      <w:r w:rsidR="007E0049">
        <w:rPr>
          <w:sz w:val="22"/>
          <w:shd w:val="clear" w:color="auto" w:fill="FFFFFF"/>
          <w:lang w:val="sr-Cyrl-RS"/>
        </w:rPr>
        <w:t>од</w:t>
      </w:r>
      <w:r w:rsidR="009F31F7">
        <w:rPr>
          <w:sz w:val="22"/>
          <w:shd w:val="clear" w:color="auto" w:fill="FFFFFF"/>
          <w:lang w:val="sr-Cyrl-RS"/>
        </w:rPr>
        <w:t xml:space="preserve"> октобра </w:t>
      </w:r>
      <w:proofErr w:type="spellStart"/>
      <w:r w:rsidR="009F31F7">
        <w:rPr>
          <w:sz w:val="22"/>
          <w:shd w:val="clear" w:color="auto" w:fill="FFFFFF"/>
          <w:lang w:val="sr-Cyrl-RS"/>
        </w:rPr>
        <w:t>мјесеца</w:t>
      </w:r>
      <w:proofErr w:type="spellEnd"/>
      <w:r w:rsidR="009F31F7">
        <w:rPr>
          <w:sz w:val="22"/>
          <w:shd w:val="clear" w:color="auto" w:fill="FFFFFF"/>
          <w:lang w:val="sr-Cyrl-RS"/>
        </w:rPr>
        <w:t xml:space="preserve">, готово је </w:t>
      </w:r>
      <w:proofErr w:type="spellStart"/>
      <w:r w:rsidR="009F31F7">
        <w:rPr>
          <w:sz w:val="22"/>
          <w:shd w:val="clear" w:color="auto" w:fill="FFFFFF"/>
          <w:lang w:val="sr-Cyrl-RS"/>
        </w:rPr>
        <w:t>извјесно</w:t>
      </w:r>
      <w:proofErr w:type="spellEnd"/>
      <w:r w:rsidR="009F31F7">
        <w:rPr>
          <w:sz w:val="22"/>
          <w:shd w:val="clear" w:color="auto" w:fill="FFFFFF"/>
          <w:lang w:val="sr-Cyrl-RS"/>
        </w:rPr>
        <w:t xml:space="preserve"> да ће се остварити песимистички сценарио, чак са лошијим показатељима него што се првобитно </w:t>
      </w:r>
      <w:proofErr w:type="spellStart"/>
      <w:r w:rsidR="009F31F7">
        <w:rPr>
          <w:sz w:val="22"/>
          <w:shd w:val="clear" w:color="auto" w:fill="FFFFFF"/>
          <w:lang w:val="sr-Cyrl-RS"/>
        </w:rPr>
        <w:t>процјењивано</w:t>
      </w:r>
      <w:proofErr w:type="spellEnd"/>
      <w:r w:rsidR="009F31F7">
        <w:rPr>
          <w:sz w:val="22"/>
          <w:shd w:val="clear" w:color="auto" w:fill="FFFFFF"/>
          <w:lang w:val="sr-Cyrl-RS"/>
        </w:rPr>
        <w:t xml:space="preserve">.  </w:t>
      </w:r>
      <w:r w:rsidRPr="00CC7AEF">
        <w:rPr>
          <w:sz w:val="22"/>
          <w:shd w:val="clear" w:color="auto" w:fill="FFFFFF"/>
          <w:lang w:val="sr-Cyrl-RS"/>
        </w:rPr>
        <w:t xml:space="preserve"> </w:t>
      </w:r>
    </w:p>
    <w:p w14:paraId="3FF50F4C" w14:textId="77777777" w:rsidR="008A135B" w:rsidRPr="00CC7AEF" w:rsidRDefault="008A135B" w:rsidP="002108B7">
      <w:pPr>
        <w:spacing w:line="276" w:lineRule="auto"/>
        <w:jc w:val="both"/>
        <w:rPr>
          <w:color w:val="000000"/>
          <w:sz w:val="22"/>
          <w:lang w:val="sr-Cyrl-RS"/>
        </w:rPr>
      </w:pPr>
    </w:p>
    <w:p w14:paraId="3758A835" w14:textId="77777777" w:rsidR="004F3D3C" w:rsidRPr="00CC7AEF" w:rsidRDefault="00A664D1" w:rsidP="00A417E6">
      <w:pPr>
        <w:pStyle w:val="Heading1"/>
        <w:spacing w:line="276" w:lineRule="auto"/>
        <w:rPr>
          <w:bCs w:val="0"/>
          <w:sz w:val="22"/>
        </w:rPr>
      </w:pPr>
      <w:bookmarkStart w:id="4" w:name="_Toc59550007"/>
      <w:bookmarkStart w:id="5" w:name="bookmark38"/>
      <w:bookmarkStart w:id="6" w:name="bookmark39"/>
      <w:r w:rsidRPr="00CC7AEF">
        <w:rPr>
          <w:bCs w:val="0"/>
          <w:sz w:val="22"/>
          <w:lang w:val="en-US"/>
        </w:rPr>
        <w:t xml:space="preserve">2.2. </w:t>
      </w:r>
      <w:r w:rsidR="00721C81" w:rsidRPr="00CC7AEF">
        <w:rPr>
          <w:bCs w:val="0"/>
          <w:sz w:val="22"/>
        </w:rPr>
        <w:t>Макроекономска кретања</w:t>
      </w:r>
      <w:r w:rsidR="005F5B2B" w:rsidRPr="00CC7AEF">
        <w:rPr>
          <w:bCs w:val="0"/>
          <w:sz w:val="22"/>
          <w:lang w:val="sr-Cyrl-RS"/>
        </w:rPr>
        <w:t xml:space="preserve"> у БиХ</w:t>
      </w:r>
      <w:bookmarkEnd w:id="4"/>
      <w:r w:rsidR="005F5B2B" w:rsidRPr="00CC7AEF">
        <w:rPr>
          <w:bCs w:val="0"/>
          <w:sz w:val="22"/>
          <w:lang w:val="sr-Cyrl-RS"/>
        </w:rPr>
        <w:t xml:space="preserve"> </w:t>
      </w:r>
      <w:bookmarkEnd w:id="5"/>
      <w:bookmarkEnd w:id="6"/>
    </w:p>
    <w:p w14:paraId="5F39CBAC" w14:textId="77777777" w:rsidR="00D632F9" w:rsidRPr="00CC7AEF" w:rsidRDefault="00D632F9" w:rsidP="00A417E6">
      <w:pPr>
        <w:rPr>
          <w:sz w:val="22"/>
          <w:lang w:val="sr-Cyrl-RS" w:eastAsia="en-US"/>
        </w:rPr>
      </w:pPr>
    </w:p>
    <w:p w14:paraId="47477E32" w14:textId="77777777" w:rsidR="004F33D6" w:rsidRPr="00CC7AEF" w:rsidRDefault="00470306" w:rsidP="00C1471F">
      <w:pPr>
        <w:spacing w:line="276" w:lineRule="auto"/>
        <w:ind w:firstLine="709"/>
        <w:jc w:val="both"/>
        <w:rPr>
          <w:sz w:val="22"/>
        </w:rPr>
      </w:pPr>
      <w:r w:rsidRPr="00CC7AEF">
        <w:rPr>
          <w:sz w:val="22"/>
          <w:lang w:val="sr-Cyrl-RS"/>
        </w:rPr>
        <w:t xml:space="preserve">Према </w:t>
      </w:r>
      <w:proofErr w:type="spellStart"/>
      <w:r w:rsidRPr="00CC7AEF">
        <w:rPr>
          <w:sz w:val="22"/>
          <w:lang w:val="sr-Cyrl-RS"/>
        </w:rPr>
        <w:t>Извјештају</w:t>
      </w:r>
      <w:proofErr w:type="spellEnd"/>
      <w:r w:rsidRPr="00CC7AEF">
        <w:rPr>
          <w:sz w:val="22"/>
          <w:lang w:val="sr-Cyrl-RS"/>
        </w:rPr>
        <w:t xml:space="preserve"> </w:t>
      </w:r>
      <w:proofErr w:type="spellStart"/>
      <w:r w:rsidRPr="00CC7AEF">
        <w:rPr>
          <w:sz w:val="22"/>
          <w:lang w:val="sr-Cyrl-RS"/>
        </w:rPr>
        <w:t>Свјетске</w:t>
      </w:r>
      <w:proofErr w:type="spellEnd"/>
      <w:r w:rsidRPr="00CC7AEF">
        <w:rPr>
          <w:sz w:val="22"/>
          <w:lang w:val="sr-Cyrl-RS"/>
        </w:rPr>
        <w:t xml:space="preserve"> банке</w:t>
      </w:r>
      <w:r w:rsidRPr="00CC7AEF">
        <w:rPr>
          <w:sz w:val="22"/>
          <w:vertAlign w:val="superscript"/>
        </w:rPr>
        <w:footnoteReference w:id="4"/>
      </w:r>
      <w:r w:rsidRPr="00CC7AEF">
        <w:rPr>
          <w:sz w:val="22"/>
          <w:shd w:val="clear" w:color="auto" w:fill="FFFFFF"/>
        </w:rPr>
        <w:t xml:space="preserve">, </w:t>
      </w:r>
      <w:r w:rsidRPr="00CC7AEF">
        <w:rPr>
          <w:sz w:val="22"/>
          <w:shd w:val="clear" w:color="auto" w:fill="FFFFFF"/>
          <w:lang w:val="sr-Cyrl-RS"/>
        </w:rPr>
        <w:t>БиХ је већ била под притиском усп</w:t>
      </w:r>
      <w:r w:rsidR="001C21E9" w:rsidRPr="00CC7AEF">
        <w:rPr>
          <w:sz w:val="22"/>
          <w:shd w:val="clear" w:color="auto" w:fill="FFFFFF"/>
          <w:lang w:val="sr-Cyrl-RS"/>
        </w:rPr>
        <w:t>о</w:t>
      </w:r>
      <w:r w:rsidR="00E453BB" w:rsidRPr="00CC7AEF">
        <w:rPr>
          <w:sz w:val="22"/>
          <w:shd w:val="clear" w:color="auto" w:fill="FFFFFF"/>
          <w:lang w:val="sr-Cyrl-RS"/>
        </w:rPr>
        <w:t xml:space="preserve">равања, када </w:t>
      </w:r>
      <w:proofErr w:type="spellStart"/>
      <w:r w:rsidR="00E453BB" w:rsidRPr="00CC7AEF">
        <w:rPr>
          <w:sz w:val="22"/>
          <w:shd w:val="clear" w:color="auto" w:fill="FFFFFF"/>
          <w:lang w:val="sr-Cyrl-RS"/>
        </w:rPr>
        <w:t>je</w:t>
      </w:r>
      <w:proofErr w:type="spellEnd"/>
      <w:r w:rsidR="00E453BB" w:rsidRPr="00CC7AEF">
        <w:rPr>
          <w:sz w:val="22"/>
          <w:shd w:val="clear" w:color="auto" w:fill="FFFFFF"/>
          <w:lang w:val="sr-Cyrl-RS"/>
        </w:rPr>
        <w:t xml:space="preserve"> почела  </w:t>
      </w:r>
      <w:proofErr w:type="spellStart"/>
      <w:r w:rsidR="00E453BB" w:rsidRPr="00CC7AEF">
        <w:rPr>
          <w:sz w:val="22"/>
          <w:shd w:val="clear" w:color="auto" w:fill="FFFFFF"/>
          <w:lang w:val="sr-Cyrl-RS"/>
        </w:rPr>
        <w:t>пандемија</w:t>
      </w:r>
      <w:proofErr w:type="spellEnd"/>
      <w:r w:rsidRPr="00CC7AEF">
        <w:rPr>
          <w:sz w:val="22"/>
          <w:shd w:val="clear" w:color="auto" w:fill="FFFFFF"/>
          <w:lang w:val="sr-Cyrl-RS"/>
        </w:rPr>
        <w:t xml:space="preserve"> </w:t>
      </w:r>
      <w:r w:rsidR="004F33D6" w:rsidRPr="00CC7AEF">
        <w:rPr>
          <w:sz w:val="22"/>
          <w:shd w:val="clear" w:color="auto" w:fill="FFFFFF"/>
          <w:lang w:val="en-US"/>
        </w:rPr>
        <w:t>COVID -19,</w:t>
      </w:r>
      <w:r w:rsidR="00E453BB" w:rsidRPr="00CC7AEF">
        <w:rPr>
          <w:sz w:val="22"/>
          <w:shd w:val="clear" w:color="auto" w:fill="FFFFFF"/>
          <w:lang w:val="sr-Cyrl-RS"/>
        </w:rPr>
        <w:t xml:space="preserve"> што је повећало  ризик</w:t>
      </w:r>
      <w:r w:rsidR="00C1471F" w:rsidRPr="00CC7AEF">
        <w:rPr>
          <w:sz w:val="22"/>
          <w:shd w:val="clear" w:color="auto" w:fill="FFFFFF"/>
          <w:lang w:val="en-US"/>
        </w:rPr>
        <w:t xml:space="preserve"> </w:t>
      </w:r>
      <w:r w:rsidR="00E453BB" w:rsidRPr="00CC7AEF">
        <w:rPr>
          <w:sz w:val="22"/>
          <w:shd w:val="clear" w:color="auto" w:fill="FFFFFF"/>
          <w:lang w:val="sr-Cyrl-RS"/>
        </w:rPr>
        <w:t xml:space="preserve">нове и </w:t>
      </w:r>
      <w:proofErr w:type="spellStart"/>
      <w:r w:rsidR="00C1471F" w:rsidRPr="00CC7AEF">
        <w:rPr>
          <w:sz w:val="22"/>
          <w:shd w:val="clear" w:color="auto" w:fill="FFFFFF"/>
          <w:lang w:val="en-US"/>
        </w:rPr>
        <w:t>дубоке</w:t>
      </w:r>
      <w:proofErr w:type="spellEnd"/>
      <w:r w:rsidR="00C1471F" w:rsidRPr="00CC7AEF">
        <w:rPr>
          <w:sz w:val="22"/>
          <w:shd w:val="clear" w:color="auto" w:fill="FFFFFF"/>
          <w:lang w:val="en-US"/>
        </w:rPr>
        <w:t xml:space="preserve"> </w:t>
      </w:r>
      <w:proofErr w:type="spellStart"/>
      <w:r w:rsidR="00C1471F" w:rsidRPr="00CC7AEF">
        <w:rPr>
          <w:sz w:val="22"/>
          <w:shd w:val="clear" w:color="auto" w:fill="FFFFFF"/>
          <w:lang w:val="en-US"/>
        </w:rPr>
        <w:t>рецесије</w:t>
      </w:r>
      <w:proofErr w:type="spellEnd"/>
      <w:r w:rsidR="00C1471F" w:rsidRPr="00CC7AEF">
        <w:rPr>
          <w:sz w:val="22"/>
          <w:shd w:val="clear" w:color="auto" w:fill="FFFFFF"/>
          <w:lang w:val="en-US"/>
        </w:rPr>
        <w:t>.</w:t>
      </w:r>
      <w:r w:rsidR="00D26CB1" w:rsidRPr="00CC7AEF">
        <w:rPr>
          <w:sz w:val="22"/>
          <w:shd w:val="clear" w:color="auto" w:fill="FFFFFF"/>
          <w:lang w:val="en-US"/>
        </w:rPr>
        <w:t xml:space="preserve"> </w:t>
      </w:r>
      <w:proofErr w:type="spellStart"/>
      <w:r w:rsidR="00D26CB1" w:rsidRPr="00CC7AEF">
        <w:rPr>
          <w:sz w:val="22"/>
        </w:rPr>
        <w:t>Наиме</w:t>
      </w:r>
      <w:proofErr w:type="spellEnd"/>
      <w:r w:rsidR="00D26CB1" w:rsidRPr="00CC7AEF">
        <w:rPr>
          <w:sz w:val="22"/>
        </w:rPr>
        <w:t xml:space="preserve">, </w:t>
      </w:r>
      <w:proofErr w:type="spellStart"/>
      <w:r w:rsidR="00D26CB1" w:rsidRPr="00CC7AEF">
        <w:rPr>
          <w:sz w:val="22"/>
        </w:rPr>
        <w:t>реални</w:t>
      </w:r>
      <w:proofErr w:type="spellEnd"/>
      <w:r w:rsidR="00D26CB1" w:rsidRPr="00CC7AEF">
        <w:rPr>
          <w:sz w:val="22"/>
        </w:rPr>
        <w:t xml:space="preserve"> </w:t>
      </w:r>
      <w:proofErr w:type="spellStart"/>
      <w:r w:rsidR="00D26CB1" w:rsidRPr="00CC7AEF">
        <w:rPr>
          <w:sz w:val="22"/>
        </w:rPr>
        <w:t>раст</w:t>
      </w:r>
      <w:proofErr w:type="spellEnd"/>
      <w:r w:rsidR="00D26CB1" w:rsidRPr="00CC7AEF">
        <w:rPr>
          <w:sz w:val="22"/>
        </w:rPr>
        <w:t xml:space="preserve"> БДП </w:t>
      </w:r>
      <w:proofErr w:type="spellStart"/>
      <w:r w:rsidR="00D26CB1" w:rsidRPr="00CC7AEF">
        <w:rPr>
          <w:sz w:val="22"/>
        </w:rPr>
        <w:t>је</w:t>
      </w:r>
      <w:proofErr w:type="spellEnd"/>
      <w:r w:rsidR="00D26CB1" w:rsidRPr="00CC7AEF">
        <w:rPr>
          <w:sz w:val="22"/>
        </w:rPr>
        <w:t xml:space="preserve"> </w:t>
      </w:r>
      <w:r w:rsidR="001C21E9" w:rsidRPr="00CC7AEF">
        <w:rPr>
          <w:sz w:val="22"/>
          <w:lang w:val="sr-Cyrl-RS"/>
        </w:rPr>
        <w:t xml:space="preserve">већ био </w:t>
      </w:r>
      <w:proofErr w:type="spellStart"/>
      <w:r w:rsidR="001C21E9" w:rsidRPr="00CC7AEF">
        <w:rPr>
          <w:sz w:val="22"/>
        </w:rPr>
        <w:t>смањен</w:t>
      </w:r>
      <w:proofErr w:type="spellEnd"/>
      <w:r w:rsidR="001C21E9" w:rsidRPr="00CC7AEF">
        <w:rPr>
          <w:sz w:val="22"/>
        </w:rPr>
        <w:t xml:space="preserve"> </w:t>
      </w:r>
      <w:r w:rsidR="00D26CB1" w:rsidRPr="00CC7AEF">
        <w:rPr>
          <w:sz w:val="22"/>
        </w:rPr>
        <w:t xml:space="preserve"> </w:t>
      </w:r>
      <w:proofErr w:type="spellStart"/>
      <w:r w:rsidR="00D26CB1" w:rsidRPr="00CC7AEF">
        <w:rPr>
          <w:sz w:val="22"/>
        </w:rPr>
        <w:t>са</w:t>
      </w:r>
      <w:proofErr w:type="spellEnd"/>
      <w:r w:rsidR="00D26CB1" w:rsidRPr="00CC7AEF">
        <w:rPr>
          <w:sz w:val="22"/>
        </w:rPr>
        <w:t xml:space="preserve"> 3,6% у 2018. </w:t>
      </w:r>
      <w:proofErr w:type="spellStart"/>
      <w:r w:rsidR="00D26CB1" w:rsidRPr="00CC7AEF">
        <w:rPr>
          <w:sz w:val="22"/>
        </w:rPr>
        <w:t>години</w:t>
      </w:r>
      <w:proofErr w:type="spellEnd"/>
      <w:r w:rsidR="00D26CB1" w:rsidRPr="00CC7AEF">
        <w:rPr>
          <w:sz w:val="22"/>
        </w:rPr>
        <w:t xml:space="preserve">, </w:t>
      </w:r>
      <w:proofErr w:type="spellStart"/>
      <w:r w:rsidR="00D26CB1" w:rsidRPr="00CC7AEF">
        <w:rPr>
          <w:sz w:val="22"/>
        </w:rPr>
        <w:t>на</w:t>
      </w:r>
      <w:proofErr w:type="spellEnd"/>
      <w:r w:rsidR="00D26CB1" w:rsidRPr="00CC7AEF">
        <w:rPr>
          <w:sz w:val="22"/>
        </w:rPr>
        <w:t xml:space="preserve"> </w:t>
      </w:r>
      <w:proofErr w:type="spellStart"/>
      <w:r w:rsidR="004F33D6" w:rsidRPr="00CC7AEF">
        <w:rPr>
          <w:sz w:val="22"/>
          <w:lang w:val="sr-Cyrl-RS"/>
        </w:rPr>
        <w:t>процијењених</w:t>
      </w:r>
      <w:proofErr w:type="spellEnd"/>
      <w:r w:rsidR="004F33D6" w:rsidRPr="00CC7AEF">
        <w:rPr>
          <w:sz w:val="22"/>
          <w:lang w:val="sr-Cyrl-RS"/>
        </w:rPr>
        <w:t xml:space="preserve"> 2,8% у 2019. години. </w:t>
      </w:r>
      <w:r w:rsidR="00006AAF" w:rsidRPr="00CC7AEF">
        <w:rPr>
          <w:sz w:val="22"/>
          <w:lang w:val="sr-Cyrl-RS"/>
        </w:rPr>
        <w:t>Нови</w:t>
      </w:r>
      <w:r w:rsidR="001C21E9" w:rsidRPr="00CC7AEF">
        <w:rPr>
          <w:sz w:val="22"/>
          <w:lang w:val="sr-Cyrl-RS"/>
        </w:rPr>
        <w:t xml:space="preserve"> подаци за </w:t>
      </w:r>
      <w:r w:rsidR="004F33D6" w:rsidRPr="00CC7AEF">
        <w:rPr>
          <w:sz w:val="22"/>
        </w:rPr>
        <w:t>2020</w:t>
      </w:r>
      <w:r w:rsidR="001C21E9" w:rsidRPr="00CC7AEF">
        <w:rPr>
          <w:sz w:val="22"/>
        </w:rPr>
        <w:t xml:space="preserve">. </w:t>
      </w:r>
      <w:proofErr w:type="spellStart"/>
      <w:r w:rsidR="001C21E9" w:rsidRPr="00CC7AEF">
        <w:rPr>
          <w:sz w:val="22"/>
        </w:rPr>
        <w:t>годину</w:t>
      </w:r>
      <w:proofErr w:type="spellEnd"/>
      <w:r w:rsidR="001C21E9" w:rsidRPr="00CC7AEF">
        <w:rPr>
          <w:sz w:val="22"/>
        </w:rPr>
        <w:t xml:space="preserve"> </w:t>
      </w:r>
      <w:proofErr w:type="spellStart"/>
      <w:r w:rsidR="001C21E9" w:rsidRPr="00CC7AEF">
        <w:rPr>
          <w:sz w:val="22"/>
        </w:rPr>
        <w:t>указују</w:t>
      </w:r>
      <w:proofErr w:type="spellEnd"/>
      <w:r w:rsidR="001C21E9" w:rsidRPr="00CC7AEF">
        <w:rPr>
          <w:sz w:val="22"/>
        </w:rPr>
        <w:t xml:space="preserve"> </w:t>
      </w:r>
      <w:proofErr w:type="spellStart"/>
      <w:r w:rsidR="001C21E9" w:rsidRPr="00CC7AEF">
        <w:rPr>
          <w:sz w:val="22"/>
        </w:rPr>
        <w:t>на</w:t>
      </w:r>
      <w:proofErr w:type="spellEnd"/>
      <w:r w:rsidR="001C21E9" w:rsidRPr="00CC7AEF">
        <w:rPr>
          <w:sz w:val="22"/>
        </w:rPr>
        <w:t xml:space="preserve"> </w:t>
      </w:r>
      <w:proofErr w:type="spellStart"/>
      <w:r w:rsidR="001C21E9" w:rsidRPr="00CC7AEF">
        <w:rPr>
          <w:sz w:val="22"/>
        </w:rPr>
        <w:t>значајно</w:t>
      </w:r>
      <w:proofErr w:type="spellEnd"/>
      <w:r w:rsidR="001C21E9" w:rsidRPr="00CC7AEF">
        <w:rPr>
          <w:sz w:val="22"/>
        </w:rPr>
        <w:t xml:space="preserve"> </w:t>
      </w:r>
      <w:proofErr w:type="spellStart"/>
      <w:r w:rsidR="001C21E9" w:rsidRPr="00CC7AEF">
        <w:rPr>
          <w:sz w:val="22"/>
        </w:rPr>
        <w:t>успоравање</w:t>
      </w:r>
      <w:proofErr w:type="spellEnd"/>
      <w:r w:rsidR="001C21E9" w:rsidRPr="00CC7AEF">
        <w:rPr>
          <w:sz w:val="22"/>
        </w:rPr>
        <w:t xml:space="preserve">, </w:t>
      </w:r>
      <w:proofErr w:type="spellStart"/>
      <w:r w:rsidR="001C21E9" w:rsidRPr="00CC7AEF">
        <w:rPr>
          <w:sz w:val="22"/>
        </w:rPr>
        <w:t>што</w:t>
      </w:r>
      <w:proofErr w:type="spellEnd"/>
      <w:r w:rsidR="001C21E9" w:rsidRPr="00CC7AEF">
        <w:rPr>
          <w:sz w:val="22"/>
        </w:rPr>
        <w:t xml:space="preserve"> </w:t>
      </w:r>
      <w:proofErr w:type="spellStart"/>
      <w:r w:rsidR="001C21E9" w:rsidRPr="00CC7AEF">
        <w:rPr>
          <w:sz w:val="22"/>
        </w:rPr>
        <w:t>је</w:t>
      </w:r>
      <w:proofErr w:type="spellEnd"/>
      <w:r w:rsidR="001C21E9" w:rsidRPr="00CC7AEF">
        <w:rPr>
          <w:sz w:val="22"/>
        </w:rPr>
        <w:t xml:space="preserve"> </w:t>
      </w:r>
      <w:proofErr w:type="spellStart"/>
      <w:r w:rsidR="001C21E9" w:rsidRPr="00CC7AEF">
        <w:rPr>
          <w:sz w:val="22"/>
        </w:rPr>
        <w:t>посљедица</w:t>
      </w:r>
      <w:proofErr w:type="spellEnd"/>
      <w:r w:rsidR="001C21E9" w:rsidRPr="00CC7AEF">
        <w:rPr>
          <w:sz w:val="22"/>
        </w:rPr>
        <w:t xml:space="preserve"> </w:t>
      </w:r>
      <w:r w:rsidR="001C21E9" w:rsidRPr="00CC7AEF">
        <w:rPr>
          <w:sz w:val="22"/>
          <w:lang w:val="sr-Cyrl-RS"/>
        </w:rPr>
        <w:t xml:space="preserve"> </w:t>
      </w:r>
      <w:proofErr w:type="spellStart"/>
      <w:r w:rsidR="001C21E9" w:rsidRPr="00CC7AEF">
        <w:rPr>
          <w:sz w:val="22"/>
          <w:lang w:val="sr-Cyrl-RS"/>
        </w:rPr>
        <w:t>пандемије</w:t>
      </w:r>
      <w:proofErr w:type="spellEnd"/>
      <w:r w:rsidR="001C21E9" w:rsidRPr="00CC7AEF">
        <w:rPr>
          <w:sz w:val="22"/>
          <w:lang w:val="sr-Cyrl-RS"/>
        </w:rPr>
        <w:t xml:space="preserve">. </w:t>
      </w:r>
      <w:r w:rsidR="001C21E9" w:rsidRPr="00CC7AEF">
        <w:rPr>
          <w:sz w:val="22"/>
        </w:rPr>
        <w:t xml:space="preserve"> </w:t>
      </w:r>
    </w:p>
    <w:p w14:paraId="1CC10F8B" w14:textId="77777777" w:rsidR="00006AAF" w:rsidRPr="00CC7AEF" w:rsidRDefault="00006AAF" w:rsidP="00C1471F">
      <w:pPr>
        <w:spacing w:line="276" w:lineRule="auto"/>
        <w:ind w:firstLine="709"/>
        <w:jc w:val="both"/>
        <w:rPr>
          <w:b/>
          <w:sz w:val="22"/>
        </w:rPr>
      </w:pPr>
    </w:p>
    <w:p w14:paraId="357E16FF" w14:textId="77777777" w:rsidR="0016482C" w:rsidRPr="00CC7AEF" w:rsidRDefault="004F33D6" w:rsidP="00E07FE7">
      <w:pPr>
        <w:spacing w:line="276" w:lineRule="auto"/>
        <w:jc w:val="both"/>
        <w:rPr>
          <w:sz w:val="22"/>
          <w:lang w:val="sr-Cyrl-RS"/>
        </w:rPr>
      </w:pPr>
      <w:r w:rsidRPr="00CC7AEF">
        <w:rPr>
          <w:sz w:val="22"/>
        </w:rPr>
        <w:t xml:space="preserve"> </w:t>
      </w:r>
      <w:r w:rsidRPr="00CC7AEF">
        <w:rPr>
          <w:sz w:val="22"/>
          <w:lang w:val="sr-Cyrl-RS"/>
        </w:rPr>
        <w:tab/>
        <w:t xml:space="preserve">Стопа незапослености </w:t>
      </w:r>
      <w:r w:rsidR="00FB328D" w:rsidRPr="00CC7AEF">
        <w:rPr>
          <w:sz w:val="22"/>
          <w:lang w:val="sr-Cyrl-RS"/>
        </w:rPr>
        <w:t xml:space="preserve">била је значајна и прије кризе </w:t>
      </w:r>
      <w:r w:rsidR="00FB328D" w:rsidRPr="00CC7AEF">
        <w:rPr>
          <w:sz w:val="22"/>
          <w:lang w:val="sr-Latn-BA"/>
        </w:rPr>
        <w:t>(</w:t>
      </w:r>
      <w:r w:rsidR="00FB328D" w:rsidRPr="00CC7AEF">
        <w:rPr>
          <w:sz w:val="22"/>
          <w:lang w:val="sr-Cyrl-RS"/>
        </w:rPr>
        <w:t>18,4% у 2018. године, односно 15,7% у 2019. години</w:t>
      </w:r>
      <w:r w:rsidR="007D4CEA">
        <w:rPr>
          <w:sz w:val="22"/>
          <w:lang w:val="sr-Cyrl-RS"/>
        </w:rPr>
        <w:t>). С</w:t>
      </w:r>
      <w:r w:rsidR="007F4EE4">
        <w:rPr>
          <w:sz w:val="22"/>
          <w:lang w:val="sr-Cyrl-RS"/>
        </w:rPr>
        <w:t>т</w:t>
      </w:r>
      <w:r w:rsidR="00FB328D" w:rsidRPr="00CC7AEF">
        <w:rPr>
          <w:sz w:val="22"/>
          <w:lang w:val="sr-Cyrl-RS"/>
        </w:rPr>
        <w:t xml:space="preserve">опа  запослености је </w:t>
      </w:r>
      <w:r w:rsidR="007D4CEA">
        <w:rPr>
          <w:sz w:val="22"/>
          <w:lang w:val="sr-Cyrl-RS"/>
        </w:rPr>
        <w:t xml:space="preserve">била </w:t>
      </w:r>
      <w:r w:rsidRPr="00CC7AEF">
        <w:rPr>
          <w:sz w:val="22"/>
          <w:lang w:val="sr-Cyrl-RS"/>
        </w:rPr>
        <w:t xml:space="preserve">34,3% </w:t>
      </w:r>
      <w:r w:rsidR="00FB328D" w:rsidRPr="00CC7AEF">
        <w:rPr>
          <w:sz w:val="22"/>
          <w:lang w:val="sr-Cyrl-RS"/>
        </w:rPr>
        <w:t xml:space="preserve">у 2018. години, односно </w:t>
      </w:r>
      <w:r w:rsidRPr="00CC7AEF">
        <w:rPr>
          <w:sz w:val="22"/>
          <w:lang w:val="sr-Cyrl-RS"/>
        </w:rPr>
        <w:t xml:space="preserve"> 35,5%</w:t>
      </w:r>
      <w:r w:rsidR="007D4CEA">
        <w:rPr>
          <w:sz w:val="22"/>
          <w:lang w:val="sr-Cyrl-RS"/>
        </w:rPr>
        <w:t xml:space="preserve"> у 2019. години</w:t>
      </w:r>
      <w:r w:rsidR="008F73C6">
        <w:rPr>
          <w:sz w:val="22"/>
          <w:lang w:val="sr-Cyrl-RS"/>
        </w:rPr>
        <w:t>.</w:t>
      </w:r>
      <w:r w:rsidR="00E07FE7" w:rsidRPr="00CC7AEF">
        <w:rPr>
          <w:sz w:val="22"/>
          <w:lang w:val="sr-Cyrl-RS"/>
        </w:rPr>
        <w:t xml:space="preserve"> </w:t>
      </w:r>
      <w:r w:rsidR="0089358D" w:rsidRPr="00CC7AEF">
        <w:rPr>
          <w:sz w:val="22"/>
          <w:lang w:val="sr-Cyrl-RS"/>
        </w:rPr>
        <w:t xml:space="preserve">Тржиште рада можда </w:t>
      </w:r>
      <w:proofErr w:type="spellStart"/>
      <w:r w:rsidR="0089358D" w:rsidRPr="00CC7AEF">
        <w:rPr>
          <w:sz w:val="22"/>
          <w:lang w:val="sr-Cyrl-RS"/>
        </w:rPr>
        <w:t>представаља</w:t>
      </w:r>
      <w:proofErr w:type="spellEnd"/>
      <w:r w:rsidR="0089358D" w:rsidRPr="00CC7AEF">
        <w:rPr>
          <w:sz w:val="22"/>
          <w:lang w:val="sr-Cyrl-RS"/>
        </w:rPr>
        <w:t xml:space="preserve"> највећи изазов у постојећој кризи, са</w:t>
      </w:r>
      <w:r w:rsidR="009E486B">
        <w:rPr>
          <w:sz w:val="22"/>
          <w:lang w:val="sr-Cyrl-RS"/>
        </w:rPr>
        <w:t xml:space="preserve"> потребом да се очувају радна </w:t>
      </w:r>
      <w:proofErr w:type="spellStart"/>
      <w:r w:rsidR="009E486B">
        <w:rPr>
          <w:sz w:val="22"/>
          <w:lang w:val="sr-Cyrl-RS"/>
        </w:rPr>
        <w:t>мјеста</w:t>
      </w:r>
      <w:proofErr w:type="spellEnd"/>
      <w:r w:rsidR="005836CE">
        <w:rPr>
          <w:sz w:val="22"/>
          <w:lang w:val="sr-Cyrl-RS"/>
        </w:rPr>
        <w:t xml:space="preserve"> у што већем обиму</w:t>
      </w:r>
      <w:r w:rsidR="009E486B">
        <w:rPr>
          <w:sz w:val="22"/>
          <w:lang w:val="sr-Cyrl-RS"/>
        </w:rPr>
        <w:t xml:space="preserve">. </w:t>
      </w:r>
      <w:r w:rsidR="00924F1F" w:rsidRPr="00CC7AEF">
        <w:rPr>
          <w:sz w:val="22"/>
          <w:lang w:val="sr-Cyrl-RS"/>
        </w:rPr>
        <w:t xml:space="preserve">Забрињава и податак </w:t>
      </w:r>
      <w:proofErr w:type="spellStart"/>
      <w:r w:rsidR="00E07FE7" w:rsidRPr="00CC7AEF">
        <w:rPr>
          <w:sz w:val="22"/>
          <w:lang w:val="sr-Cyrl-RS"/>
        </w:rPr>
        <w:t>ентитеских</w:t>
      </w:r>
      <w:proofErr w:type="spellEnd"/>
      <w:r w:rsidR="00E07FE7" w:rsidRPr="00CC7AEF">
        <w:rPr>
          <w:sz w:val="22"/>
          <w:lang w:val="sr-Cyrl-RS"/>
        </w:rPr>
        <w:t xml:space="preserve"> агенција за банкарство </w:t>
      </w:r>
      <w:r w:rsidR="00924F1F" w:rsidRPr="00CC7AEF">
        <w:rPr>
          <w:sz w:val="22"/>
          <w:lang w:val="sr-Cyrl-RS"/>
        </w:rPr>
        <w:t xml:space="preserve">да је током ове године порасла задуженост грађана и то прије свега код </w:t>
      </w:r>
      <w:proofErr w:type="spellStart"/>
      <w:r w:rsidR="00924F1F" w:rsidRPr="00CC7AEF">
        <w:rPr>
          <w:sz w:val="22"/>
          <w:lang w:val="sr-Cyrl-RS"/>
        </w:rPr>
        <w:t>микрокредитних</w:t>
      </w:r>
      <w:proofErr w:type="spellEnd"/>
      <w:r w:rsidR="00924F1F" w:rsidRPr="00CC7AEF">
        <w:rPr>
          <w:sz w:val="22"/>
          <w:lang w:val="sr-Cyrl-RS"/>
        </w:rPr>
        <w:t xml:space="preserve"> организација.  Истовремено, дошло је до пада  </w:t>
      </w:r>
      <w:r w:rsidR="00FC2C13" w:rsidRPr="00CC7AEF">
        <w:rPr>
          <w:sz w:val="22"/>
          <w:lang w:val="sr-Cyrl-RS"/>
        </w:rPr>
        <w:t>н</w:t>
      </w:r>
      <w:r w:rsidR="003D4CEB" w:rsidRPr="00CC7AEF">
        <w:rPr>
          <w:sz w:val="22"/>
          <w:lang w:val="sr-Cyrl-RS"/>
        </w:rPr>
        <w:t xml:space="preserve">овчаних дознака из иностранства, које су у 2019. године износиле 2,9 милијарди КМ. </w:t>
      </w:r>
      <w:r w:rsidR="00FC2C13" w:rsidRPr="00CC7AEF">
        <w:rPr>
          <w:sz w:val="22"/>
          <w:lang w:val="sr-Cyrl-RS"/>
        </w:rPr>
        <w:t xml:space="preserve">  Према подацима  Централне банке БиХ</w:t>
      </w:r>
      <w:r w:rsidR="003D4CEB" w:rsidRPr="00CC7AEF">
        <w:rPr>
          <w:sz w:val="22"/>
          <w:lang w:val="sr-Cyrl-RS"/>
        </w:rPr>
        <w:t xml:space="preserve">, </w:t>
      </w:r>
      <w:r w:rsidR="007D4CEA">
        <w:rPr>
          <w:sz w:val="22"/>
          <w:lang w:val="sr-Cyrl-RS"/>
        </w:rPr>
        <w:t>дијаспора је у БиХ послала</w:t>
      </w:r>
      <w:r w:rsidR="003D4CEB" w:rsidRPr="00CC7AEF">
        <w:rPr>
          <w:sz w:val="22"/>
          <w:lang w:val="sr-Cyrl-RS"/>
        </w:rPr>
        <w:t xml:space="preserve"> у периоду април – јуни </w:t>
      </w:r>
      <w:r w:rsidR="00FC2C13" w:rsidRPr="00CC7AEF">
        <w:rPr>
          <w:sz w:val="22"/>
          <w:lang w:val="sr-Cyrl-RS"/>
        </w:rPr>
        <w:t>за око  220 милиона КМ</w:t>
      </w:r>
      <w:r w:rsidR="003D4CEB" w:rsidRPr="00CC7AEF">
        <w:rPr>
          <w:sz w:val="22"/>
          <w:lang w:val="sr-Cyrl-RS"/>
        </w:rPr>
        <w:t xml:space="preserve"> мање</w:t>
      </w:r>
      <w:r w:rsidR="00FC2C13" w:rsidRPr="00CC7AEF">
        <w:rPr>
          <w:sz w:val="22"/>
          <w:lang w:val="sr-Cyrl-RS"/>
        </w:rPr>
        <w:t>,  у односу на исти период</w:t>
      </w:r>
      <w:r w:rsidR="007D4CEA">
        <w:rPr>
          <w:sz w:val="22"/>
          <w:lang w:val="sr-Cyrl-RS"/>
        </w:rPr>
        <w:t xml:space="preserve"> прошле године. Овај негативни </w:t>
      </w:r>
      <w:r w:rsidR="00FC2C13" w:rsidRPr="00CC7AEF">
        <w:rPr>
          <w:sz w:val="22"/>
          <w:lang w:val="sr-Cyrl-RS"/>
        </w:rPr>
        <w:t xml:space="preserve">тренд </w:t>
      </w:r>
      <w:proofErr w:type="spellStart"/>
      <w:r w:rsidR="00FC2C13" w:rsidRPr="00CC7AEF">
        <w:rPr>
          <w:sz w:val="22"/>
          <w:lang w:val="sr-Cyrl-RS"/>
        </w:rPr>
        <w:t>вјероватно</w:t>
      </w:r>
      <w:proofErr w:type="spellEnd"/>
      <w:r w:rsidR="00FC2C13" w:rsidRPr="00CC7AEF">
        <w:rPr>
          <w:sz w:val="22"/>
          <w:lang w:val="sr-Cyrl-RS"/>
        </w:rPr>
        <w:t xml:space="preserve"> ће се  наставити до краја године.  Све наведено отежава положај </w:t>
      </w:r>
      <w:r w:rsidR="00973819" w:rsidRPr="00CC7AEF">
        <w:rPr>
          <w:sz w:val="22"/>
          <w:lang w:val="sr-Cyrl-RS"/>
        </w:rPr>
        <w:t xml:space="preserve"> становништва и повећава ризик од пораста сиромаштва. </w:t>
      </w:r>
      <w:proofErr w:type="spellStart"/>
      <w:r w:rsidR="00FC2C13" w:rsidRPr="00CC7AEF">
        <w:rPr>
          <w:sz w:val="22"/>
          <w:lang w:val="sr-Cyrl-RS"/>
        </w:rPr>
        <w:t>Процјењује</w:t>
      </w:r>
      <w:proofErr w:type="spellEnd"/>
      <w:r w:rsidR="00FC2C13" w:rsidRPr="00CC7AEF">
        <w:rPr>
          <w:sz w:val="22"/>
          <w:lang w:val="sr-Cyrl-RS"/>
        </w:rPr>
        <w:t xml:space="preserve"> се, такође, да 60% оних који би могли прећи границу сиромаштва, тренутно није у програмима социјалне заштите, што би могао бити значајан притисак на јавну потрошњу. </w:t>
      </w:r>
    </w:p>
    <w:p w14:paraId="414503C3" w14:textId="77777777" w:rsidR="0016482C" w:rsidRPr="007F151C" w:rsidRDefault="0016482C" w:rsidP="00ED4E1B">
      <w:pPr>
        <w:spacing w:line="276" w:lineRule="auto"/>
        <w:ind w:firstLine="709"/>
        <w:jc w:val="both"/>
        <w:rPr>
          <w:sz w:val="22"/>
          <w:lang w:val="sr-Latn-RS"/>
        </w:rPr>
      </w:pPr>
    </w:p>
    <w:p w14:paraId="0FAE227D" w14:textId="77777777" w:rsidR="009947F7" w:rsidRPr="00CC7AEF" w:rsidRDefault="0089358D" w:rsidP="00ED4E1B">
      <w:pPr>
        <w:spacing w:line="276" w:lineRule="auto"/>
        <w:ind w:firstLine="709"/>
        <w:jc w:val="both"/>
        <w:rPr>
          <w:sz w:val="22"/>
        </w:rPr>
      </w:pPr>
      <w:r w:rsidRPr="00CC7AEF">
        <w:rPr>
          <w:sz w:val="22"/>
          <w:lang w:val="sr-Cyrl-RS"/>
        </w:rPr>
        <w:t>Очекује се  фискални дефицит за 2020. годину</w:t>
      </w:r>
      <w:r w:rsidR="00210389">
        <w:rPr>
          <w:sz w:val="22"/>
          <w:lang w:val="sr-Cyrl-RS"/>
        </w:rPr>
        <w:t xml:space="preserve"> (</w:t>
      </w:r>
      <w:r w:rsidRPr="00CC7AEF">
        <w:rPr>
          <w:sz w:val="22"/>
          <w:lang w:val="sr-Cyrl-RS"/>
        </w:rPr>
        <w:t xml:space="preserve">суфицит од 2,5% у 2018. години, дефицит </w:t>
      </w:r>
      <w:r w:rsidR="00210389">
        <w:rPr>
          <w:sz w:val="22"/>
          <w:lang w:val="sr-Cyrl-RS"/>
        </w:rPr>
        <w:t>од</w:t>
      </w:r>
      <w:r w:rsidRPr="00CC7AEF">
        <w:rPr>
          <w:sz w:val="22"/>
          <w:lang w:val="sr-Cyrl-RS"/>
        </w:rPr>
        <w:t xml:space="preserve"> 0,5% БДП</w:t>
      </w:r>
      <w:r w:rsidR="00210389">
        <w:rPr>
          <w:sz w:val="22"/>
          <w:lang w:val="sr-Cyrl-RS"/>
        </w:rPr>
        <w:t xml:space="preserve"> </w:t>
      </w:r>
      <w:r w:rsidR="00210389" w:rsidRPr="00CC7AEF">
        <w:rPr>
          <w:sz w:val="22"/>
          <w:lang w:val="sr-Cyrl-RS"/>
        </w:rPr>
        <w:t>у 2019. години</w:t>
      </w:r>
      <w:r w:rsidR="00210389">
        <w:rPr>
          <w:sz w:val="22"/>
          <w:lang w:val="sr-Cyrl-RS"/>
        </w:rPr>
        <w:t>)</w:t>
      </w:r>
      <w:r w:rsidRPr="00CC7AEF">
        <w:rPr>
          <w:sz w:val="22"/>
          <w:lang w:val="sr-Cyrl-RS"/>
        </w:rPr>
        <w:t xml:space="preserve">. </w:t>
      </w:r>
      <w:r w:rsidR="00210389">
        <w:rPr>
          <w:sz w:val="22"/>
          <w:lang w:val="sr-Cyrl-RS"/>
        </w:rPr>
        <w:t>Н</w:t>
      </w:r>
      <w:r w:rsidRPr="00CC7AEF">
        <w:rPr>
          <w:sz w:val="22"/>
          <w:lang w:val="sr-Cyrl-RS"/>
        </w:rPr>
        <w:t xml:space="preserve">а крају </w:t>
      </w:r>
      <w:r w:rsidR="007D4CEA">
        <w:rPr>
          <w:sz w:val="22"/>
          <w:lang w:val="sr-Cyrl-RS"/>
        </w:rPr>
        <w:t xml:space="preserve">2019. </w:t>
      </w:r>
      <w:r w:rsidRPr="00CC7AEF">
        <w:rPr>
          <w:sz w:val="22"/>
          <w:lang w:val="sr-Cyrl-RS"/>
        </w:rPr>
        <w:t>године укупан јавни</w:t>
      </w:r>
      <w:r w:rsidR="00210389">
        <w:rPr>
          <w:sz w:val="22"/>
          <w:lang w:val="sr-Cyrl-RS"/>
        </w:rPr>
        <w:t xml:space="preserve"> дуг је био 33,1%, што је прихв</w:t>
      </w:r>
      <w:r w:rsidRPr="00CC7AEF">
        <w:rPr>
          <w:sz w:val="22"/>
          <w:lang w:val="sr-Cyrl-RS"/>
        </w:rPr>
        <w:t>а</w:t>
      </w:r>
      <w:r w:rsidR="00210389">
        <w:rPr>
          <w:sz w:val="22"/>
          <w:lang w:val="sr-Cyrl-RS"/>
        </w:rPr>
        <w:t>т</w:t>
      </w:r>
      <w:r w:rsidRPr="00CC7AEF">
        <w:rPr>
          <w:sz w:val="22"/>
          <w:lang w:val="sr-Cyrl-RS"/>
        </w:rPr>
        <w:t>љиво. Одржава</w:t>
      </w:r>
      <w:r w:rsidR="00210389">
        <w:rPr>
          <w:sz w:val="22"/>
          <w:lang w:val="sr-Cyrl-RS"/>
        </w:rPr>
        <w:t>на</w:t>
      </w:r>
      <w:r w:rsidRPr="00CC7AEF">
        <w:rPr>
          <w:sz w:val="22"/>
          <w:lang w:val="sr-Cyrl-RS"/>
        </w:rPr>
        <w:t xml:space="preserve"> је фискална дисциплина</w:t>
      </w:r>
      <w:r w:rsidR="00886633" w:rsidRPr="00CC7AEF">
        <w:rPr>
          <w:sz w:val="22"/>
          <w:lang w:val="sr-Cyrl-RS"/>
        </w:rPr>
        <w:t xml:space="preserve">, што се показало значајним у условима </w:t>
      </w:r>
      <w:proofErr w:type="spellStart"/>
      <w:r w:rsidR="00886633" w:rsidRPr="00CC7AEF">
        <w:rPr>
          <w:sz w:val="22"/>
          <w:lang w:val="sr-Cyrl-RS"/>
        </w:rPr>
        <w:t>пандемије</w:t>
      </w:r>
      <w:proofErr w:type="spellEnd"/>
      <w:r w:rsidR="00886633" w:rsidRPr="00CC7AEF">
        <w:rPr>
          <w:sz w:val="22"/>
          <w:lang w:val="sr-Cyrl-RS"/>
        </w:rPr>
        <w:t xml:space="preserve"> и нове економске кризе. Очекује се да ће током 2020. године јавни дуг порасти на 37,5% БДП, те да ће се повећати дефицит текућег рачуна. </w:t>
      </w:r>
    </w:p>
    <w:p w14:paraId="266DD64D" w14:textId="77777777" w:rsidR="00886633" w:rsidRPr="00CC7AEF" w:rsidRDefault="00886633" w:rsidP="00ED4E1B">
      <w:pPr>
        <w:spacing w:line="276" w:lineRule="auto"/>
        <w:jc w:val="both"/>
        <w:rPr>
          <w:sz w:val="22"/>
          <w:lang w:val="sr-Cyrl-RS"/>
        </w:rPr>
      </w:pPr>
      <w:r w:rsidRPr="00CC7AEF">
        <w:rPr>
          <w:sz w:val="22"/>
          <w:lang w:val="sr-Cyrl-RS"/>
        </w:rPr>
        <w:tab/>
      </w:r>
    </w:p>
    <w:p w14:paraId="5EC306FC" w14:textId="77777777" w:rsidR="00FA6438" w:rsidRPr="00CC7AEF" w:rsidRDefault="00886633" w:rsidP="00ED4E1B">
      <w:pPr>
        <w:spacing w:line="276" w:lineRule="auto"/>
        <w:jc w:val="both"/>
        <w:rPr>
          <w:sz w:val="22"/>
          <w:lang w:val="sr-Cyrl-RS"/>
        </w:rPr>
      </w:pPr>
      <w:r w:rsidRPr="00CC7AEF">
        <w:rPr>
          <w:sz w:val="22"/>
        </w:rPr>
        <w:lastRenderedPageBreak/>
        <w:tab/>
      </w:r>
      <w:proofErr w:type="spellStart"/>
      <w:r w:rsidRPr="00CC7AEF">
        <w:rPr>
          <w:sz w:val="22"/>
        </w:rPr>
        <w:t>Свјетска</w:t>
      </w:r>
      <w:proofErr w:type="spellEnd"/>
      <w:r w:rsidRPr="00CC7AEF">
        <w:rPr>
          <w:sz w:val="22"/>
        </w:rPr>
        <w:t xml:space="preserve"> </w:t>
      </w:r>
      <w:proofErr w:type="spellStart"/>
      <w:r w:rsidRPr="00CC7AEF">
        <w:rPr>
          <w:sz w:val="22"/>
        </w:rPr>
        <w:t>банка</w:t>
      </w:r>
      <w:proofErr w:type="spellEnd"/>
      <w:r w:rsidRPr="00CC7AEF">
        <w:rPr>
          <w:sz w:val="22"/>
        </w:rPr>
        <w:t xml:space="preserve"> </w:t>
      </w:r>
      <w:proofErr w:type="spellStart"/>
      <w:r w:rsidRPr="00CC7AEF">
        <w:rPr>
          <w:sz w:val="22"/>
        </w:rPr>
        <w:t>је</w:t>
      </w:r>
      <w:proofErr w:type="spellEnd"/>
      <w:r w:rsidRPr="00CC7AEF">
        <w:rPr>
          <w:sz w:val="22"/>
        </w:rPr>
        <w:t xml:space="preserve"> </w:t>
      </w:r>
      <w:proofErr w:type="spellStart"/>
      <w:r w:rsidRPr="00CC7AEF">
        <w:rPr>
          <w:sz w:val="22"/>
        </w:rPr>
        <w:t>за</w:t>
      </w:r>
      <w:proofErr w:type="spellEnd"/>
      <w:r w:rsidRPr="00CC7AEF">
        <w:rPr>
          <w:sz w:val="22"/>
        </w:rPr>
        <w:t xml:space="preserve"> </w:t>
      </w:r>
      <w:proofErr w:type="spellStart"/>
      <w:r w:rsidRPr="00CC7AEF">
        <w:rPr>
          <w:sz w:val="22"/>
        </w:rPr>
        <w:t>БиХ</w:t>
      </w:r>
      <w:proofErr w:type="spellEnd"/>
      <w:r w:rsidRPr="00CC7AEF">
        <w:rPr>
          <w:sz w:val="22"/>
        </w:rPr>
        <w:t xml:space="preserve"> </w:t>
      </w:r>
      <w:proofErr w:type="spellStart"/>
      <w:r w:rsidRPr="00CC7AEF">
        <w:rPr>
          <w:sz w:val="22"/>
        </w:rPr>
        <w:t>нап</w:t>
      </w:r>
      <w:r w:rsidR="00E07FE7" w:rsidRPr="00CC7AEF">
        <w:rPr>
          <w:sz w:val="22"/>
        </w:rPr>
        <w:t>равила</w:t>
      </w:r>
      <w:proofErr w:type="spellEnd"/>
      <w:r w:rsidR="00E07FE7" w:rsidRPr="00CC7AEF">
        <w:rPr>
          <w:sz w:val="22"/>
        </w:rPr>
        <w:t xml:space="preserve"> </w:t>
      </w:r>
      <w:proofErr w:type="spellStart"/>
      <w:r w:rsidR="00E07FE7" w:rsidRPr="00CC7AEF">
        <w:rPr>
          <w:sz w:val="22"/>
        </w:rPr>
        <w:t>прогнозе</w:t>
      </w:r>
      <w:proofErr w:type="spellEnd"/>
      <w:r w:rsidR="00E07FE7" w:rsidRPr="00CC7AEF">
        <w:rPr>
          <w:sz w:val="22"/>
        </w:rPr>
        <w:t xml:space="preserve"> у </w:t>
      </w:r>
      <w:proofErr w:type="spellStart"/>
      <w:r w:rsidR="00E07FE7" w:rsidRPr="00CC7AEF">
        <w:rPr>
          <w:sz w:val="22"/>
        </w:rPr>
        <w:t>два</w:t>
      </w:r>
      <w:proofErr w:type="spellEnd"/>
      <w:r w:rsidR="00E07FE7" w:rsidRPr="00CC7AEF">
        <w:rPr>
          <w:sz w:val="22"/>
        </w:rPr>
        <w:t xml:space="preserve"> </w:t>
      </w:r>
      <w:proofErr w:type="spellStart"/>
      <w:r w:rsidR="00E07FE7" w:rsidRPr="00CC7AEF">
        <w:rPr>
          <w:sz w:val="22"/>
        </w:rPr>
        <w:t>сценарија</w:t>
      </w:r>
      <w:proofErr w:type="spellEnd"/>
      <w:r w:rsidR="00E07FE7" w:rsidRPr="00CC7AEF">
        <w:rPr>
          <w:sz w:val="22"/>
        </w:rPr>
        <w:t xml:space="preserve">, </w:t>
      </w:r>
      <w:proofErr w:type="spellStart"/>
      <w:r w:rsidR="00E07FE7" w:rsidRPr="00CC7AEF">
        <w:rPr>
          <w:sz w:val="22"/>
        </w:rPr>
        <w:t>који</w:t>
      </w:r>
      <w:proofErr w:type="spellEnd"/>
      <w:r w:rsidR="00E07FE7" w:rsidRPr="00CC7AEF">
        <w:rPr>
          <w:sz w:val="22"/>
        </w:rPr>
        <w:t xml:space="preserve"> </w:t>
      </w:r>
      <w:r w:rsidR="00E07FE7" w:rsidRPr="00CC7AEF">
        <w:rPr>
          <w:sz w:val="22"/>
          <w:lang w:val="sr-Cyrl-RS"/>
        </w:rPr>
        <w:t>зависе</w:t>
      </w:r>
      <w:r w:rsidR="00FA6438" w:rsidRPr="00CC7AEF">
        <w:rPr>
          <w:sz w:val="22"/>
          <w:lang w:val="sr-Cyrl-RS"/>
        </w:rPr>
        <w:t xml:space="preserve"> од дужине трајања </w:t>
      </w:r>
      <w:proofErr w:type="spellStart"/>
      <w:r w:rsidR="00FA6438" w:rsidRPr="00CC7AEF">
        <w:rPr>
          <w:sz w:val="22"/>
          <w:lang w:val="sr-Cyrl-RS"/>
        </w:rPr>
        <w:t>пандемије</w:t>
      </w:r>
      <w:proofErr w:type="spellEnd"/>
      <w:r w:rsidR="00FA6438" w:rsidRPr="00CC7AEF">
        <w:rPr>
          <w:sz w:val="22"/>
          <w:lang w:val="sr-Cyrl-RS"/>
        </w:rPr>
        <w:t xml:space="preserve"> и обима и структуре јавних програма за помоћ и стабилизацију привреде.</w:t>
      </w:r>
    </w:p>
    <w:p w14:paraId="7AEFE888" w14:textId="77777777" w:rsidR="00006AAF" w:rsidRPr="00CC7AEF" w:rsidRDefault="00006AAF" w:rsidP="00ED4E1B">
      <w:pPr>
        <w:spacing w:line="276" w:lineRule="auto"/>
        <w:jc w:val="both"/>
        <w:rPr>
          <w:sz w:val="22"/>
          <w:lang w:val="sr-Cyrl-RS"/>
        </w:rPr>
      </w:pPr>
    </w:p>
    <w:p w14:paraId="60B89454" w14:textId="77777777" w:rsidR="00C1471F" w:rsidRPr="00EB021F" w:rsidRDefault="00C1471F" w:rsidP="00C1471F">
      <w:pPr>
        <w:rPr>
          <w:b/>
          <w:color w:val="4F81BD" w:themeColor="accent1"/>
          <w:sz w:val="20"/>
          <w:szCs w:val="20"/>
          <w:lang w:val="sr-Cyrl-RS"/>
        </w:rPr>
      </w:pPr>
      <w:r w:rsidRPr="00CC7AEF">
        <w:rPr>
          <w:b/>
          <w:color w:val="4F81BD" w:themeColor="accent1"/>
          <w:sz w:val="20"/>
          <w:szCs w:val="20"/>
          <w:lang w:val="sr-Cyrl-RS"/>
        </w:rPr>
        <w:t xml:space="preserve">Табела 2: Изгледи за БиХ </w:t>
      </w:r>
      <w:r w:rsidRPr="00CC7AEF">
        <w:rPr>
          <w:b/>
          <w:color w:val="4F81BD" w:themeColor="accent1"/>
          <w:sz w:val="20"/>
          <w:szCs w:val="20"/>
        </w:rPr>
        <w:t>2020</w:t>
      </w:r>
      <w:r w:rsidR="00EB021F">
        <w:rPr>
          <w:b/>
          <w:color w:val="4F81BD" w:themeColor="accent1"/>
          <w:sz w:val="20"/>
          <w:szCs w:val="20"/>
          <w:lang w:val="sr-Cyrl-RS"/>
        </w:rPr>
        <w:t>. г.</w:t>
      </w:r>
    </w:p>
    <w:p w14:paraId="241F3C26" w14:textId="77777777" w:rsidR="009947F7" w:rsidRPr="00CC7AEF" w:rsidRDefault="009947F7" w:rsidP="007D4CEA">
      <w:pPr>
        <w:pBdr>
          <w:top w:val="single" w:sz="4" w:space="1" w:color="auto"/>
        </w:pBdr>
        <w:jc w:val="both"/>
        <w:rPr>
          <w:sz w:val="20"/>
          <w:szCs w:val="20"/>
          <w:lang w:val="sr-Cyrl-RS"/>
        </w:rPr>
      </w:pPr>
      <w:r w:rsidRPr="00CC7AEF">
        <w:rPr>
          <w:b/>
          <w:sz w:val="20"/>
          <w:szCs w:val="20"/>
        </w:rPr>
        <w:t xml:space="preserve">                           </w:t>
      </w:r>
      <w:r w:rsidR="00C1471F" w:rsidRPr="00CC7AEF">
        <w:rPr>
          <w:b/>
          <w:sz w:val="20"/>
          <w:szCs w:val="20"/>
          <w:lang w:val="sr-Cyrl-RS"/>
        </w:rPr>
        <w:t xml:space="preserve">                             </w:t>
      </w:r>
      <w:r w:rsidRPr="00CC7AEF">
        <w:rPr>
          <w:b/>
          <w:sz w:val="20"/>
          <w:szCs w:val="20"/>
        </w:rPr>
        <w:t xml:space="preserve"> </w:t>
      </w:r>
      <w:r w:rsidR="00EB021F">
        <w:rPr>
          <w:b/>
          <w:sz w:val="20"/>
          <w:szCs w:val="20"/>
          <w:lang w:val="sr-Cyrl-RS"/>
        </w:rPr>
        <w:t xml:space="preserve">      </w:t>
      </w:r>
      <w:r w:rsidRPr="00CC7AEF">
        <w:rPr>
          <w:b/>
          <w:sz w:val="20"/>
          <w:szCs w:val="20"/>
        </w:rPr>
        <w:t xml:space="preserve"> </w:t>
      </w:r>
      <w:r w:rsidR="00EB021F">
        <w:rPr>
          <w:b/>
          <w:sz w:val="20"/>
          <w:szCs w:val="20"/>
          <w:lang w:val="sr-Cyrl-RS"/>
        </w:rPr>
        <w:t xml:space="preserve">  </w:t>
      </w:r>
      <w:r w:rsidRPr="00CC7AEF">
        <w:rPr>
          <w:b/>
          <w:sz w:val="20"/>
          <w:szCs w:val="20"/>
        </w:rPr>
        <w:t xml:space="preserve">   </w:t>
      </w:r>
      <w:r w:rsidR="00C1471F" w:rsidRPr="00CC7AEF">
        <w:rPr>
          <w:sz w:val="20"/>
          <w:szCs w:val="20"/>
          <w:lang w:val="sr-Cyrl-RS"/>
        </w:rPr>
        <w:t>Прије</w:t>
      </w:r>
      <w:r w:rsidR="00C1471F" w:rsidRPr="00CC7AEF">
        <w:rPr>
          <w:sz w:val="20"/>
          <w:szCs w:val="20"/>
        </w:rPr>
        <w:t xml:space="preserve">          </w:t>
      </w:r>
      <w:r w:rsidRPr="00CC7AEF">
        <w:rPr>
          <w:sz w:val="20"/>
          <w:szCs w:val="20"/>
        </w:rPr>
        <w:t xml:space="preserve">   </w:t>
      </w:r>
      <w:r w:rsidR="00EB021F">
        <w:rPr>
          <w:sz w:val="20"/>
          <w:szCs w:val="20"/>
          <w:lang w:val="sr-Cyrl-RS"/>
        </w:rPr>
        <w:t xml:space="preserve">       </w:t>
      </w:r>
      <w:r w:rsidRPr="00CC7AEF">
        <w:rPr>
          <w:sz w:val="20"/>
          <w:szCs w:val="20"/>
        </w:rPr>
        <w:t xml:space="preserve">  </w:t>
      </w:r>
      <w:r w:rsidR="00C1471F" w:rsidRPr="00CC7AEF">
        <w:rPr>
          <w:sz w:val="20"/>
          <w:szCs w:val="20"/>
          <w:lang w:val="sr-Cyrl-RS"/>
        </w:rPr>
        <w:t xml:space="preserve">Основни </w:t>
      </w:r>
      <w:r w:rsidRPr="00CC7AEF">
        <w:rPr>
          <w:sz w:val="20"/>
          <w:szCs w:val="20"/>
        </w:rPr>
        <w:t xml:space="preserve">          </w:t>
      </w:r>
      <w:r w:rsidR="00EB021F">
        <w:rPr>
          <w:sz w:val="20"/>
          <w:szCs w:val="20"/>
          <w:lang w:val="sr-Cyrl-RS"/>
        </w:rPr>
        <w:t xml:space="preserve">         </w:t>
      </w:r>
      <w:r w:rsidRPr="00CC7AEF">
        <w:rPr>
          <w:sz w:val="20"/>
          <w:szCs w:val="20"/>
        </w:rPr>
        <w:t xml:space="preserve">  </w:t>
      </w:r>
      <w:r w:rsidR="00C1471F" w:rsidRPr="00CC7AEF">
        <w:rPr>
          <w:sz w:val="20"/>
          <w:szCs w:val="20"/>
          <w:lang w:val="sr-Cyrl-RS"/>
        </w:rPr>
        <w:t>Сценарио</w:t>
      </w:r>
    </w:p>
    <w:p w14:paraId="5D534B47" w14:textId="77777777" w:rsidR="009947F7" w:rsidRPr="00CC7AEF" w:rsidRDefault="009947F7" w:rsidP="007D4CEA">
      <w:pPr>
        <w:pBdr>
          <w:top w:val="single" w:sz="4" w:space="1" w:color="auto"/>
        </w:pBdr>
        <w:jc w:val="both"/>
        <w:rPr>
          <w:sz w:val="20"/>
          <w:szCs w:val="20"/>
          <w:lang w:val="sr-Cyrl-RS"/>
        </w:rPr>
      </w:pPr>
      <w:r w:rsidRPr="00CC7AEF">
        <w:rPr>
          <w:sz w:val="20"/>
          <w:szCs w:val="20"/>
        </w:rPr>
        <w:t xml:space="preserve">                             </w:t>
      </w:r>
      <w:r w:rsidR="00C1471F" w:rsidRPr="00CC7AEF">
        <w:rPr>
          <w:sz w:val="20"/>
          <w:szCs w:val="20"/>
          <w:lang w:val="sr-Cyrl-RS"/>
        </w:rPr>
        <w:t xml:space="preserve">                     </w:t>
      </w:r>
      <w:r w:rsidR="00EB021F">
        <w:rPr>
          <w:sz w:val="20"/>
          <w:szCs w:val="20"/>
          <w:lang w:val="sr-Cyrl-RS"/>
        </w:rPr>
        <w:t xml:space="preserve">       </w:t>
      </w:r>
      <w:r w:rsidR="00C1471F" w:rsidRPr="00CC7AEF">
        <w:rPr>
          <w:sz w:val="20"/>
          <w:szCs w:val="20"/>
          <w:lang w:val="sr-Cyrl-RS"/>
        </w:rPr>
        <w:t xml:space="preserve">    </w:t>
      </w:r>
      <w:r w:rsidRPr="00CC7AEF">
        <w:rPr>
          <w:sz w:val="20"/>
          <w:szCs w:val="20"/>
        </w:rPr>
        <w:t xml:space="preserve">    COVID 19        </w:t>
      </w:r>
      <w:r w:rsidR="00EB021F">
        <w:rPr>
          <w:sz w:val="20"/>
          <w:szCs w:val="20"/>
          <w:lang w:val="sr-Cyrl-RS"/>
        </w:rPr>
        <w:t xml:space="preserve">       </w:t>
      </w:r>
      <w:r w:rsidRPr="00CC7AEF">
        <w:rPr>
          <w:sz w:val="20"/>
          <w:szCs w:val="20"/>
        </w:rPr>
        <w:t xml:space="preserve">   </w:t>
      </w:r>
      <w:r w:rsidR="00C1471F" w:rsidRPr="00CC7AEF">
        <w:rPr>
          <w:sz w:val="20"/>
          <w:szCs w:val="20"/>
          <w:lang w:val="sr-Cyrl-RS"/>
        </w:rPr>
        <w:t>сценарио</w:t>
      </w:r>
      <w:r w:rsidRPr="00CC7AEF">
        <w:rPr>
          <w:sz w:val="20"/>
          <w:szCs w:val="20"/>
        </w:rPr>
        <w:t xml:space="preserve">        </w:t>
      </w:r>
      <w:r w:rsidR="00EB021F">
        <w:rPr>
          <w:sz w:val="20"/>
          <w:szCs w:val="20"/>
          <w:lang w:val="sr-Cyrl-RS"/>
        </w:rPr>
        <w:t xml:space="preserve">          </w:t>
      </w:r>
      <w:r w:rsidRPr="00CC7AEF">
        <w:rPr>
          <w:sz w:val="20"/>
          <w:szCs w:val="20"/>
        </w:rPr>
        <w:t xml:space="preserve">    </w:t>
      </w:r>
      <w:r w:rsidR="00C1471F" w:rsidRPr="00CC7AEF">
        <w:rPr>
          <w:sz w:val="20"/>
          <w:szCs w:val="20"/>
          <w:lang w:val="sr-Cyrl-RS"/>
        </w:rPr>
        <w:t>опадања</w:t>
      </w:r>
    </w:p>
    <w:p w14:paraId="5F7BDBF3" w14:textId="77777777" w:rsidR="009947F7" w:rsidRPr="00CC7AEF" w:rsidRDefault="00C1471F" w:rsidP="007D4CEA">
      <w:pPr>
        <w:pBdr>
          <w:top w:val="single" w:sz="4" w:space="1" w:color="auto"/>
          <w:bottom w:val="single" w:sz="6" w:space="1" w:color="auto"/>
        </w:pBdr>
        <w:jc w:val="both"/>
        <w:rPr>
          <w:sz w:val="20"/>
          <w:szCs w:val="20"/>
        </w:rPr>
      </w:pPr>
      <w:r w:rsidRPr="00CC7AEF">
        <w:rPr>
          <w:sz w:val="20"/>
          <w:szCs w:val="20"/>
          <w:lang w:val="sr-Cyrl-RS"/>
        </w:rPr>
        <w:t>Реалан раст БДП</w:t>
      </w:r>
      <w:r w:rsidR="009947F7" w:rsidRPr="00CC7AEF">
        <w:rPr>
          <w:sz w:val="20"/>
          <w:szCs w:val="20"/>
        </w:rPr>
        <w:t xml:space="preserve"> </w:t>
      </w:r>
      <w:r w:rsidRPr="00CC7AEF">
        <w:rPr>
          <w:sz w:val="20"/>
          <w:szCs w:val="20"/>
          <w:lang w:val="sr-Cyrl-RS"/>
        </w:rPr>
        <w:t xml:space="preserve">                             </w:t>
      </w:r>
      <w:r w:rsidR="00EB021F">
        <w:rPr>
          <w:sz w:val="20"/>
          <w:szCs w:val="20"/>
          <w:lang w:val="sr-Cyrl-RS"/>
        </w:rPr>
        <w:t xml:space="preserve">  </w:t>
      </w:r>
      <w:r w:rsidR="008F014A">
        <w:rPr>
          <w:sz w:val="20"/>
          <w:szCs w:val="20"/>
          <w:lang w:val="sr-Cyrl-RS"/>
        </w:rPr>
        <w:t xml:space="preserve"> </w:t>
      </w:r>
      <w:r w:rsidR="00EB021F">
        <w:rPr>
          <w:sz w:val="20"/>
          <w:szCs w:val="20"/>
          <w:lang w:val="sr-Cyrl-RS"/>
        </w:rPr>
        <w:t xml:space="preserve">   </w:t>
      </w:r>
      <w:r w:rsidRPr="00CC7AEF">
        <w:rPr>
          <w:sz w:val="20"/>
          <w:szCs w:val="20"/>
          <w:lang w:val="sr-Cyrl-RS"/>
        </w:rPr>
        <w:t xml:space="preserve">  </w:t>
      </w:r>
      <w:r w:rsidR="009947F7" w:rsidRPr="00CC7AEF">
        <w:rPr>
          <w:sz w:val="20"/>
          <w:szCs w:val="20"/>
        </w:rPr>
        <w:t xml:space="preserve">     3,4                </w:t>
      </w:r>
      <w:r w:rsidR="00EB021F">
        <w:rPr>
          <w:sz w:val="20"/>
          <w:szCs w:val="20"/>
          <w:lang w:val="sr-Cyrl-RS"/>
        </w:rPr>
        <w:t xml:space="preserve">      </w:t>
      </w:r>
      <w:r w:rsidR="009947F7" w:rsidRPr="00CC7AEF">
        <w:rPr>
          <w:sz w:val="20"/>
          <w:szCs w:val="20"/>
        </w:rPr>
        <w:t xml:space="preserve">      </w:t>
      </w:r>
      <w:r w:rsidR="00EB021F">
        <w:rPr>
          <w:sz w:val="20"/>
          <w:szCs w:val="20"/>
        </w:rPr>
        <w:t>-</w:t>
      </w:r>
      <w:r w:rsidR="009947F7" w:rsidRPr="00CC7AEF">
        <w:rPr>
          <w:sz w:val="20"/>
          <w:szCs w:val="20"/>
        </w:rPr>
        <w:t xml:space="preserve">3,2             </w:t>
      </w:r>
      <w:r w:rsidR="00EB021F">
        <w:rPr>
          <w:sz w:val="20"/>
          <w:szCs w:val="20"/>
          <w:lang w:val="sr-Cyrl-RS"/>
        </w:rPr>
        <w:t xml:space="preserve">          </w:t>
      </w:r>
      <w:r w:rsidR="009947F7" w:rsidRPr="00CC7AEF">
        <w:rPr>
          <w:sz w:val="20"/>
          <w:szCs w:val="20"/>
        </w:rPr>
        <w:t xml:space="preserve">      -4,2</w:t>
      </w:r>
    </w:p>
    <w:p w14:paraId="2DB1EE77" w14:textId="77777777" w:rsidR="009947F7" w:rsidRPr="00CC7AEF" w:rsidRDefault="00C1471F" w:rsidP="007D4CEA">
      <w:pPr>
        <w:pBdr>
          <w:top w:val="single" w:sz="4" w:space="1" w:color="auto"/>
          <w:bottom w:val="single" w:sz="6" w:space="1" w:color="auto"/>
          <w:between w:val="single" w:sz="6" w:space="1" w:color="auto"/>
        </w:pBdr>
        <w:jc w:val="both"/>
        <w:rPr>
          <w:sz w:val="20"/>
          <w:szCs w:val="20"/>
        </w:rPr>
      </w:pPr>
      <w:r w:rsidRPr="00CC7AEF">
        <w:rPr>
          <w:sz w:val="20"/>
          <w:szCs w:val="20"/>
          <w:lang w:val="sr-Cyrl-RS"/>
        </w:rPr>
        <w:t xml:space="preserve">Потрошња </w:t>
      </w:r>
      <w:r w:rsidR="009947F7" w:rsidRPr="00CC7AEF">
        <w:rPr>
          <w:sz w:val="20"/>
          <w:szCs w:val="20"/>
        </w:rPr>
        <w:t xml:space="preserve">          </w:t>
      </w:r>
      <w:r w:rsidRPr="00CC7AEF">
        <w:rPr>
          <w:sz w:val="20"/>
          <w:szCs w:val="20"/>
          <w:lang w:val="sr-Cyrl-RS"/>
        </w:rPr>
        <w:t xml:space="preserve">                             </w:t>
      </w:r>
      <w:r w:rsidR="00EB021F">
        <w:rPr>
          <w:sz w:val="20"/>
          <w:szCs w:val="20"/>
          <w:lang w:val="sr-Cyrl-RS"/>
        </w:rPr>
        <w:t xml:space="preserve"> </w:t>
      </w:r>
      <w:r w:rsidR="008F014A">
        <w:rPr>
          <w:sz w:val="20"/>
          <w:szCs w:val="20"/>
          <w:lang w:val="sr-Cyrl-RS"/>
        </w:rPr>
        <w:t xml:space="preserve"> </w:t>
      </w:r>
      <w:r w:rsidR="00EB021F">
        <w:rPr>
          <w:sz w:val="20"/>
          <w:szCs w:val="20"/>
          <w:lang w:val="sr-Cyrl-RS"/>
        </w:rPr>
        <w:t xml:space="preserve">     </w:t>
      </w:r>
      <w:r w:rsidRPr="00CC7AEF">
        <w:rPr>
          <w:sz w:val="20"/>
          <w:szCs w:val="20"/>
          <w:lang w:val="sr-Cyrl-RS"/>
        </w:rPr>
        <w:t xml:space="preserve"> </w:t>
      </w:r>
      <w:r w:rsidR="009947F7" w:rsidRPr="00CC7AEF">
        <w:rPr>
          <w:sz w:val="20"/>
          <w:szCs w:val="20"/>
        </w:rPr>
        <w:t xml:space="preserve">      3,3              </w:t>
      </w:r>
      <w:r w:rsidR="009731AF" w:rsidRPr="00CC7AEF">
        <w:rPr>
          <w:sz w:val="20"/>
          <w:szCs w:val="20"/>
          <w:lang w:val="sr-Cyrl-RS"/>
        </w:rPr>
        <w:t xml:space="preserve"> </w:t>
      </w:r>
      <w:r w:rsidR="009947F7" w:rsidRPr="00CC7AEF">
        <w:rPr>
          <w:sz w:val="20"/>
          <w:szCs w:val="20"/>
        </w:rPr>
        <w:t xml:space="preserve">   </w:t>
      </w:r>
      <w:r w:rsidR="00EB021F">
        <w:rPr>
          <w:sz w:val="20"/>
          <w:szCs w:val="20"/>
          <w:lang w:val="sr-Cyrl-RS"/>
        </w:rPr>
        <w:t xml:space="preserve">    </w:t>
      </w:r>
      <w:r w:rsidR="009947F7" w:rsidRPr="00CC7AEF">
        <w:rPr>
          <w:sz w:val="20"/>
          <w:szCs w:val="20"/>
        </w:rPr>
        <w:t xml:space="preserve">     -2,7              </w:t>
      </w:r>
      <w:r w:rsidR="00EB021F">
        <w:rPr>
          <w:sz w:val="20"/>
          <w:szCs w:val="20"/>
          <w:lang w:val="sr-Cyrl-RS"/>
        </w:rPr>
        <w:t xml:space="preserve">         </w:t>
      </w:r>
      <w:r w:rsidR="009947F7" w:rsidRPr="00CC7AEF">
        <w:rPr>
          <w:sz w:val="20"/>
          <w:szCs w:val="20"/>
        </w:rPr>
        <w:t xml:space="preserve">      -3,8</w:t>
      </w:r>
    </w:p>
    <w:p w14:paraId="1E16285E" w14:textId="77777777" w:rsidR="009947F7" w:rsidRPr="00CC7AEF" w:rsidRDefault="00C1471F" w:rsidP="007D4CEA">
      <w:pPr>
        <w:pBdr>
          <w:top w:val="single" w:sz="4" w:space="1" w:color="auto"/>
          <w:bottom w:val="single" w:sz="6" w:space="1" w:color="auto"/>
          <w:between w:val="single" w:sz="6" w:space="1" w:color="auto"/>
        </w:pBdr>
        <w:jc w:val="both"/>
        <w:rPr>
          <w:sz w:val="20"/>
          <w:szCs w:val="20"/>
        </w:rPr>
      </w:pPr>
      <w:r w:rsidRPr="00CC7AEF">
        <w:rPr>
          <w:sz w:val="20"/>
          <w:szCs w:val="20"/>
          <w:lang w:val="sr-Cyrl-RS"/>
        </w:rPr>
        <w:t>Инвестиције</w:t>
      </w:r>
      <w:r w:rsidR="009947F7" w:rsidRPr="00CC7AEF">
        <w:rPr>
          <w:sz w:val="20"/>
          <w:szCs w:val="20"/>
        </w:rPr>
        <w:t xml:space="preserve">         </w:t>
      </w:r>
      <w:r w:rsidRPr="00CC7AEF">
        <w:rPr>
          <w:sz w:val="20"/>
          <w:szCs w:val="20"/>
          <w:lang w:val="sr-Cyrl-RS"/>
        </w:rPr>
        <w:t xml:space="preserve">                           </w:t>
      </w:r>
      <w:r w:rsidR="00EB021F">
        <w:rPr>
          <w:sz w:val="20"/>
          <w:szCs w:val="20"/>
          <w:lang w:val="sr-Cyrl-RS"/>
        </w:rPr>
        <w:t xml:space="preserve">     </w:t>
      </w:r>
      <w:r w:rsidRPr="00CC7AEF">
        <w:rPr>
          <w:sz w:val="20"/>
          <w:szCs w:val="20"/>
          <w:lang w:val="sr-Cyrl-RS"/>
        </w:rPr>
        <w:t xml:space="preserve"> </w:t>
      </w:r>
      <w:r w:rsidR="008F014A">
        <w:rPr>
          <w:sz w:val="20"/>
          <w:szCs w:val="20"/>
          <w:lang w:val="sr-Cyrl-RS"/>
        </w:rPr>
        <w:t xml:space="preserve"> </w:t>
      </w:r>
      <w:r w:rsidRPr="00CC7AEF">
        <w:rPr>
          <w:sz w:val="20"/>
          <w:szCs w:val="20"/>
          <w:lang w:val="sr-Cyrl-RS"/>
        </w:rPr>
        <w:t xml:space="preserve">   </w:t>
      </w:r>
      <w:r w:rsidR="009947F7" w:rsidRPr="00CC7AEF">
        <w:rPr>
          <w:sz w:val="20"/>
          <w:szCs w:val="20"/>
        </w:rPr>
        <w:t xml:space="preserve">    1,0         </w:t>
      </w:r>
      <w:r w:rsidR="008F014A">
        <w:rPr>
          <w:sz w:val="20"/>
          <w:szCs w:val="20"/>
          <w:lang w:val="sr-Cyrl-RS"/>
        </w:rPr>
        <w:t xml:space="preserve"> </w:t>
      </w:r>
      <w:r w:rsidR="009947F7" w:rsidRPr="00CC7AEF">
        <w:rPr>
          <w:sz w:val="20"/>
          <w:szCs w:val="20"/>
        </w:rPr>
        <w:t xml:space="preserve">     </w:t>
      </w:r>
      <w:r w:rsidR="009731AF" w:rsidRPr="00CC7AEF">
        <w:rPr>
          <w:sz w:val="20"/>
          <w:szCs w:val="20"/>
          <w:lang w:val="sr-Cyrl-RS"/>
        </w:rPr>
        <w:t xml:space="preserve"> </w:t>
      </w:r>
      <w:r w:rsidR="009947F7" w:rsidRPr="00CC7AEF">
        <w:rPr>
          <w:sz w:val="20"/>
          <w:szCs w:val="20"/>
        </w:rPr>
        <w:t xml:space="preserve">  </w:t>
      </w:r>
      <w:r w:rsidR="00EB021F">
        <w:rPr>
          <w:sz w:val="20"/>
          <w:szCs w:val="20"/>
          <w:lang w:val="sr-Cyrl-RS"/>
        </w:rPr>
        <w:t xml:space="preserve">      </w:t>
      </w:r>
      <w:r w:rsidR="00EB021F">
        <w:rPr>
          <w:sz w:val="20"/>
          <w:szCs w:val="20"/>
        </w:rPr>
        <w:t xml:space="preserve">  </w:t>
      </w:r>
      <w:r w:rsidR="009947F7" w:rsidRPr="00CC7AEF">
        <w:rPr>
          <w:sz w:val="20"/>
          <w:szCs w:val="20"/>
        </w:rPr>
        <w:t xml:space="preserve">   -6,2            </w:t>
      </w:r>
      <w:r w:rsidR="00EB021F">
        <w:rPr>
          <w:sz w:val="20"/>
          <w:szCs w:val="20"/>
          <w:lang w:val="sr-Cyrl-RS"/>
        </w:rPr>
        <w:t xml:space="preserve"> </w:t>
      </w:r>
      <w:r w:rsidR="009947F7" w:rsidRPr="00CC7AEF">
        <w:rPr>
          <w:sz w:val="20"/>
          <w:szCs w:val="20"/>
        </w:rPr>
        <w:t xml:space="preserve">  </w:t>
      </w:r>
      <w:r w:rsidR="00EB021F">
        <w:rPr>
          <w:sz w:val="20"/>
          <w:szCs w:val="20"/>
          <w:lang w:val="sr-Cyrl-RS"/>
        </w:rPr>
        <w:t xml:space="preserve">        </w:t>
      </w:r>
      <w:r w:rsidR="009947F7" w:rsidRPr="00CC7AEF">
        <w:rPr>
          <w:sz w:val="20"/>
          <w:szCs w:val="20"/>
        </w:rPr>
        <w:t xml:space="preserve">      -7,1</w:t>
      </w:r>
    </w:p>
    <w:p w14:paraId="53176F85" w14:textId="77777777" w:rsidR="009947F7" w:rsidRPr="00CC7AEF" w:rsidRDefault="00C1471F" w:rsidP="007D4CEA">
      <w:pPr>
        <w:pBdr>
          <w:top w:val="single" w:sz="4" w:space="1" w:color="auto"/>
          <w:bottom w:val="single" w:sz="6" w:space="1" w:color="auto"/>
          <w:between w:val="single" w:sz="6" w:space="1" w:color="auto"/>
        </w:pBdr>
        <w:jc w:val="both"/>
        <w:rPr>
          <w:sz w:val="20"/>
          <w:szCs w:val="20"/>
        </w:rPr>
      </w:pPr>
      <w:r w:rsidRPr="00CC7AEF">
        <w:rPr>
          <w:sz w:val="20"/>
          <w:szCs w:val="20"/>
          <w:lang w:val="sr-Cyrl-RS"/>
        </w:rPr>
        <w:t>Извоз</w:t>
      </w:r>
      <w:r w:rsidR="009947F7" w:rsidRPr="00CC7AEF">
        <w:rPr>
          <w:sz w:val="20"/>
          <w:szCs w:val="20"/>
        </w:rPr>
        <w:t xml:space="preserve">                  </w:t>
      </w:r>
      <w:r w:rsidRPr="00CC7AEF">
        <w:rPr>
          <w:sz w:val="20"/>
          <w:szCs w:val="20"/>
          <w:lang w:val="sr-Cyrl-RS"/>
        </w:rPr>
        <w:t xml:space="preserve">                               </w:t>
      </w:r>
      <w:r w:rsidR="009947F7" w:rsidRPr="00CC7AEF">
        <w:rPr>
          <w:sz w:val="20"/>
          <w:szCs w:val="20"/>
        </w:rPr>
        <w:t xml:space="preserve"> </w:t>
      </w:r>
      <w:r w:rsidR="00EB021F">
        <w:rPr>
          <w:sz w:val="20"/>
          <w:szCs w:val="20"/>
          <w:lang w:val="sr-Cyrl-RS"/>
        </w:rPr>
        <w:t xml:space="preserve">    </w:t>
      </w:r>
      <w:r w:rsidR="008F014A">
        <w:rPr>
          <w:sz w:val="20"/>
          <w:szCs w:val="20"/>
          <w:lang w:val="sr-Cyrl-RS"/>
        </w:rPr>
        <w:t xml:space="preserve"> </w:t>
      </w:r>
      <w:r w:rsidR="00EB021F">
        <w:rPr>
          <w:sz w:val="20"/>
          <w:szCs w:val="20"/>
          <w:lang w:val="sr-Cyrl-RS"/>
        </w:rPr>
        <w:t xml:space="preserve"> </w:t>
      </w:r>
      <w:r w:rsidR="009947F7" w:rsidRPr="00CC7AEF">
        <w:rPr>
          <w:sz w:val="20"/>
          <w:szCs w:val="20"/>
        </w:rPr>
        <w:t xml:space="preserve">      3,0               </w:t>
      </w:r>
      <w:r w:rsidR="00EB021F">
        <w:rPr>
          <w:sz w:val="20"/>
          <w:szCs w:val="20"/>
          <w:lang w:val="sr-Cyrl-RS"/>
        </w:rPr>
        <w:t xml:space="preserve">    </w:t>
      </w:r>
      <w:r w:rsidR="009731AF" w:rsidRPr="00CC7AEF">
        <w:rPr>
          <w:sz w:val="20"/>
          <w:szCs w:val="20"/>
          <w:lang w:val="sr-Cyrl-RS"/>
        </w:rPr>
        <w:t xml:space="preserve"> </w:t>
      </w:r>
      <w:r w:rsidR="009947F7" w:rsidRPr="00CC7AEF">
        <w:rPr>
          <w:sz w:val="20"/>
          <w:szCs w:val="20"/>
        </w:rPr>
        <w:t xml:space="preserve">  </w:t>
      </w:r>
      <w:r w:rsidR="00A82B11">
        <w:rPr>
          <w:sz w:val="20"/>
          <w:szCs w:val="20"/>
          <w:lang w:val="sr-Cyrl-RS"/>
        </w:rPr>
        <w:t xml:space="preserve"> </w:t>
      </w:r>
      <w:r w:rsidR="009947F7" w:rsidRPr="00CC7AEF">
        <w:rPr>
          <w:sz w:val="20"/>
          <w:szCs w:val="20"/>
        </w:rPr>
        <w:t xml:space="preserve">     -8,8              </w:t>
      </w:r>
      <w:r w:rsidR="00EB021F">
        <w:rPr>
          <w:sz w:val="20"/>
          <w:szCs w:val="20"/>
          <w:lang w:val="sr-Cyrl-RS"/>
        </w:rPr>
        <w:t xml:space="preserve"> </w:t>
      </w:r>
      <w:r w:rsidR="00A82B11">
        <w:rPr>
          <w:sz w:val="20"/>
          <w:szCs w:val="20"/>
          <w:lang w:val="sr-Cyrl-RS"/>
        </w:rPr>
        <w:t xml:space="preserve">  </w:t>
      </w:r>
      <w:r w:rsidR="00EB021F">
        <w:rPr>
          <w:sz w:val="20"/>
          <w:szCs w:val="20"/>
          <w:lang w:val="sr-Cyrl-RS"/>
        </w:rPr>
        <w:t xml:space="preserve">   </w:t>
      </w:r>
      <w:r w:rsidR="00A82B11">
        <w:rPr>
          <w:sz w:val="20"/>
          <w:szCs w:val="20"/>
          <w:lang w:val="sr-Cyrl-RS"/>
        </w:rPr>
        <w:t xml:space="preserve">  </w:t>
      </w:r>
      <w:r w:rsidR="00EB021F">
        <w:rPr>
          <w:sz w:val="20"/>
          <w:szCs w:val="20"/>
          <w:lang w:val="sr-Cyrl-RS"/>
        </w:rPr>
        <w:t xml:space="preserve"> </w:t>
      </w:r>
      <w:r w:rsidR="009947F7" w:rsidRPr="00CC7AEF">
        <w:rPr>
          <w:sz w:val="20"/>
          <w:szCs w:val="20"/>
        </w:rPr>
        <w:t xml:space="preserve">      -7,5</w:t>
      </w:r>
    </w:p>
    <w:p w14:paraId="451E2532" w14:textId="77777777" w:rsidR="009947F7" w:rsidRPr="00CC7AEF" w:rsidRDefault="00C1471F" w:rsidP="007D4CEA">
      <w:pPr>
        <w:pBdr>
          <w:top w:val="single" w:sz="4" w:space="1" w:color="auto"/>
          <w:bottom w:val="single" w:sz="6" w:space="1" w:color="auto"/>
          <w:between w:val="single" w:sz="6" w:space="1" w:color="auto"/>
        </w:pBdr>
        <w:jc w:val="both"/>
        <w:rPr>
          <w:sz w:val="20"/>
          <w:szCs w:val="20"/>
        </w:rPr>
      </w:pPr>
      <w:r w:rsidRPr="00CC7AEF">
        <w:rPr>
          <w:sz w:val="20"/>
          <w:szCs w:val="20"/>
          <w:lang w:val="sr-Cyrl-RS"/>
        </w:rPr>
        <w:t>Увоз</w:t>
      </w:r>
      <w:r w:rsidR="009947F7" w:rsidRPr="00CC7AEF">
        <w:rPr>
          <w:sz w:val="20"/>
          <w:szCs w:val="20"/>
        </w:rPr>
        <w:t xml:space="preserve">                 </w:t>
      </w:r>
      <w:r w:rsidRPr="00CC7AEF">
        <w:rPr>
          <w:sz w:val="20"/>
          <w:szCs w:val="20"/>
          <w:lang w:val="sr-Cyrl-RS"/>
        </w:rPr>
        <w:t xml:space="preserve">                              </w:t>
      </w:r>
      <w:r w:rsidR="00EB021F">
        <w:rPr>
          <w:sz w:val="20"/>
          <w:szCs w:val="20"/>
        </w:rPr>
        <w:t xml:space="preserve">   </w:t>
      </w:r>
      <w:r w:rsidR="00EB021F">
        <w:rPr>
          <w:sz w:val="20"/>
          <w:szCs w:val="20"/>
          <w:lang w:val="sr-Cyrl-RS"/>
        </w:rPr>
        <w:t xml:space="preserve">        </w:t>
      </w:r>
      <w:r w:rsidR="008F014A">
        <w:rPr>
          <w:sz w:val="20"/>
          <w:szCs w:val="20"/>
        </w:rPr>
        <w:t xml:space="preserve">  </w:t>
      </w:r>
      <w:r w:rsidR="009947F7" w:rsidRPr="00CC7AEF">
        <w:rPr>
          <w:sz w:val="20"/>
          <w:szCs w:val="20"/>
        </w:rPr>
        <w:t xml:space="preserve">   5,0       </w:t>
      </w:r>
      <w:r w:rsidR="00A82B11">
        <w:rPr>
          <w:sz w:val="20"/>
          <w:szCs w:val="20"/>
          <w:lang w:val="sr-Cyrl-RS"/>
        </w:rPr>
        <w:t xml:space="preserve"> </w:t>
      </w:r>
      <w:r w:rsidR="009947F7" w:rsidRPr="00CC7AEF">
        <w:rPr>
          <w:sz w:val="20"/>
          <w:szCs w:val="20"/>
        </w:rPr>
        <w:t xml:space="preserve">        </w:t>
      </w:r>
      <w:r w:rsidR="00EB021F">
        <w:rPr>
          <w:sz w:val="20"/>
          <w:szCs w:val="20"/>
          <w:lang w:val="sr-Cyrl-RS"/>
        </w:rPr>
        <w:t xml:space="preserve">    </w:t>
      </w:r>
      <w:r w:rsidR="009731AF" w:rsidRPr="00CC7AEF">
        <w:rPr>
          <w:sz w:val="20"/>
          <w:szCs w:val="20"/>
          <w:lang w:val="sr-Cyrl-RS"/>
        </w:rPr>
        <w:t xml:space="preserve"> </w:t>
      </w:r>
      <w:r w:rsidR="009947F7" w:rsidRPr="00CC7AEF">
        <w:rPr>
          <w:sz w:val="20"/>
          <w:szCs w:val="20"/>
        </w:rPr>
        <w:t xml:space="preserve">       -6,5     </w:t>
      </w:r>
      <w:r w:rsidR="00EB31C1">
        <w:rPr>
          <w:sz w:val="20"/>
          <w:szCs w:val="20"/>
          <w:lang w:val="sr-Cyrl-RS"/>
        </w:rPr>
        <w:t xml:space="preserve"> </w:t>
      </w:r>
      <w:r w:rsidR="009947F7" w:rsidRPr="00CC7AEF">
        <w:rPr>
          <w:sz w:val="20"/>
          <w:szCs w:val="20"/>
        </w:rPr>
        <w:t xml:space="preserve">          </w:t>
      </w:r>
      <w:r w:rsidR="00EB021F">
        <w:rPr>
          <w:sz w:val="20"/>
          <w:szCs w:val="20"/>
          <w:lang w:val="sr-Cyrl-RS"/>
        </w:rPr>
        <w:t xml:space="preserve">         </w:t>
      </w:r>
      <w:r w:rsidR="009947F7" w:rsidRPr="00CC7AEF">
        <w:rPr>
          <w:sz w:val="20"/>
          <w:szCs w:val="20"/>
        </w:rPr>
        <w:t xml:space="preserve">     -7,5</w:t>
      </w:r>
    </w:p>
    <w:p w14:paraId="3085CDE0" w14:textId="77777777" w:rsidR="009947F7" w:rsidRPr="00EB021F" w:rsidRDefault="00924F1F" w:rsidP="009947F7">
      <w:pPr>
        <w:jc w:val="both"/>
        <w:rPr>
          <w:i/>
          <w:sz w:val="20"/>
          <w:szCs w:val="22"/>
        </w:rPr>
      </w:pPr>
      <w:r w:rsidRPr="00EB021F">
        <w:rPr>
          <w:i/>
          <w:sz w:val="20"/>
          <w:szCs w:val="22"/>
          <w:lang w:val="sr-Cyrl-RS"/>
        </w:rPr>
        <w:t>Извор:</w:t>
      </w:r>
      <w:r w:rsidRPr="00EB021F">
        <w:rPr>
          <w:i/>
          <w:sz w:val="20"/>
          <w:szCs w:val="22"/>
        </w:rPr>
        <w:t xml:space="preserve"> </w:t>
      </w:r>
      <w:proofErr w:type="spellStart"/>
      <w:r w:rsidRPr="00EB021F">
        <w:rPr>
          <w:i/>
          <w:sz w:val="20"/>
          <w:szCs w:val="22"/>
        </w:rPr>
        <w:t>Процјена</w:t>
      </w:r>
      <w:proofErr w:type="spellEnd"/>
      <w:r w:rsidRPr="00EB021F">
        <w:rPr>
          <w:i/>
          <w:sz w:val="20"/>
          <w:szCs w:val="22"/>
        </w:rPr>
        <w:t xml:space="preserve"> </w:t>
      </w:r>
      <w:proofErr w:type="spellStart"/>
      <w:r w:rsidRPr="00EB021F">
        <w:rPr>
          <w:i/>
          <w:sz w:val="20"/>
          <w:szCs w:val="22"/>
        </w:rPr>
        <w:t>Свјетске</w:t>
      </w:r>
      <w:proofErr w:type="spellEnd"/>
      <w:r w:rsidRPr="00EB021F">
        <w:rPr>
          <w:i/>
          <w:sz w:val="20"/>
          <w:szCs w:val="22"/>
        </w:rPr>
        <w:t xml:space="preserve"> </w:t>
      </w:r>
      <w:proofErr w:type="spellStart"/>
      <w:r w:rsidRPr="00EB021F">
        <w:rPr>
          <w:i/>
          <w:sz w:val="20"/>
          <w:szCs w:val="22"/>
        </w:rPr>
        <w:t>банке</w:t>
      </w:r>
      <w:proofErr w:type="spellEnd"/>
      <w:r w:rsidRPr="00EB021F">
        <w:rPr>
          <w:i/>
          <w:sz w:val="20"/>
          <w:szCs w:val="22"/>
        </w:rPr>
        <w:t xml:space="preserve"> </w:t>
      </w:r>
      <w:r w:rsidR="00BD4EE0" w:rsidRPr="00EB021F">
        <w:rPr>
          <w:i/>
          <w:sz w:val="20"/>
          <w:szCs w:val="22"/>
        </w:rPr>
        <w:t xml:space="preserve"> </w:t>
      </w:r>
      <w:proofErr w:type="spellStart"/>
      <w:r w:rsidR="00BD4EE0" w:rsidRPr="00EB021F">
        <w:rPr>
          <w:i/>
          <w:sz w:val="20"/>
          <w:szCs w:val="22"/>
        </w:rPr>
        <w:t>Western</w:t>
      </w:r>
      <w:proofErr w:type="spellEnd"/>
      <w:r w:rsidR="00BD4EE0" w:rsidRPr="00EB021F">
        <w:rPr>
          <w:i/>
          <w:sz w:val="20"/>
          <w:szCs w:val="22"/>
        </w:rPr>
        <w:t xml:space="preserve"> </w:t>
      </w:r>
      <w:proofErr w:type="spellStart"/>
      <w:r w:rsidR="00BD4EE0" w:rsidRPr="00EB021F">
        <w:rPr>
          <w:i/>
          <w:sz w:val="20"/>
          <w:szCs w:val="22"/>
        </w:rPr>
        <w:t>Balkans</w:t>
      </w:r>
      <w:proofErr w:type="spellEnd"/>
      <w:r w:rsidR="00BD4EE0" w:rsidRPr="00EB021F">
        <w:rPr>
          <w:i/>
          <w:sz w:val="20"/>
          <w:szCs w:val="22"/>
        </w:rPr>
        <w:t xml:space="preserve"> </w:t>
      </w:r>
      <w:proofErr w:type="spellStart"/>
      <w:r w:rsidR="00BD4EE0" w:rsidRPr="00EB021F">
        <w:rPr>
          <w:i/>
          <w:sz w:val="20"/>
          <w:szCs w:val="22"/>
        </w:rPr>
        <w:t>Regular</w:t>
      </w:r>
      <w:proofErr w:type="spellEnd"/>
      <w:r w:rsidR="00BD4EE0" w:rsidRPr="00EB021F">
        <w:rPr>
          <w:i/>
          <w:sz w:val="20"/>
          <w:szCs w:val="22"/>
        </w:rPr>
        <w:t xml:space="preserve"> </w:t>
      </w:r>
      <w:proofErr w:type="spellStart"/>
      <w:r w:rsidR="00BD4EE0" w:rsidRPr="00EB021F">
        <w:rPr>
          <w:i/>
          <w:sz w:val="20"/>
          <w:szCs w:val="22"/>
        </w:rPr>
        <w:t>Economic</w:t>
      </w:r>
      <w:proofErr w:type="spellEnd"/>
      <w:r w:rsidR="00BD4EE0" w:rsidRPr="00EB021F">
        <w:rPr>
          <w:i/>
          <w:sz w:val="20"/>
          <w:szCs w:val="22"/>
        </w:rPr>
        <w:t xml:space="preserve"> </w:t>
      </w:r>
      <w:proofErr w:type="spellStart"/>
      <w:r w:rsidR="00BD4EE0" w:rsidRPr="00EB021F">
        <w:rPr>
          <w:i/>
          <w:sz w:val="20"/>
          <w:szCs w:val="22"/>
        </w:rPr>
        <w:t>Report</w:t>
      </w:r>
      <w:proofErr w:type="spellEnd"/>
      <w:r w:rsidR="00BD4EE0" w:rsidRPr="00EB021F">
        <w:rPr>
          <w:i/>
          <w:sz w:val="20"/>
          <w:szCs w:val="22"/>
        </w:rPr>
        <w:t xml:space="preserve">, 2020, </w:t>
      </w:r>
      <w:proofErr w:type="spellStart"/>
      <w:r w:rsidR="00BD4EE0" w:rsidRPr="00EB021F">
        <w:rPr>
          <w:i/>
          <w:sz w:val="20"/>
          <w:szCs w:val="22"/>
        </w:rPr>
        <w:t>Western</w:t>
      </w:r>
      <w:proofErr w:type="spellEnd"/>
      <w:r w:rsidR="00BD4EE0" w:rsidRPr="00EB021F">
        <w:rPr>
          <w:i/>
          <w:sz w:val="20"/>
          <w:szCs w:val="22"/>
        </w:rPr>
        <w:t xml:space="preserve"> </w:t>
      </w:r>
      <w:proofErr w:type="spellStart"/>
      <w:r w:rsidR="00BD4EE0" w:rsidRPr="00EB021F">
        <w:rPr>
          <w:i/>
          <w:sz w:val="20"/>
          <w:szCs w:val="22"/>
        </w:rPr>
        <w:t>Balkans</w:t>
      </w:r>
      <w:proofErr w:type="spellEnd"/>
      <w:r w:rsidR="00BD4EE0" w:rsidRPr="00EB021F">
        <w:rPr>
          <w:i/>
          <w:sz w:val="20"/>
          <w:szCs w:val="22"/>
        </w:rPr>
        <w:t xml:space="preserve"> </w:t>
      </w:r>
      <w:proofErr w:type="spellStart"/>
      <w:r w:rsidR="00BD4EE0" w:rsidRPr="00EB021F">
        <w:rPr>
          <w:i/>
          <w:sz w:val="20"/>
          <w:szCs w:val="22"/>
        </w:rPr>
        <w:t>Regular</w:t>
      </w:r>
      <w:proofErr w:type="spellEnd"/>
      <w:r w:rsidR="00BD4EE0" w:rsidRPr="00EB021F">
        <w:rPr>
          <w:i/>
          <w:sz w:val="20"/>
          <w:szCs w:val="22"/>
        </w:rPr>
        <w:t xml:space="preserve"> </w:t>
      </w:r>
      <w:proofErr w:type="spellStart"/>
      <w:r w:rsidR="00BD4EE0" w:rsidRPr="00EB021F">
        <w:rPr>
          <w:i/>
          <w:sz w:val="20"/>
          <w:szCs w:val="22"/>
        </w:rPr>
        <w:t>Economic</w:t>
      </w:r>
      <w:proofErr w:type="spellEnd"/>
      <w:r w:rsidR="00BD4EE0" w:rsidRPr="00EB021F">
        <w:rPr>
          <w:i/>
          <w:sz w:val="20"/>
          <w:szCs w:val="22"/>
        </w:rPr>
        <w:t xml:space="preserve"> </w:t>
      </w:r>
      <w:proofErr w:type="spellStart"/>
      <w:r w:rsidR="00BD4EE0" w:rsidRPr="00EB021F">
        <w:rPr>
          <w:i/>
          <w:sz w:val="20"/>
          <w:szCs w:val="22"/>
        </w:rPr>
        <w:t>Report</w:t>
      </w:r>
      <w:proofErr w:type="spellEnd"/>
      <w:r w:rsidR="00BD4EE0" w:rsidRPr="00EB021F">
        <w:rPr>
          <w:i/>
          <w:sz w:val="20"/>
          <w:szCs w:val="22"/>
        </w:rPr>
        <w:t>, 2020</w:t>
      </w:r>
    </w:p>
    <w:p w14:paraId="1837D4A2" w14:textId="77777777" w:rsidR="009947F7" w:rsidRPr="00C1471F" w:rsidRDefault="009947F7" w:rsidP="00C1471F">
      <w:pPr>
        <w:spacing w:line="276" w:lineRule="auto"/>
        <w:jc w:val="both"/>
        <w:rPr>
          <w:sz w:val="22"/>
        </w:rPr>
      </w:pPr>
    </w:p>
    <w:p w14:paraId="363739DA" w14:textId="77777777" w:rsidR="00767764" w:rsidRDefault="00D171EF" w:rsidP="007D4CEA">
      <w:pPr>
        <w:spacing w:line="276" w:lineRule="auto"/>
        <w:jc w:val="both"/>
        <w:rPr>
          <w:sz w:val="22"/>
          <w:lang w:val="sr-Cyrl-RS"/>
        </w:rPr>
      </w:pPr>
      <w:r>
        <w:tab/>
      </w:r>
      <w:r w:rsidR="00137D8F">
        <w:rPr>
          <w:sz w:val="22"/>
          <w:lang w:val="sr-Cyrl-RS"/>
        </w:rPr>
        <w:t>Мала и отворена БиХ</w:t>
      </w:r>
      <w:r w:rsidRPr="00EB021F">
        <w:rPr>
          <w:sz w:val="22"/>
          <w:lang w:val="sr-Cyrl-RS"/>
        </w:rPr>
        <w:t xml:space="preserve"> економија </w:t>
      </w:r>
      <w:proofErr w:type="spellStart"/>
      <w:r w:rsidRPr="00EB021F">
        <w:rPr>
          <w:sz w:val="22"/>
          <w:lang w:val="sr-Cyrl-RS"/>
        </w:rPr>
        <w:t>осјећа</w:t>
      </w:r>
      <w:proofErr w:type="spellEnd"/>
      <w:r w:rsidRPr="00EB021F">
        <w:rPr>
          <w:sz w:val="22"/>
          <w:lang w:val="sr-Cyrl-RS"/>
        </w:rPr>
        <w:t xml:space="preserve"> посљедице кризе готово у свим сегментима привреде. </w:t>
      </w:r>
      <w:r w:rsidR="00137D8F">
        <w:rPr>
          <w:sz w:val="22"/>
          <w:lang w:val="sr-Cyrl-RS"/>
        </w:rPr>
        <w:t>Поремећени су односи домаће понуде и тражње, дошло је до п</w:t>
      </w:r>
      <w:r w:rsidRPr="00EB021F">
        <w:rPr>
          <w:sz w:val="22"/>
          <w:lang w:val="sr-Cyrl-RS"/>
        </w:rPr>
        <w:t>рекид</w:t>
      </w:r>
      <w:r w:rsidR="00137D8F">
        <w:rPr>
          <w:sz w:val="22"/>
          <w:lang w:val="sr-Cyrl-RS"/>
        </w:rPr>
        <w:t>а</w:t>
      </w:r>
      <w:r w:rsidRPr="00EB021F">
        <w:rPr>
          <w:sz w:val="22"/>
          <w:lang w:val="sr-Cyrl-RS"/>
        </w:rPr>
        <w:t xml:space="preserve"> у ланцима </w:t>
      </w:r>
      <w:proofErr w:type="spellStart"/>
      <w:r w:rsidRPr="00EB021F">
        <w:rPr>
          <w:sz w:val="22"/>
          <w:lang w:val="sr-Cyrl-RS"/>
        </w:rPr>
        <w:t>снабдијевања</w:t>
      </w:r>
      <w:proofErr w:type="spellEnd"/>
      <w:r w:rsidRPr="00EB021F">
        <w:rPr>
          <w:sz w:val="22"/>
          <w:lang w:val="sr-Cyrl-RS"/>
        </w:rPr>
        <w:t xml:space="preserve"> и смањена</w:t>
      </w:r>
      <w:r w:rsidR="00137D8F">
        <w:rPr>
          <w:sz w:val="22"/>
          <w:lang w:val="sr-Cyrl-RS"/>
        </w:rPr>
        <w:t xml:space="preserve"> је</w:t>
      </w:r>
      <w:r w:rsidRPr="00EB021F">
        <w:rPr>
          <w:sz w:val="22"/>
          <w:lang w:val="sr-Cyrl-RS"/>
        </w:rPr>
        <w:t xml:space="preserve"> потражња </w:t>
      </w:r>
      <w:r w:rsidR="00137D8F">
        <w:rPr>
          <w:sz w:val="22"/>
          <w:lang w:val="sr-Cyrl-RS"/>
        </w:rPr>
        <w:t xml:space="preserve">из земаља </w:t>
      </w:r>
      <w:r w:rsidRPr="00EB021F">
        <w:rPr>
          <w:sz w:val="22"/>
          <w:lang w:val="sr-Cyrl-RS"/>
        </w:rPr>
        <w:t xml:space="preserve">ЕУ и земаља региона, </w:t>
      </w:r>
      <w:r w:rsidR="00137D8F">
        <w:rPr>
          <w:sz w:val="22"/>
          <w:lang w:val="sr-Cyrl-RS"/>
        </w:rPr>
        <w:t>што доводи</w:t>
      </w:r>
      <w:r w:rsidRPr="00EB021F">
        <w:rPr>
          <w:sz w:val="22"/>
          <w:lang w:val="sr-Cyrl-RS"/>
        </w:rPr>
        <w:t xml:space="preserve"> до пада производње, те пада извоза роба и услу</w:t>
      </w:r>
      <w:r w:rsidR="00137D8F">
        <w:rPr>
          <w:sz w:val="22"/>
          <w:lang w:val="sr-Cyrl-RS"/>
        </w:rPr>
        <w:t>га.</w:t>
      </w:r>
      <w:r w:rsidRPr="00EB021F">
        <w:rPr>
          <w:sz w:val="22"/>
          <w:lang w:val="sr-Cyrl-RS"/>
        </w:rPr>
        <w:t xml:space="preserve"> </w:t>
      </w:r>
      <w:r w:rsidR="00137D8F">
        <w:rPr>
          <w:sz w:val="22"/>
          <w:lang w:val="sr-Cyrl-RS"/>
        </w:rPr>
        <w:t>П</w:t>
      </w:r>
      <w:r w:rsidRPr="00EB021F">
        <w:rPr>
          <w:sz w:val="22"/>
          <w:lang w:val="sr-Cyrl-RS"/>
        </w:rPr>
        <w:t xml:space="preserve">ри </w:t>
      </w:r>
      <w:r w:rsidR="007D4CEA">
        <w:rPr>
          <w:sz w:val="22"/>
          <w:lang w:val="sr-Cyrl-RS"/>
        </w:rPr>
        <w:t>томе,</w:t>
      </w:r>
      <w:r w:rsidR="00137D8F">
        <w:rPr>
          <w:sz w:val="22"/>
          <w:lang w:val="sr-Cyrl-RS"/>
        </w:rPr>
        <w:t xml:space="preserve"> </w:t>
      </w:r>
      <w:r w:rsidRPr="00EB021F">
        <w:rPr>
          <w:sz w:val="22"/>
          <w:lang w:val="sr-Cyrl-RS"/>
        </w:rPr>
        <w:t xml:space="preserve">треба имати у виду да је већ у 2019. </w:t>
      </w:r>
      <w:r w:rsidR="00006AAF" w:rsidRPr="00EB021F">
        <w:rPr>
          <w:sz w:val="22"/>
          <w:lang w:val="sr-Cyrl-RS"/>
        </w:rPr>
        <w:t>години БиХ</w:t>
      </w:r>
      <w:r w:rsidRPr="00EB021F">
        <w:rPr>
          <w:sz w:val="22"/>
          <w:lang w:val="sr-Cyrl-RS"/>
        </w:rPr>
        <w:t xml:space="preserve"> </w:t>
      </w:r>
      <w:proofErr w:type="spellStart"/>
      <w:r w:rsidRPr="00EB021F">
        <w:rPr>
          <w:sz w:val="22"/>
          <w:lang w:val="sr-Cyrl-RS"/>
        </w:rPr>
        <w:t>забиљежила</w:t>
      </w:r>
      <w:proofErr w:type="spellEnd"/>
      <w:r w:rsidRPr="00EB021F">
        <w:rPr>
          <w:sz w:val="22"/>
          <w:lang w:val="sr-Cyrl-RS"/>
        </w:rPr>
        <w:t xml:space="preserve"> </w:t>
      </w:r>
      <w:r w:rsidR="00006AAF" w:rsidRPr="00EB021F">
        <w:rPr>
          <w:sz w:val="22"/>
          <w:lang w:val="sr-Cyrl-RS"/>
        </w:rPr>
        <w:t>озбиљан пад индустријске произво</w:t>
      </w:r>
      <w:r w:rsidRPr="00EB021F">
        <w:rPr>
          <w:sz w:val="22"/>
          <w:lang w:val="sr-Cyrl-RS"/>
        </w:rPr>
        <w:t xml:space="preserve">дње, прије свега оне извозно оријентисане. </w:t>
      </w:r>
      <w:r w:rsidR="008D247D" w:rsidRPr="00EB021F">
        <w:rPr>
          <w:sz w:val="22"/>
          <w:lang w:val="sr-Cyrl-RS"/>
        </w:rPr>
        <w:t>Према најновијим прогнозама ММФ- а из септембра  2020. године  изгледи</w:t>
      </w:r>
      <w:r w:rsidR="007D4CEA">
        <w:rPr>
          <w:sz w:val="22"/>
          <w:lang w:val="sr-Cyrl-RS"/>
        </w:rPr>
        <w:t xml:space="preserve"> за БиХ </w:t>
      </w:r>
      <w:r w:rsidR="008D247D" w:rsidRPr="00EB021F">
        <w:rPr>
          <w:sz w:val="22"/>
          <w:lang w:val="sr-Cyrl-RS"/>
        </w:rPr>
        <w:t xml:space="preserve"> су још </w:t>
      </w:r>
      <w:proofErr w:type="spellStart"/>
      <w:r w:rsidR="00560B5B" w:rsidRPr="00EB021F">
        <w:rPr>
          <w:sz w:val="22"/>
          <w:lang w:val="sr-Cyrl-RS"/>
        </w:rPr>
        <w:t>песмистичнији</w:t>
      </w:r>
      <w:proofErr w:type="spellEnd"/>
      <w:r w:rsidR="00560B5B" w:rsidRPr="00EB021F">
        <w:rPr>
          <w:sz w:val="22"/>
          <w:lang w:val="sr-Cyrl-RS"/>
        </w:rPr>
        <w:t>,</w:t>
      </w:r>
      <w:r w:rsidR="001C6A58" w:rsidRPr="00EB021F">
        <w:rPr>
          <w:sz w:val="22"/>
          <w:lang w:val="sr-Cyrl-RS"/>
        </w:rPr>
        <w:t xml:space="preserve"> па се предвиђа </w:t>
      </w:r>
      <w:r w:rsidR="009F31F7">
        <w:rPr>
          <w:sz w:val="22"/>
          <w:lang w:val="sr-Cyrl-RS"/>
        </w:rPr>
        <w:t xml:space="preserve">пад </w:t>
      </w:r>
      <w:r w:rsidR="001C6A58" w:rsidRPr="00EB021F">
        <w:rPr>
          <w:sz w:val="22"/>
          <w:lang w:val="sr-Cyrl-RS"/>
        </w:rPr>
        <w:t>БДП од око 6,5%</w:t>
      </w:r>
      <w:r w:rsidR="00560B5B" w:rsidRPr="00EB021F">
        <w:rPr>
          <w:sz w:val="22"/>
          <w:vertAlign w:val="superscript"/>
        </w:rPr>
        <w:footnoteReference w:id="5"/>
      </w:r>
      <w:r w:rsidR="00767764">
        <w:rPr>
          <w:sz w:val="22"/>
          <w:lang w:val="sr-Cyrl-RS"/>
        </w:rPr>
        <w:t>.</w:t>
      </w:r>
      <w:r w:rsidR="00560B5B" w:rsidRPr="00EB021F">
        <w:rPr>
          <w:sz w:val="22"/>
          <w:lang w:val="sr-Cyrl-RS"/>
        </w:rPr>
        <w:t xml:space="preserve">  У 2021. години би требало доћи до опоравка, па би БДП могао да расте 5,5%. </w:t>
      </w:r>
    </w:p>
    <w:p w14:paraId="45649FA4" w14:textId="77777777" w:rsidR="00767764" w:rsidRDefault="00767764" w:rsidP="00767764">
      <w:pPr>
        <w:spacing w:line="276" w:lineRule="auto"/>
        <w:ind w:firstLine="709"/>
        <w:jc w:val="both"/>
        <w:rPr>
          <w:sz w:val="22"/>
          <w:lang w:val="sr-Cyrl-RS"/>
        </w:rPr>
      </w:pPr>
    </w:p>
    <w:p w14:paraId="30E4FE8E" w14:textId="1257E8F3" w:rsidR="008D247D" w:rsidRDefault="00767764" w:rsidP="00767764">
      <w:pPr>
        <w:spacing w:line="276" w:lineRule="auto"/>
        <w:ind w:firstLine="709"/>
        <w:jc w:val="both"/>
        <w:rPr>
          <w:sz w:val="22"/>
          <w:lang w:val="sr-Cyrl-RS"/>
        </w:rPr>
      </w:pPr>
      <w:r>
        <w:rPr>
          <w:sz w:val="22"/>
          <w:lang w:val="sr-Cyrl-RS"/>
        </w:rPr>
        <w:t xml:space="preserve">ММФ, као и остале међународне институције, континуирано ревидирају своје економске прогнозе за 2020. и пројекције за 2021. и даље, али је евидентно да је дошло до значајног пада БДП, са свим макроекономским посљедицама које из тога произилазе, те да ће </w:t>
      </w:r>
      <w:proofErr w:type="spellStart"/>
      <w:r>
        <w:rPr>
          <w:sz w:val="22"/>
          <w:lang w:val="sr-Cyrl-RS"/>
        </w:rPr>
        <w:t>опоравк</w:t>
      </w:r>
      <w:proofErr w:type="spellEnd"/>
      <w:r>
        <w:rPr>
          <w:sz w:val="22"/>
          <w:lang w:val="sr-Cyrl-RS"/>
        </w:rPr>
        <w:t xml:space="preserve"> бити постепен и ограничен.</w:t>
      </w:r>
    </w:p>
    <w:p w14:paraId="5C064DCC" w14:textId="77777777" w:rsidR="00137D8F" w:rsidRPr="00EB021F" w:rsidRDefault="00137D8F" w:rsidP="00EB31C1">
      <w:pPr>
        <w:spacing w:line="276" w:lineRule="auto"/>
        <w:ind w:firstLine="709"/>
        <w:jc w:val="both"/>
        <w:rPr>
          <w:sz w:val="22"/>
          <w:lang w:val="sr-Cyrl-RS"/>
        </w:rPr>
      </w:pPr>
    </w:p>
    <w:p w14:paraId="78E37E7F" w14:textId="77777777" w:rsidR="00FA6438" w:rsidRPr="008F014A" w:rsidRDefault="00FA6438" w:rsidP="00C1471F">
      <w:pPr>
        <w:pStyle w:val="Heading1"/>
        <w:spacing w:line="276" w:lineRule="auto"/>
        <w:rPr>
          <w:sz w:val="22"/>
        </w:rPr>
      </w:pPr>
      <w:bookmarkStart w:id="7" w:name="_Toc59550008"/>
      <w:r w:rsidRPr="008F014A">
        <w:rPr>
          <w:sz w:val="22"/>
          <w:lang w:val="sr-Latn-RS"/>
        </w:rPr>
        <w:t>2.</w:t>
      </w:r>
      <w:r w:rsidRPr="008F014A">
        <w:rPr>
          <w:sz w:val="22"/>
          <w:lang w:val="bs-Cyrl-BA"/>
        </w:rPr>
        <w:t>3</w:t>
      </w:r>
      <w:r w:rsidRPr="008F014A">
        <w:rPr>
          <w:sz w:val="22"/>
          <w:lang w:val="sr-Latn-RS"/>
        </w:rPr>
        <w:t xml:space="preserve">. </w:t>
      </w:r>
      <w:r w:rsidRPr="008F014A">
        <w:rPr>
          <w:sz w:val="22"/>
        </w:rPr>
        <w:t xml:space="preserve">Макроекономске </w:t>
      </w:r>
      <w:proofErr w:type="spellStart"/>
      <w:r w:rsidRPr="008F014A">
        <w:rPr>
          <w:sz w:val="22"/>
        </w:rPr>
        <w:t>процјене</w:t>
      </w:r>
      <w:proofErr w:type="spellEnd"/>
      <w:r w:rsidRPr="008F014A">
        <w:rPr>
          <w:sz w:val="22"/>
        </w:rPr>
        <w:t xml:space="preserve"> и пројекције </w:t>
      </w:r>
      <w:r w:rsidRPr="008F014A">
        <w:rPr>
          <w:sz w:val="22"/>
          <w:lang w:val="sr-Cyrl-RS"/>
        </w:rPr>
        <w:t xml:space="preserve">у Републици Српској </w:t>
      </w:r>
      <w:r w:rsidRPr="008F014A">
        <w:rPr>
          <w:sz w:val="22"/>
        </w:rPr>
        <w:t>за период 2020-2023.г.</w:t>
      </w:r>
      <w:bookmarkEnd w:id="7"/>
    </w:p>
    <w:p w14:paraId="4A78C3D9" w14:textId="77777777" w:rsidR="00D75F02" w:rsidRDefault="00D75F02" w:rsidP="00E07FE7">
      <w:pPr>
        <w:rPr>
          <w:lang w:val="sr-Cyrl-CS" w:eastAsia="en-US"/>
        </w:rPr>
      </w:pPr>
    </w:p>
    <w:p w14:paraId="15FE4376" w14:textId="13E6C895" w:rsidR="007F4EE4" w:rsidRDefault="00D75F02" w:rsidP="007F4EE4">
      <w:pPr>
        <w:spacing w:line="276" w:lineRule="auto"/>
        <w:ind w:firstLine="709"/>
        <w:jc w:val="both"/>
        <w:rPr>
          <w:sz w:val="22"/>
          <w:lang w:val="sr-Cyrl-CS" w:eastAsia="en-US"/>
        </w:rPr>
      </w:pPr>
      <w:r w:rsidRPr="008F014A">
        <w:rPr>
          <w:sz w:val="22"/>
          <w:lang w:val="sr-Cyrl-CS" w:eastAsia="en-US"/>
        </w:rPr>
        <w:t>У наредн</w:t>
      </w:r>
      <w:r w:rsidR="007F4EE4">
        <w:rPr>
          <w:sz w:val="22"/>
          <w:lang w:val="sr-Cyrl-CS" w:eastAsia="en-US"/>
        </w:rPr>
        <w:t>ој табели дате су основне макро</w:t>
      </w:r>
      <w:r w:rsidRPr="008F014A">
        <w:rPr>
          <w:sz w:val="22"/>
          <w:lang w:val="sr-Cyrl-CS" w:eastAsia="en-US"/>
        </w:rPr>
        <w:t>е</w:t>
      </w:r>
      <w:r w:rsidR="007F4EE4">
        <w:rPr>
          <w:sz w:val="22"/>
          <w:lang w:val="sr-Cyrl-CS" w:eastAsia="en-US"/>
        </w:rPr>
        <w:t>к</w:t>
      </w:r>
      <w:r w:rsidRPr="008F014A">
        <w:rPr>
          <w:sz w:val="22"/>
          <w:lang w:val="sr-Cyrl-CS" w:eastAsia="en-US"/>
        </w:rPr>
        <w:t>ономске пројекције за РС на бази Д</w:t>
      </w:r>
      <w:r w:rsidR="00D028F1">
        <w:rPr>
          <w:sz w:val="22"/>
          <w:lang w:val="sr-Cyrl-CS" w:eastAsia="en-US"/>
        </w:rPr>
        <w:t>ОБ-а, али имајући у вид</w:t>
      </w:r>
      <w:r w:rsidRPr="008F014A">
        <w:rPr>
          <w:sz w:val="22"/>
          <w:lang w:val="sr-Cyrl-CS" w:eastAsia="en-US"/>
        </w:rPr>
        <w:t xml:space="preserve">у да се ради о </w:t>
      </w:r>
      <w:proofErr w:type="spellStart"/>
      <w:r w:rsidRPr="008F014A">
        <w:rPr>
          <w:sz w:val="22"/>
          <w:lang w:val="sr-Cyrl-CS" w:eastAsia="en-US"/>
        </w:rPr>
        <w:t>процјенама</w:t>
      </w:r>
      <w:proofErr w:type="spellEnd"/>
      <w:r w:rsidRPr="008F014A">
        <w:rPr>
          <w:sz w:val="22"/>
          <w:lang w:val="sr-Cyrl-CS" w:eastAsia="en-US"/>
        </w:rPr>
        <w:t xml:space="preserve"> из </w:t>
      </w:r>
      <w:proofErr w:type="spellStart"/>
      <w:r w:rsidRPr="008F014A">
        <w:rPr>
          <w:sz w:val="22"/>
          <w:lang w:val="sr-Cyrl-CS" w:eastAsia="en-US"/>
        </w:rPr>
        <w:t>мјесеца</w:t>
      </w:r>
      <w:proofErr w:type="spellEnd"/>
      <w:r w:rsidRPr="008F014A">
        <w:rPr>
          <w:sz w:val="22"/>
          <w:lang w:val="sr-Cyrl-CS" w:eastAsia="en-US"/>
        </w:rPr>
        <w:t xml:space="preserve"> јуна ове године, </w:t>
      </w:r>
      <w:r w:rsidR="00B51290">
        <w:rPr>
          <w:sz w:val="22"/>
          <w:lang w:val="sr-Cyrl-CS" w:eastAsia="en-US"/>
        </w:rPr>
        <w:t>а</w:t>
      </w:r>
      <w:r w:rsidR="00D028F1">
        <w:rPr>
          <w:sz w:val="22"/>
          <w:lang w:val="sr-Cyrl-CS" w:eastAsia="en-US"/>
        </w:rPr>
        <w:t xml:space="preserve">журирани подаци до </w:t>
      </w:r>
      <w:proofErr w:type="spellStart"/>
      <w:r w:rsidR="00D028F1">
        <w:rPr>
          <w:sz w:val="22"/>
          <w:lang w:val="sr-Cyrl-CS" w:eastAsia="en-US"/>
        </w:rPr>
        <w:t>крја</w:t>
      </w:r>
      <w:proofErr w:type="spellEnd"/>
      <w:r w:rsidR="00D028F1">
        <w:rPr>
          <w:sz w:val="22"/>
          <w:lang w:val="sr-Cyrl-CS" w:eastAsia="en-US"/>
        </w:rPr>
        <w:t xml:space="preserve"> октобра ове године нису били доступни, о</w:t>
      </w:r>
      <w:r w:rsidRPr="008F014A">
        <w:rPr>
          <w:sz w:val="22"/>
          <w:lang w:val="sr-Cyrl-CS" w:eastAsia="en-US"/>
        </w:rPr>
        <w:t>чекује се погоршање већине показатеља, како за 2020. г</w:t>
      </w:r>
      <w:r w:rsidR="00D028F1">
        <w:rPr>
          <w:sz w:val="22"/>
          <w:lang w:val="sr-Cyrl-CS" w:eastAsia="en-US"/>
        </w:rPr>
        <w:t>о</w:t>
      </w:r>
      <w:r w:rsidR="00C91766">
        <w:rPr>
          <w:sz w:val="22"/>
          <w:lang w:val="sr-Cyrl-CS" w:eastAsia="en-US"/>
        </w:rPr>
        <w:t>дину, тако и за наредни период.</w:t>
      </w:r>
    </w:p>
    <w:p w14:paraId="17A9ADCF" w14:textId="1C2E2886" w:rsidR="00767764" w:rsidRDefault="00767764" w:rsidP="007F4EE4">
      <w:pPr>
        <w:spacing w:line="276" w:lineRule="auto"/>
        <w:ind w:firstLine="709"/>
        <w:jc w:val="both"/>
        <w:rPr>
          <w:sz w:val="22"/>
          <w:lang w:val="sr-Cyrl-CS" w:eastAsia="en-US"/>
        </w:rPr>
      </w:pPr>
    </w:p>
    <w:p w14:paraId="31D558B3" w14:textId="2C88E6EE" w:rsidR="00F5516C" w:rsidRDefault="00F5516C" w:rsidP="007F4EE4">
      <w:pPr>
        <w:spacing w:line="276" w:lineRule="auto"/>
        <w:ind w:firstLine="709"/>
        <w:jc w:val="both"/>
        <w:rPr>
          <w:sz w:val="22"/>
          <w:lang w:val="sr-Cyrl-CS" w:eastAsia="en-US"/>
        </w:rPr>
      </w:pPr>
    </w:p>
    <w:p w14:paraId="1B100BB5" w14:textId="03F45096" w:rsidR="00F5516C" w:rsidRDefault="00F5516C" w:rsidP="007F4EE4">
      <w:pPr>
        <w:spacing w:line="276" w:lineRule="auto"/>
        <w:ind w:firstLine="709"/>
        <w:jc w:val="both"/>
        <w:rPr>
          <w:sz w:val="22"/>
          <w:lang w:val="sr-Cyrl-CS" w:eastAsia="en-US"/>
        </w:rPr>
      </w:pPr>
    </w:p>
    <w:p w14:paraId="4EC42DB5" w14:textId="3812B333" w:rsidR="00F5516C" w:rsidRDefault="00F5516C" w:rsidP="007F4EE4">
      <w:pPr>
        <w:spacing w:line="276" w:lineRule="auto"/>
        <w:ind w:firstLine="709"/>
        <w:jc w:val="both"/>
        <w:rPr>
          <w:sz w:val="22"/>
          <w:lang w:val="sr-Cyrl-CS" w:eastAsia="en-US"/>
        </w:rPr>
      </w:pPr>
    </w:p>
    <w:p w14:paraId="40716CCA" w14:textId="4DCE4F7D" w:rsidR="00F5516C" w:rsidRDefault="00F5516C" w:rsidP="007F4EE4">
      <w:pPr>
        <w:spacing w:line="276" w:lineRule="auto"/>
        <w:ind w:firstLine="709"/>
        <w:jc w:val="both"/>
        <w:rPr>
          <w:sz w:val="22"/>
          <w:lang w:val="sr-Cyrl-CS" w:eastAsia="en-US"/>
        </w:rPr>
      </w:pPr>
    </w:p>
    <w:p w14:paraId="7ECC3EF4" w14:textId="582C1E19" w:rsidR="00F5516C" w:rsidRDefault="00F5516C" w:rsidP="007F4EE4">
      <w:pPr>
        <w:spacing w:line="276" w:lineRule="auto"/>
        <w:ind w:firstLine="709"/>
        <w:jc w:val="both"/>
        <w:rPr>
          <w:sz w:val="22"/>
          <w:lang w:val="sr-Cyrl-CS" w:eastAsia="en-US"/>
        </w:rPr>
      </w:pPr>
    </w:p>
    <w:p w14:paraId="2F8B8E0F" w14:textId="27C82545" w:rsidR="00F5516C" w:rsidRDefault="00F5516C" w:rsidP="007F4EE4">
      <w:pPr>
        <w:spacing w:line="276" w:lineRule="auto"/>
        <w:ind w:firstLine="709"/>
        <w:jc w:val="both"/>
        <w:rPr>
          <w:sz w:val="22"/>
          <w:lang w:val="sr-Cyrl-CS" w:eastAsia="en-US"/>
        </w:rPr>
      </w:pPr>
    </w:p>
    <w:p w14:paraId="444AA32E" w14:textId="38463E93" w:rsidR="00F5516C" w:rsidRDefault="00F5516C" w:rsidP="007F4EE4">
      <w:pPr>
        <w:spacing w:line="276" w:lineRule="auto"/>
        <w:ind w:firstLine="709"/>
        <w:jc w:val="both"/>
        <w:rPr>
          <w:sz w:val="22"/>
          <w:lang w:val="sr-Cyrl-CS" w:eastAsia="en-US"/>
        </w:rPr>
      </w:pPr>
    </w:p>
    <w:p w14:paraId="79DB69DC" w14:textId="462393B7" w:rsidR="00F5516C" w:rsidRDefault="00F5516C" w:rsidP="007F4EE4">
      <w:pPr>
        <w:spacing w:line="276" w:lineRule="auto"/>
        <w:ind w:firstLine="709"/>
        <w:jc w:val="both"/>
        <w:rPr>
          <w:sz w:val="22"/>
          <w:lang w:val="sr-Cyrl-CS" w:eastAsia="en-US"/>
        </w:rPr>
      </w:pPr>
    </w:p>
    <w:p w14:paraId="5DE6BD34" w14:textId="0B2AD6BA" w:rsidR="00F5516C" w:rsidRDefault="00F5516C" w:rsidP="007F4EE4">
      <w:pPr>
        <w:spacing w:line="276" w:lineRule="auto"/>
        <w:ind w:firstLine="709"/>
        <w:jc w:val="both"/>
        <w:rPr>
          <w:sz w:val="22"/>
          <w:lang w:val="sr-Cyrl-CS" w:eastAsia="en-US"/>
        </w:rPr>
      </w:pPr>
    </w:p>
    <w:p w14:paraId="057C5A57" w14:textId="568B2FE1" w:rsidR="00F5516C" w:rsidRDefault="00F5516C" w:rsidP="007F4EE4">
      <w:pPr>
        <w:spacing w:line="276" w:lineRule="auto"/>
        <w:ind w:firstLine="709"/>
        <w:jc w:val="both"/>
        <w:rPr>
          <w:sz w:val="22"/>
          <w:lang w:val="sr-Cyrl-CS" w:eastAsia="en-US"/>
        </w:rPr>
      </w:pPr>
    </w:p>
    <w:p w14:paraId="34B8A09B" w14:textId="4EB9BAD6" w:rsidR="00F5516C" w:rsidRDefault="00F5516C" w:rsidP="007F4EE4">
      <w:pPr>
        <w:spacing w:line="276" w:lineRule="auto"/>
        <w:ind w:firstLine="709"/>
        <w:jc w:val="both"/>
        <w:rPr>
          <w:sz w:val="22"/>
          <w:lang w:val="sr-Cyrl-CS" w:eastAsia="en-US"/>
        </w:rPr>
      </w:pPr>
    </w:p>
    <w:p w14:paraId="464183A6" w14:textId="76D481DF" w:rsidR="00F5516C" w:rsidRDefault="00F5516C" w:rsidP="007F4EE4">
      <w:pPr>
        <w:spacing w:line="276" w:lineRule="auto"/>
        <w:ind w:firstLine="709"/>
        <w:jc w:val="both"/>
        <w:rPr>
          <w:sz w:val="22"/>
          <w:lang w:val="sr-Cyrl-CS" w:eastAsia="en-US"/>
        </w:rPr>
      </w:pPr>
    </w:p>
    <w:p w14:paraId="51873987" w14:textId="77777777" w:rsidR="00F5516C" w:rsidRDefault="00F5516C" w:rsidP="007F4EE4">
      <w:pPr>
        <w:spacing w:line="276" w:lineRule="auto"/>
        <w:ind w:firstLine="709"/>
        <w:jc w:val="both"/>
        <w:rPr>
          <w:sz w:val="22"/>
          <w:lang w:val="sr-Cyrl-CS" w:eastAsia="en-US"/>
        </w:rPr>
      </w:pPr>
    </w:p>
    <w:p w14:paraId="566EC15C" w14:textId="77777777" w:rsidR="00327558" w:rsidRPr="007F4EE4" w:rsidRDefault="00E07FE7" w:rsidP="001C3CC4">
      <w:pPr>
        <w:spacing w:line="276" w:lineRule="auto"/>
        <w:jc w:val="both"/>
        <w:rPr>
          <w:sz w:val="22"/>
          <w:lang w:val="sr-Cyrl-CS" w:eastAsia="en-US"/>
        </w:rPr>
      </w:pPr>
      <w:r w:rsidRPr="008F014A">
        <w:rPr>
          <w:b/>
          <w:bCs/>
          <w:color w:val="365F91"/>
          <w:sz w:val="20"/>
          <w:lang w:val="sr-Cyrl-RS"/>
        </w:rPr>
        <w:lastRenderedPageBreak/>
        <w:t xml:space="preserve">Табела 3:  Макроекономске пројекције за 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45"/>
        <w:gridCol w:w="955"/>
        <w:gridCol w:w="854"/>
        <w:gridCol w:w="850"/>
        <w:gridCol w:w="850"/>
        <w:gridCol w:w="850"/>
        <w:gridCol w:w="854"/>
        <w:gridCol w:w="850"/>
        <w:gridCol w:w="734"/>
      </w:tblGrid>
      <w:tr w:rsidR="00327558" w:rsidRPr="006A15DC" w14:paraId="2EF875A1" w14:textId="77777777" w:rsidTr="007D4CEA">
        <w:trPr>
          <w:trHeight w:hRule="exact" w:val="335"/>
        </w:trPr>
        <w:tc>
          <w:tcPr>
            <w:tcW w:w="2645" w:type="dxa"/>
            <w:shd w:val="clear" w:color="auto" w:fill="C3D8F0"/>
            <w:vAlign w:val="center"/>
          </w:tcPr>
          <w:p w14:paraId="71FCC8CD" w14:textId="77777777" w:rsidR="00327558" w:rsidRPr="00056F08" w:rsidRDefault="00327558" w:rsidP="00056F08">
            <w:pPr>
              <w:widowControl w:val="0"/>
              <w:spacing w:line="208" w:lineRule="exact"/>
              <w:jc w:val="center"/>
              <w:rPr>
                <w:rFonts w:eastAsia="Calibri"/>
                <w:b/>
                <w:color w:val="000000"/>
                <w:sz w:val="21"/>
                <w:szCs w:val="21"/>
                <w:lang w:val="sr-Cyrl-RS" w:eastAsia="sr-Latn-BA"/>
              </w:rPr>
            </w:pPr>
            <w:r w:rsidRPr="00327558">
              <w:rPr>
                <w:rFonts w:eastAsia="Calibri"/>
                <w:b/>
                <w:color w:val="000000"/>
                <w:sz w:val="17"/>
                <w:szCs w:val="17"/>
                <w:lang w:val="sr-Latn-BA" w:eastAsia="sr-Latn-BA"/>
              </w:rPr>
              <w:t>О П И С</w:t>
            </w:r>
            <w:r w:rsidR="00056F08">
              <w:rPr>
                <w:rFonts w:eastAsia="Calibri"/>
                <w:b/>
                <w:color w:val="000000"/>
                <w:sz w:val="17"/>
                <w:szCs w:val="17"/>
                <w:lang w:val="sr-Latn-BA" w:eastAsia="sr-Latn-BA"/>
              </w:rPr>
              <w:t xml:space="preserve"> / </w:t>
            </w:r>
            <w:r w:rsidR="00056F08">
              <w:rPr>
                <w:rFonts w:eastAsia="Calibri"/>
                <w:b/>
                <w:color w:val="000000"/>
                <w:sz w:val="17"/>
                <w:szCs w:val="17"/>
                <w:lang w:val="sr-Cyrl-RS" w:eastAsia="sr-Latn-BA"/>
              </w:rPr>
              <w:t>година</w:t>
            </w:r>
          </w:p>
        </w:tc>
        <w:tc>
          <w:tcPr>
            <w:tcW w:w="955" w:type="dxa"/>
            <w:shd w:val="clear" w:color="auto" w:fill="C3D8F0"/>
            <w:vAlign w:val="center"/>
          </w:tcPr>
          <w:p w14:paraId="09B04D46" w14:textId="77777777" w:rsidR="00327558" w:rsidRPr="006A15DC" w:rsidRDefault="00327558" w:rsidP="0061226F">
            <w:pPr>
              <w:widowControl w:val="0"/>
              <w:spacing w:line="208" w:lineRule="exact"/>
              <w:jc w:val="center"/>
              <w:rPr>
                <w:rFonts w:eastAsia="Calibri"/>
                <w:b/>
                <w:color w:val="000000"/>
                <w:sz w:val="21"/>
                <w:szCs w:val="21"/>
                <w:lang w:val="sr-Latn-BA" w:eastAsia="sr-Latn-BA"/>
              </w:rPr>
            </w:pPr>
            <w:r w:rsidRPr="00327558">
              <w:rPr>
                <w:rFonts w:eastAsia="Calibri"/>
                <w:b/>
                <w:color w:val="000000"/>
                <w:sz w:val="17"/>
                <w:szCs w:val="17"/>
                <w:lang w:val="sr-Latn-BA" w:eastAsia="sr-Latn-BA"/>
              </w:rPr>
              <w:t>2016</w:t>
            </w:r>
          </w:p>
        </w:tc>
        <w:tc>
          <w:tcPr>
            <w:tcW w:w="854" w:type="dxa"/>
            <w:shd w:val="clear" w:color="auto" w:fill="C3D8F0"/>
            <w:vAlign w:val="center"/>
          </w:tcPr>
          <w:p w14:paraId="4B912004" w14:textId="77777777" w:rsidR="00327558" w:rsidRPr="006A15DC" w:rsidRDefault="00327558" w:rsidP="0061226F">
            <w:pPr>
              <w:widowControl w:val="0"/>
              <w:spacing w:line="208" w:lineRule="exact"/>
              <w:ind w:left="140"/>
              <w:rPr>
                <w:rFonts w:eastAsia="Calibri"/>
                <w:b/>
                <w:color w:val="000000"/>
                <w:sz w:val="21"/>
                <w:szCs w:val="21"/>
                <w:lang w:val="sr-Latn-BA" w:eastAsia="sr-Latn-BA"/>
              </w:rPr>
            </w:pPr>
            <w:r w:rsidRPr="00327558">
              <w:rPr>
                <w:rFonts w:eastAsia="Calibri"/>
                <w:b/>
                <w:color w:val="000000"/>
                <w:sz w:val="17"/>
                <w:szCs w:val="17"/>
                <w:lang w:val="sr-Latn-BA" w:eastAsia="sr-Latn-BA"/>
              </w:rPr>
              <w:t>2017</w:t>
            </w:r>
          </w:p>
        </w:tc>
        <w:tc>
          <w:tcPr>
            <w:tcW w:w="850" w:type="dxa"/>
            <w:shd w:val="clear" w:color="auto" w:fill="C3D8F0"/>
            <w:vAlign w:val="center"/>
          </w:tcPr>
          <w:p w14:paraId="19860C07" w14:textId="77777777" w:rsidR="00327558" w:rsidRPr="006A15DC" w:rsidRDefault="00327558" w:rsidP="00B51290">
            <w:pPr>
              <w:widowControl w:val="0"/>
              <w:spacing w:line="208" w:lineRule="exact"/>
              <w:jc w:val="center"/>
              <w:rPr>
                <w:rFonts w:eastAsia="Calibri"/>
                <w:b/>
                <w:color w:val="000000"/>
                <w:sz w:val="21"/>
                <w:szCs w:val="21"/>
                <w:lang w:val="sr-Latn-BA" w:eastAsia="sr-Latn-BA"/>
              </w:rPr>
            </w:pPr>
            <w:r w:rsidRPr="00327558">
              <w:rPr>
                <w:rFonts w:eastAsia="Calibri"/>
                <w:b/>
                <w:color w:val="000000"/>
                <w:sz w:val="17"/>
                <w:szCs w:val="17"/>
                <w:lang w:val="sr-Latn-BA" w:eastAsia="sr-Latn-BA"/>
              </w:rPr>
              <w:t>2018</w:t>
            </w:r>
          </w:p>
        </w:tc>
        <w:tc>
          <w:tcPr>
            <w:tcW w:w="850" w:type="dxa"/>
            <w:shd w:val="clear" w:color="auto" w:fill="C3D8F0"/>
            <w:vAlign w:val="center"/>
          </w:tcPr>
          <w:p w14:paraId="46882276" w14:textId="77777777" w:rsidR="00327558" w:rsidRPr="006A15DC" w:rsidRDefault="00327558" w:rsidP="00B51290">
            <w:pPr>
              <w:widowControl w:val="0"/>
              <w:spacing w:line="208" w:lineRule="exact"/>
              <w:jc w:val="center"/>
              <w:rPr>
                <w:rFonts w:eastAsia="Calibri"/>
                <w:b/>
                <w:color w:val="000000"/>
                <w:sz w:val="21"/>
                <w:szCs w:val="21"/>
                <w:lang w:val="sr-Latn-BA" w:eastAsia="sr-Latn-BA"/>
              </w:rPr>
            </w:pPr>
            <w:r w:rsidRPr="00327558">
              <w:rPr>
                <w:rFonts w:eastAsia="Calibri"/>
                <w:b/>
                <w:color w:val="000000"/>
                <w:sz w:val="17"/>
                <w:szCs w:val="17"/>
                <w:lang w:val="sr-Latn-BA" w:eastAsia="sr-Latn-BA"/>
              </w:rPr>
              <w:t>2019</w:t>
            </w:r>
          </w:p>
        </w:tc>
        <w:tc>
          <w:tcPr>
            <w:tcW w:w="850" w:type="dxa"/>
            <w:shd w:val="clear" w:color="auto" w:fill="C3D8F0"/>
            <w:vAlign w:val="center"/>
          </w:tcPr>
          <w:p w14:paraId="6F9EF25D" w14:textId="77777777" w:rsidR="00327558" w:rsidRPr="006A15DC" w:rsidRDefault="00327558" w:rsidP="00B51290">
            <w:pPr>
              <w:widowControl w:val="0"/>
              <w:spacing w:line="208" w:lineRule="exact"/>
              <w:ind w:left="140"/>
              <w:jc w:val="center"/>
              <w:rPr>
                <w:rFonts w:eastAsia="Calibri"/>
                <w:b/>
                <w:color w:val="000000"/>
                <w:sz w:val="21"/>
                <w:szCs w:val="21"/>
                <w:lang w:val="sr-Latn-BA" w:eastAsia="sr-Latn-BA"/>
              </w:rPr>
            </w:pPr>
            <w:r w:rsidRPr="00327558">
              <w:rPr>
                <w:rFonts w:eastAsia="Calibri"/>
                <w:b/>
                <w:color w:val="000000"/>
                <w:sz w:val="17"/>
                <w:szCs w:val="17"/>
                <w:lang w:val="sr-Latn-BA" w:eastAsia="sr-Latn-BA"/>
              </w:rPr>
              <w:t>2020</w:t>
            </w:r>
          </w:p>
        </w:tc>
        <w:tc>
          <w:tcPr>
            <w:tcW w:w="854" w:type="dxa"/>
            <w:shd w:val="clear" w:color="auto" w:fill="C3D8F0"/>
            <w:vAlign w:val="center"/>
          </w:tcPr>
          <w:p w14:paraId="3FC4D066" w14:textId="77777777" w:rsidR="00327558" w:rsidRPr="006A15DC" w:rsidRDefault="00327558" w:rsidP="00B51290">
            <w:pPr>
              <w:widowControl w:val="0"/>
              <w:spacing w:line="208" w:lineRule="exact"/>
              <w:ind w:left="140"/>
              <w:jc w:val="center"/>
              <w:rPr>
                <w:rFonts w:eastAsia="Calibri"/>
                <w:b/>
                <w:color w:val="000000"/>
                <w:sz w:val="21"/>
                <w:szCs w:val="21"/>
                <w:lang w:val="sr-Latn-BA" w:eastAsia="sr-Latn-BA"/>
              </w:rPr>
            </w:pPr>
            <w:r w:rsidRPr="00327558">
              <w:rPr>
                <w:rFonts w:eastAsia="Calibri"/>
                <w:b/>
                <w:color w:val="000000"/>
                <w:sz w:val="17"/>
                <w:szCs w:val="17"/>
                <w:lang w:val="sr-Latn-BA" w:eastAsia="sr-Latn-BA"/>
              </w:rPr>
              <w:t>2021</w:t>
            </w:r>
          </w:p>
        </w:tc>
        <w:tc>
          <w:tcPr>
            <w:tcW w:w="850" w:type="dxa"/>
            <w:shd w:val="clear" w:color="auto" w:fill="C3D8F0"/>
            <w:vAlign w:val="center"/>
          </w:tcPr>
          <w:p w14:paraId="7C7BA135" w14:textId="77777777" w:rsidR="00327558" w:rsidRPr="006A15DC" w:rsidRDefault="00327558" w:rsidP="00B51290">
            <w:pPr>
              <w:widowControl w:val="0"/>
              <w:spacing w:line="208" w:lineRule="exact"/>
              <w:jc w:val="center"/>
              <w:rPr>
                <w:rFonts w:eastAsia="Calibri"/>
                <w:b/>
                <w:color w:val="000000"/>
                <w:sz w:val="21"/>
                <w:szCs w:val="21"/>
                <w:lang w:val="sr-Latn-BA" w:eastAsia="sr-Latn-BA"/>
              </w:rPr>
            </w:pPr>
            <w:r w:rsidRPr="00327558">
              <w:rPr>
                <w:rFonts w:eastAsia="Calibri"/>
                <w:b/>
                <w:color w:val="000000"/>
                <w:sz w:val="17"/>
                <w:szCs w:val="17"/>
                <w:lang w:val="sr-Latn-BA" w:eastAsia="sr-Latn-BA"/>
              </w:rPr>
              <w:t>2022</w:t>
            </w:r>
          </w:p>
        </w:tc>
        <w:tc>
          <w:tcPr>
            <w:tcW w:w="734" w:type="dxa"/>
            <w:shd w:val="clear" w:color="auto" w:fill="C3D8F0"/>
            <w:vAlign w:val="center"/>
          </w:tcPr>
          <w:p w14:paraId="2DE46B63" w14:textId="77777777" w:rsidR="00327558" w:rsidRPr="006A15DC" w:rsidRDefault="00327558" w:rsidP="00B51290">
            <w:pPr>
              <w:widowControl w:val="0"/>
              <w:spacing w:line="208" w:lineRule="exact"/>
              <w:ind w:left="140"/>
              <w:jc w:val="center"/>
              <w:rPr>
                <w:rFonts w:eastAsia="Calibri"/>
                <w:b/>
                <w:color w:val="000000"/>
                <w:sz w:val="21"/>
                <w:szCs w:val="21"/>
                <w:lang w:val="sr-Latn-BA" w:eastAsia="sr-Latn-BA"/>
              </w:rPr>
            </w:pPr>
            <w:r w:rsidRPr="00327558">
              <w:rPr>
                <w:rFonts w:eastAsia="Calibri"/>
                <w:b/>
                <w:color w:val="000000"/>
                <w:sz w:val="17"/>
                <w:szCs w:val="17"/>
                <w:lang w:val="sr-Latn-BA" w:eastAsia="sr-Latn-BA"/>
              </w:rPr>
              <w:t>2023</w:t>
            </w:r>
          </w:p>
        </w:tc>
      </w:tr>
      <w:tr w:rsidR="00327558" w:rsidRPr="006A15DC" w14:paraId="7174D82B" w14:textId="77777777" w:rsidTr="0061226F">
        <w:trPr>
          <w:trHeight w:hRule="exact" w:val="235"/>
        </w:trPr>
        <w:tc>
          <w:tcPr>
            <w:tcW w:w="2645" w:type="dxa"/>
            <w:shd w:val="clear" w:color="auto" w:fill="FFFFFF"/>
          </w:tcPr>
          <w:p w14:paraId="0CC571F7" w14:textId="77777777" w:rsidR="00327558" w:rsidRPr="006A15DC" w:rsidRDefault="00327558" w:rsidP="0061226F">
            <w:pPr>
              <w:widowControl w:val="0"/>
              <w:spacing w:line="208" w:lineRule="exact"/>
              <w:rPr>
                <w:rFonts w:eastAsia="Calibri"/>
                <w:color w:val="000000"/>
                <w:sz w:val="21"/>
                <w:szCs w:val="21"/>
                <w:lang w:val="sr-Latn-BA" w:eastAsia="sr-Latn-BA"/>
              </w:rPr>
            </w:pPr>
            <w:r w:rsidRPr="006A15DC">
              <w:rPr>
                <w:rFonts w:eastAsia="Calibri"/>
                <w:color w:val="000000"/>
                <w:sz w:val="17"/>
                <w:szCs w:val="17"/>
                <w:lang w:val="sr-Latn-BA" w:eastAsia="sr-Latn-BA"/>
              </w:rPr>
              <w:t xml:space="preserve">БДП </w:t>
            </w:r>
            <w:proofErr w:type="spellStart"/>
            <w:r w:rsidRPr="006A15DC">
              <w:rPr>
                <w:rFonts w:eastAsia="Calibri"/>
                <w:color w:val="000000"/>
                <w:sz w:val="17"/>
                <w:szCs w:val="17"/>
                <w:lang w:val="sr-Latn-BA" w:eastAsia="sr-Latn-BA"/>
              </w:rPr>
              <w:t>номинални</w:t>
            </w:r>
            <w:proofErr w:type="spellEnd"/>
            <w:r w:rsidRPr="006A15DC">
              <w:rPr>
                <w:rFonts w:eastAsia="Calibri"/>
                <w:color w:val="000000"/>
                <w:sz w:val="17"/>
                <w:szCs w:val="17"/>
                <w:lang w:val="sr-Latn-BA" w:eastAsia="sr-Latn-BA"/>
              </w:rPr>
              <w:t xml:space="preserve">, у </w:t>
            </w:r>
            <w:proofErr w:type="spellStart"/>
            <w:r w:rsidRPr="006A15DC">
              <w:rPr>
                <w:rFonts w:eastAsia="Calibri"/>
                <w:color w:val="000000"/>
                <w:sz w:val="17"/>
                <w:szCs w:val="17"/>
                <w:lang w:val="sr-Latn-BA" w:eastAsia="sr-Latn-BA"/>
              </w:rPr>
              <w:t>мил</w:t>
            </w:r>
            <w:proofErr w:type="spellEnd"/>
            <w:r w:rsidRPr="006A15DC">
              <w:rPr>
                <w:rFonts w:eastAsia="Calibri"/>
                <w:color w:val="000000"/>
                <w:sz w:val="17"/>
                <w:szCs w:val="17"/>
                <w:lang w:val="sr-Latn-BA" w:eastAsia="sr-Latn-BA"/>
              </w:rPr>
              <w:t>. КМ</w:t>
            </w:r>
          </w:p>
        </w:tc>
        <w:tc>
          <w:tcPr>
            <w:tcW w:w="955" w:type="dxa"/>
            <w:shd w:val="clear" w:color="auto" w:fill="FFFFFF"/>
          </w:tcPr>
          <w:p w14:paraId="0DB1C75B"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9.631</w:t>
            </w:r>
          </w:p>
        </w:tc>
        <w:tc>
          <w:tcPr>
            <w:tcW w:w="854" w:type="dxa"/>
            <w:shd w:val="clear" w:color="auto" w:fill="FFFFFF"/>
          </w:tcPr>
          <w:p w14:paraId="7839B17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10.077</w:t>
            </w:r>
          </w:p>
        </w:tc>
        <w:tc>
          <w:tcPr>
            <w:tcW w:w="850" w:type="dxa"/>
            <w:shd w:val="clear" w:color="auto" w:fill="FFFFFF"/>
            <w:vAlign w:val="bottom"/>
          </w:tcPr>
          <w:p w14:paraId="585B1AE5"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10.680</w:t>
            </w:r>
          </w:p>
        </w:tc>
        <w:tc>
          <w:tcPr>
            <w:tcW w:w="850" w:type="dxa"/>
            <w:shd w:val="clear" w:color="auto" w:fill="FFFFFF"/>
          </w:tcPr>
          <w:p w14:paraId="3A23A13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11.233</w:t>
            </w:r>
          </w:p>
        </w:tc>
        <w:tc>
          <w:tcPr>
            <w:tcW w:w="850" w:type="dxa"/>
            <w:shd w:val="clear" w:color="auto" w:fill="FFFFFF"/>
          </w:tcPr>
          <w:p w14:paraId="03ED0657"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10.895</w:t>
            </w:r>
          </w:p>
        </w:tc>
        <w:tc>
          <w:tcPr>
            <w:tcW w:w="854" w:type="dxa"/>
            <w:shd w:val="clear" w:color="auto" w:fill="FFFFFF"/>
          </w:tcPr>
          <w:p w14:paraId="3718EA0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11.291</w:t>
            </w:r>
          </w:p>
        </w:tc>
        <w:tc>
          <w:tcPr>
            <w:tcW w:w="850" w:type="dxa"/>
            <w:shd w:val="clear" w:color="auto" w:fill="FFFFFF"/>
          </w:tcPr>
          <w:p w14:paraId="51D7181C"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11.799</w:t>
            </w:r>
          </w:p>
        </w:tc>
        <w:tc>
          <w:tcPr>
            <w:tcW w:w="734" w:type="dxa"/>
            <w:shd w:val="clear" w:color="auto" w:fill="FFFFFF"/>
          </w:tcPr>
          <w:p w14:paraId="43C4D6E5"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12.306</w:t>
            </w:r>
          </w:p>
        </w:tc>
      </w:tr>
      <w:tr w:rsidR="00327558" w:rsidRPr="006A15DC" w14:paraId="602B6583" w14:textId="77777777" w:rsidTr="0061226F">
        <w:trPr>
          <w:trHeight w:hRule="exact" w:val="254"/>
        </w:trPr>
        <w:tc>
          <w:tcPr>
            <w:tcW w:w="2645" w:type="dxa"/>
            <w:shd w:val="clear" w:color="auto" w:fill="FFFFFF"/>
            <w:vAlign w:val="bottom"/>
          </w:tcPr>
          <w:p w14:paraId="2A95E6AE"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Број</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становника</w:t>
            </w:r>
            <w:proofErr w:type="spellEnd"/>
            <w:r w:rsidRPr="006A15DC">
              <w:rPr>
                <w:rFonts w:eastAsia="Calibri"/>
                <w:color w:val="000000"/>
                <w:sz w:val="17"/>
                <w:szCs w:val="17"/>
                <w:lang w:val="sr-Latn-BA" w:eastAsia="sr-Latn-BA"/>
              </w:rPr>
              <w:t xml:space="preserve"> - у </w:t>
            </w:r>
            <w:proofErr w:type="spellStart"/>
            <w:r w:rsidRPr="006A15DC">
              <w:rPr>
                <w:rFonts w:eastAsia="Calibri"/>
                <w:color w:val="000000"/>
                <w:sz w:val="17"/>
                <w:szCs w:val="17"/>
                <w:lang w:val="sr-Latn-BA" w:eastAsia="sr-Latn-BA"/>
              </w:rPr>
              <w:t>мил</w:t>
            </w:r>
            <w:proofErr w:type="spellEnd"/>
            <w:r w:rsidRPr="006A15DC">
              <w:rPr>
                <w:rFonts w:eastAsia="Calibri"/>
                <w:color w:val="000000"/>
                <w:sz w:val="17"/>
                <w:szCs w:val="17"/>
                <w:lang w:val="sr-Latn-BA" w:eastAsia="sr-Latn-BA"/>
              </w:rPr>
              <w:t>.</w:t>
            </w:r>
          </w:p>
        </w:tc>
        <w:tc>
          <w:tcPr>
            <w:tcW w:w="955" w:type="dxa"/>
            <w:shd w:val="clear" w:color="auto" w:fill="FFFFFF"/>
            <w:vAlign w:val="bottom"/>
          </w:tcPr>
          <w:p w14:paraId="53BF5AD4"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1,16</w:t>
            </w:r>
          </w:p>
        </w:tc>
        <w:tc>
          <w:tcPr>
            <w:tcW w:w="854" w:type="dxa"/>
            <w:shd w:val="clear" w:color="auto" w:fill="FFFFFF"/>
            <w:vAlign w:val="bottom"/>
          </w:tcPr>
          <w:p w14:paraId="6F0C6B0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1,15</w:t>
            </w:r>
          </w:p>
        </w:tc>
        <w:tc>
          <w:tcPr>
            <w:tcW w:w="850" w:type="dxa"/>
            <w:shd w:val="clear" w:color="auto" w:fill="FFFFFF"/>
            <w:vAlign w:val="bottom"/>
          </w:tcPr>
          <w:p w14:paraId="4A71E61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1,15</w:t>
            </w:r>
          </w:p>
        </w:tc>
        <w:tc>
          <w:tcPr>
            <w:tcW w:w="850" w:type="dxa"/>
            <w:shd w:val="clear" w:color="auto" w:fill="FFFFFF"/>
            <w:vAlign w:val="bottom"/>
          </w:tcPr>
          <w:p w14:paraId="0E9513B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1,14</w:t>
            </w:r>
          </w:p>
        </w:tc>
        <w:tc>
          <w:tcPr>
            <w:tcW w:w="850" w:type="dxa"/>
            <w:shd w:val="clear" w:color="auto" w:fill="FFFFFF"/>
            <w:vAlign w:val="bottom"/>
          </w:tcPr>
          <w:p w14:paraId="08231E84"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1,14</w:t>
            </w:r>
          </w:p>
        </w:tc>
        <w:tc>
          <w:tcPr>
            <w:tcW w:w="854" w:type="dxa"/>
            <w:shd w:val="clear" w:color="auto" w:fill="FFFFFF"/>
            <w:vAlign w:val="bottom"/>
          </w:tcPr>
          <w:p w14:paraId="4656742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1,14</w:t>
            </w:r>
          </w:p>
        </w:tc>
        <w:tc>
          <w:tcPr>
            <w:tcW w:w="850" w:type="dxa"/>
            <w:shd w:val="clear" w:color="auto" w:fill="FFFFFF"/>
            <w:vAlign w:val="bottom"/>
          </w:tcPr>
          <w:p w14:paraId="7DB32A4C"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1,13</w:t>
            </w:r>
          </w:p>
        </w:tc>
        <w:tc>
          <w:tcPr>
            <w:tcW w:w="734" w:type="dxa"/>
            <w:shd w:val="clear" w:color="auto" w:fill="FFFFFF"/>
            <w:vAlign w:val="bottom"/>
          </w:tcPr>
          <w:p w14:paraId="5D6AAAE8"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1,13</w:t>
            </w:r>
          </w:p>
        </w:tc>
      </w:tr>
      <w:tr w:rsidR="00327558" w:rsidRPr="006A15DC" w14:paraId="0E34B14A" w14:textId="77777777" w:rsidTr="0061226F">
        <w:trPr>
          <w:trHeight w:hRule="exact" w:val="259"/>
        </w:trPr>
        <w:tc>
          <w:tcPr>
            <w:tcW w:w="2645" w:type="dxa"/>
            <w:shd w:val="clear" w:color="auto" w:fill="FFFFFF"/>
          </w:tcPr>
          <w:p w14:paraId="7BE24D9E" w14:textId="77777777" w:rsidR="00327558" w:rsidRPr="006A15DC" w:rsidRDefault="00327558" w:rsidP="0061226F">
            <w:pPr>
              <w:widowControl w:val="0"/>
              <w:spacing w:line="208" w:lineRule="exact"/>
              <w:rPr>
                <w:rFonts w:eastAsia="Calibri"/>
                <w:color w:val="000000"/>
                <w:sz w:val="21"/>
                <w:szCs w:val="21"/>
                <w:lang w:val="sr-Latn-BA" w:eastAsia="sr-Latn-BA"/>
              </w:rPr>
            </w:pPr>
            <w:r w:rsidRPr="006A15DC">
              <w:rPr>
                <w:rFonts w:eastAsia="Calibri"/>
                <w:color w:val="000000"/>
                <w:sz w:val="17"/>
                <w:szCs w:val="17"/>
                <w:lang w:val="sr-Latn-BA" w:eastAsia="sr-Latn-BA"/>
              </w:rPr>
              <w:t xml:space="preserve">БДП </w:t>
            </w:r>
            <w:proofErr w:type="spellStart"/>
            <w:r w:rsidRPr="006A15DC">
              <w:rPr>
                <w:rFonts w:eastAsia="Calibri"/>
                <w:color w:val="000000"/>
                <w:sz w:val="17"/>
                <w:szCs w:val="17"/>
                <w:lang w:val="sr-Latn-BA" w:eastAsia="sr-Latn-BA"/>
              </w:rPr>
              <w:t>по</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становнику</w:t>
            </w:r>
            <w:proofErr w:type="spellEnd"/>
            <w:r w:rsidRPr="006A15DC">
              <w:rPr>
                <w:rFonts w:eastAsia="Calibri"/>
                <w:color w:val="000000"/>
                <w:sz w:val="17"/>
                <w:szCs w:val="17"/>
                <w:lang w:val="sr-Latn-BA" w:eastAsia="sr-Latn-BA"/>
              </w:rPr>
              <w:t xml:space="preserve"> у КМ</w:t>
            </w:r>
          </w:p>
        </w:tc>
        <w:tc>
          <w:tcPr>
            <w:tcW w:w="955" w:type="dxa"/>
            <w:shd w:val="clear" w:color="auto" w:fill="FFFFFF"/>
          </w:tcPr>
          <w:p w14:paraId="33C8B05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8.320</w:t>
            </w:r>
          </w:p>
        </w:tc>
        <w:tc>
          <w:tcPr>
            <w:tcW w:w="854" w:type="dxa"/>
            <w:shd w:val="clear" w:color="auto" w:fill="FFFFFF"/>
          </w:tcPr>
          <w:p w14:paraId="3521E2E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8.740</w:t>
            </w:r>
          </w:p>
        </w:tc>
        <w:tc>
          <w:tcPr>
            <w:tcW w:w="850" w:type="dxa"/>
            <w:shd w:val="clear" w:color="auto" w:fill="FFFFFF"/>
          </w:tcPr>
          <w:p w14:paraId="7009B37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9.304</w:t>
            </w:r>
          </w:p>
        </w:tc>
        <w:tc>
          <w:tcPr>
            <w:tcW w:w="850" w:type="dxa"/>
            <w:shd w:val="clear" w:color="auto" w:fill="FFFFFF"/>
          </w:tcPr>
          <w:p w14:paraId="3F35F0DC"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9.832</w:t>
            </w:r>
          </w:p>
        </w:tc>
        <w:tc>
          <w:tcPr>
            <w:tcW w:w="850" w:type="dxa"/>
            <w:shd w:val="clear" w:color="auto" w:fill="FFFFFF"/>
          </w:tcPr>
          <w:p w14:paraId="1365F6AD"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9.561</w:t>
            </w:r>
          </w:p>
        </w:tc>
        <w:tc>
          <w:tcPr>
            <w:tcW w:w="854" w:type="dxa"/>
            <w:shd w:val="clear" w:color="auto" w:fill="FFFFFF"/>
          </w:tcPr>
          <w:p w14:paraId="49B4FAA7"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9.935</w:t>
            </w:r>
          </w:p>
        </w:tc>
        <w:tc>
          <w:tcPr>
            <w:tcW w:w="850" w:type="dxa"/>
            <w:shd w:val="clear" w:color="auto" w:fill="FFFFFF"/>
          </w:tcPr>
          <w:p w14:paraId="3F00AE2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10.409</w:t>
            </w:r>
          </w:p>
        </w:tc>
        <w:tc>
          <w:tcPr>
            <w:tcW w:w="734" w:type="dxa"/>
            <w:shd w:val="clear" w:color="auto" w:fill="FFFFFF"/>
          </w:tcPr>
          <w:p w14:paraId="18263E67"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10.885</w:t>
            </w:r>
          </w:p>
        </w:tc>
      </w:tr>
      <w:tr w:rsidR="00327558" w:rsidRPr="006A15DC" w14:paraId="4DFCE073" w14:textId="77777777" w:rsidTr="0061226F">
        <w:trPr>
          <w:trHeight w:hRule="exact" w:val="240"/>
        </w:trPr>
        <w:tc>
          <w:tcPr>
            <w:tcW w:w="2645" w:type="dxa"/>
            <w:shd w:val="clear" w:color="auto" w:fill="FFFFFF"/>
            <w:vAlign w:val="bottom"/>
          </w:tcPr>
          <w:p w14:paraId="16821C62" w14:textId="77777777" w:rsidR="00327558" w:rsidRPr="006A15DC" w:rsidRDefault="00327558" w:rsidP="0061226F">
            <w:pPr>
              <w:widowControl w:val="0"/>
              <w:spacing w:line="208" w:lineRule="exact"/>
              <w:rPr>
                <w:rFonts w:eastAsia="Calibri"/>
                <w:color w:val="000000"/>
                <w:sz w:val="21"/>
                <w:szCs w:val="21"/>
                <w:lang w:val="sr-Latn-BA" w:eastAsia="sr-Latn-BA"/>
              </w:rPr>
            </w:pPr>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раста</w:t>
            </w:r>
            <w:proofErr w:type="spellEnd"/>
            <w:r w:rsidRPr="006A15DC">
              <w:rPr>
                <w:rFonts w:eastAsia="Calibri"/>
                <w:color w:val="000000"/>
                <w:sz w:val="17"/>
                <w:szCs w:val="17"/>
                <w:lang w:val="sr-Latn-BA" w:eastAsia="sr-Latn-BA"/>
              </w:rPr>
              <w:t xml:space="preserve"> БДП-а, </w:t>
            </w:r>
            <w:proofErr w:type="spellStart"/>
            <w:r w:rsidRPr="006A15DC">
              <w:rPr>
                <w:rFonts w:eastAsia="Calibri"/>
                <w:color w:val="000000"/>
                <w:sz w:val="17"/>
                <w:szCs w:val="17"/>
                <w:lang w:val="sr-Latn-BA" w:eastAsia="sr-Latn-BA"/>
              </w:rPr>
              <w:t>номинално</w:t>
            </w:r>
            <w:proofErr w:type="spellEnd"/>
          </w:p>
        </w:tc>
        <w:tc>
          <w:tcPr>
            <w:tcW w:w="955" w:type="dxa"/>
            <w:shd w:val="clear" w:color="auto" w:fill="FFFFFF"/>
            <w:vAlign w:val="bottom"/>
          </w:tcPr>
          <w:p w14:paraId="18878D6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4,6%</w:t>
            </w:r>
          </w:p>
        </w:tc>
        <w:tc>
          <w:tcPr>
            <w:tcW w:w="854" w:type="dxa"/>
            <w:shd w:val="clear" w:color="auto" w:fill="FFFFFF"/>
            <w:vAlign w:val="bottom"/>
          </w:tcPr>
          <w:p w14:paraId="234986C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4,6%</w:t>
            </w:r>
          </w:p>
        </w:tc>
        <w:tc>
          <w:tcPr>
            <w:tcW w:w="850" w:type="dxa"/>
            <w:shd w:val="clear" w:color="auto" w:fill="FFFFFF"/>
            <w:vAlign w:val="bottom"/>
          </w:tcPr>
          <w:p w14:paraId="56C48DFB"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6,0%</w:t>
            </w:r>
          </w:p>
        </w:tc>
        <w:tc>
          <w:tcPr>
            <w:tcW w:w="850" w:type="dxa"/>
            <w:shd w:val="clear" w:color="auto" w:fill="FFFFFF"/>
            <w:vAlign w:val="bottom"/>
          </w:tcPr>
          <w:p w14:paraId="4D87C28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5,2%</w:t>
            </w:r>
          </w:p>
        </w:tc>
        <w:tc>
          <w:tcPr>
            <w:tcW w:w="850" w:type="dxa"/>
            <w:shd w:val="clear" w:color="auto" w:fill="FFFFFF"/>
            <w:vAlign w:val="bottom"/>
          </w:tcPr>
          <w:p w14:paraId="6C3EA7E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-3,0%</w:t>
            </w:r>
          </w:p>
        </w:tc>
        <w:tc>
          <w:tcPr>
            <w:tcW w:w="854" w:type="dxa"/>
            <w:shd w:val="clear" w:color="auto" w:fill="FFFFFF"/>
            <w:vAlign w:val="bottom"/>
          </w:tcPr>
          <w:p w14:paraId="3ABC5A94"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3,6%</w:t>
            </w:r>
          </w:p>
        </w:tc>
        <w:tc>
          <w:tcPr>
            <w:tcW w:w="850" w:type="dxa"/>
            <w:shd w:val="clear" w:color="auto" w:fill="FFFFFF"/>
            <w:vAlign w:val="bottom"/>
          </w:tcPr>
          <w:p w14:paraId="66EBBDCC"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4,5%</w:t>
            </w:r>
          </w:p>
        </w:tc>
        <w:tc>
          <w:tcPr>
            <w:tcW w:w="734" w:type="dxa"/>
            <w:shd w:val="clear" w:color="auto" w:fill="FFFFFF"/>
            <w:vAlign w:val="bottom"/>
          </w:tcPr>
          <w:p w14:paraId="7CDD39BC"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4,3%</w:t>
            </w:r>
          </w:p>
        </w:tc>
      </w:tr>
      <w:tr w:rsidR="00327558" w:rsidRPr="006A15DC" w14:paraId="418CD6C0" w14:textId="77777777" w:rsidTr="007D4CEA">
        <w:trPr>
          <w:trHeight w:hRule="exact" w:val="270"/>
        </w:trPr>
        <w:tc>
          <w:tcPr>
            <w:tcW w:w="2645" w:type="dxa"/>
            <w:shd w:val="clear" w:color="auto" w:fill="DDEBF6"/>
            <w:vAlign w:val="bottom"/>
          </w:tcPr>
          <w:p w14:paraId="793B7F0E" w14:textId="77777777" w:rsidR="00327558" w:rsidRPr="006A15DC" w:rsidRDefault="00327558" w:rsidP="0061226F">
            <w:pPr>
              <w:widowControl w:val="0"/>
              <w:spacing w:line="208" w:lineRule="exact"/>
              <w:rPr>
                <w:rFonts w:eastAsia="Calibri"/>
                <w:color w:val="000000"/>
                <w:sz w:val="21"/>
                <w:szCs w:val="21"/>
                <w:lang w:val="sr-Latn-BA" w:eastAsia="sr-Latn-BA"/>
              </w:rPr>
            </w:pPr>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раста</w:t>
            </w:r>
            <w:proofErr w:type="spellEnd"/>
            <w:r w:rsidRPr="006A15DC">
              <w:rPr>
                <w:rFonts w:eastAsia="Calibri"/>
                <w:color w:val="000000"/>
                <w:sz w:val="17"/>
                <w:szCs w:val="17"/>
                <w:lang w:val="sr-Latn-BA" w:eastAsia="sr-Latn-BA"/>
              </w:rPr>
              <w:t xml:space="preserve"> БДП-а, </w:t>
            </w:r>
            <w:proofErr w:type="spellStart"/>
            <w:r w:rsidRPr="006A15DC">
              <w:rPr>
                <w:rFonts w:eastAsia="Calibri"/>
                <w:color w:val="000000"/>
                <w:sz w:val="17"/>
                <w:szCs w:val="17"/>
                <w:lang w:val="sr-Latn-BA" w:eastAsia="sr-Latn-BA"/>
              </w:rPr>
              <w:t>реално</w:t>
            </w:r>
            <w:proofErr w:type="spellEnd"/>
          </w:p>
        </w:tc>
        <w:tc>
          <w:tcPr>
            <w:tcW w:w="955" w:type="dxa"/>
            <w:shd w:val="clear" w:color="auto" w:fill="DDEBF6"/>
            <w:vAlign w:val="bottom"/>
          </w:tcPr>
          <w:p w14:paraId="7A862FC6"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3,5%</w:t>
            </w:r>
          </w:p>
        </w:tc>
        <w:tc>
          <w:tcPr>
            <w:tcW w:w="854" w:type="dxa"/>
            <w:shd w:val="clear" w:color="auto" w:fill="DDEBF6"/>
            <w:vAlign w:val="bottom"/>
          </w:tcPr>
          <w:p w14:paraId="08E3AA2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3,1%</w:t>
            </w:r>
          </w:p>
        </w:tc>
        <w:tc>
          <w:tcPr>
            <w:tcW w:w="850" w:type="dxa"/>
            <w:shd w:val="clear" w:color="auto" w:fill="DDEBF6"/>
            <w:vAlign w:val="bottom"/>
          </w:tcPr>
          <w:p w14:paraId="21037150"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3,9%</w:t>
            </w:r>
          </w:p>
        </w:tc>
        <w:tc>
          <w:tcPr>
            <w:tcW w:w="850" w:type="dxa"/>
            <w:shd w:val="clear" w:color="auto" w:fill="DDEBF6"/>
            <w:vAlign w:val="bottom"/>
          </w:tcPr>
          <w:p w14:paraId="1C1EC70F"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2,5%</w:t>
            </w:r>
          </w:p>
        </w:tc>
        <w:tc>
          <w:tcPr>
            <w:tcW w:w="850" w:type="dxa"/>
            <w:shd w:val="clear" w:color="auto" w:fill="DDEBF6"/>
            <w:vAlign w:val="bottom"/>
          </w:tcPr>
          <w:p w14:paraId="63C7386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-3,3%</w:t>
            </w:r>
          </w:p>
        </w:tc>
        <w:tc>
          <w:tcPr>
            <w:tcW w:w="854" w:type="dxa"/>
            <w:shd w:val="clear" w:color="auto" w:fill="DDEBF6"/>
            <w:vAlign w:val="bottom"/>
          </w:tcPr>
          <w:p w14:paraId="6CCAC856"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2,9%</w:t>
            </w:r>
          </w:p>
        </w:tc>
        <w:tc>
          <w:tcPr>
            <w:tcW w:w="850" w:type="dxa"/>
            <w:shd w:val="clear" w:color="auto" w:fill="DDEBF6"/>
            <w:vAlign w:val="bottom"/>
          </w:tcPr>
          <w:p w14:paraId="3A74890C"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3,6%</w:t>
            </w:r>
          </w:p>
        </w:tc>
        <w:tc>
          <w:tcPr>
            <w:tcW w:w="734" w:type="dxa"/>
            <w:shd w:val="clear" w:color="auto" w:fill="DDEBF6"/>
            <w:vAlign w:val="bottom"/>
          </w:tcPr>
          <w:p w14:paraId="23BA6A4D"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3,2%</w:t>
            </w:r>
          </w:p>
        </w:tc>
      </w:tr>
      <w:tr w:rsidR="00327558" w:rsidRPr="006A15DC" w14:paraId="59C6DABB" w14:textId="77777777" w:rsidTr="007D4CEA">
        <w:trPr>
          <w:trHeight w:hRule="exact" w:val="205"/>
        </w:trPr>
        <w:tc>
          <w:tcPr>
            <w:tcW w:w="2645" w:type="dxa"/>
            <w:shd w:val="clear" w:color="auto" w:fill="FFFFFF"/>
            <w:vAlign w:val="center"/>
          </w:tcPr>
          <w:p w14:paraId="5317683A" w14:textId="77777777" w:rsidR="00327558" w:rsidRPr="006A15DC" w:rsidRDefault="007D4CEA" w:rsidP="007D4CEA">
            <w:pPr>
              <w:widowControl w:val="0"/>
              <w:spacing w:line="208" w:lineRule="exact"/>
              <w:rPr>
                <w:rFonts w:eastAsia="Calibri"/>
                <w:color w:val="000000"/>
                <w:sz w:val="21"/>
                <w:szCs w:val="21"/>
                <w:lang w:val="sr-Latn-BA" w:eastAsia="sr-Latn-BA"/>
              </w:rPr>
            </w:pPr>
            <w:proofErr w:type="spellStart"/>
            <w:r>
              <w:rPr>
                <w:rFonts w:eastAsia="Calibri"/>
                <w:color w:val="000000"/>
                <w:sz w:val="17"/>
                <w:szCs w:val="17"/>
                <w:lang w:val="sr-Latn-BA" w:eastAsia="sr-Latn-BA"/>
              </w:rPr>
              <w:t>Инфлација</w:t>
            </w:r>
            <w:proofErr w:type="spellEnd"/>
            <w:r>
              <w:rPr>
                <w:rFonts w:eastAsia="Calibri"/>
                <w:color w:val="000000"/>
                <w:sz w:val="17"/>
                <w:szCs w:val="17"/>
                <w:lang w:val="sr-Latn-BA" w:eastAsia="sr-Latn-BA"/>
              </w:rPr>
              <w:t xml:space="preserve"> – </w:t>
            </w:r>
            <w:proofErr w:type="spellStart"/>
            <w:r>
              <w:rPr>
                <w:rFonts w:eastAsia="Calibri"/>
                <w:color w:val="000000"/>
                <w:sz w:val="17"/>
                <w:szCs w:val="17"/>
                <w:lang w:val="sr-Latn-BA" w:eastAsia="sr-Latn-BA"/>
              </w:rPr>
              <w:t>просј</w:t>
            </w:r>
            <w:proofErr w:type="spellEnd"/>
            <w:r>
              <w:rPr>
                <w:rFonts w:eastAsia="Calibri"/>
                <w:color w:val="000000"/>
                <w:sz w:val="17"/>
                <w:szCs w:val="17"/>
                <w:lang w:val="sr-Latn-BA" w:eastAsia="sr-Latn-BA"/>
              </w:rPr>
              <w:t>.</w:t>
            </w:r>
            <w:r w:rsidR="00327558" w:rsidRPr="006A15DC">
              <w:rPr>
                <w:rFonts w:eastAsia="Calibri"/>
                <w:color w:val="000000"/>
                <w:sz w:val="17"/>
                <w:szCs w:val="17"/>
                <w:lang w:val="sr-Latn-BA" w:eastAsia="sr-Latn-BA"/>
              </w:rPr>
              <w:t xml:space="preserve"> </w:t>
            </w:r>
            <w:proofErr w:type="spellStart"/>
            <w:r w:rsidR="00327558" w:rsidRPr="006A15DC">
              <w:rPr>
                <w:rFonts w:eastAsia="Calibri"/>
                <w:color w:val="000000"/>
                <w:sz w:val="17"/>
                <w:szCs w:val="17"/>
                <w:lang w:val="sr-Latn-BA" w:eastAsia="sr-Latn-BA"/>
              </w:rPr>
              <w:t>год</w:t>
            </w:r>
            <w:proofErr w:type="spellEnd"/>
            <w:r>
              <w:rPr>
                <w:rFonts w:eastAsia="Calibri"/>
                <w:color w:val="000000"/>
                <w:sz w:val="17"/>
                <w:szCs w:val="17"/>
                <w:lang w:val="sr-Cyrl-RS" w:eastAsia="sr-Latn-BA"/>
              </w:rPr>
              <w:t xml:space="preserve">. </w:t>
            </w:r>
            <w:proofErr w:type="spellStart"/>
            <w:r w:rsidR="00327558" w:rsidRPr="006A15DC">
              <w:rPr>
                <w:rFonts w:eastAsia="Calibri"/>
                <w:color w:val="000000"/>
                <w:sz w:val="17"/>
                <w:szCs w:val="17"/>
                <w:lang w:val="sr-Latn-BA" w:eastAsia="sr-Latn-BA"/>
              </w:rPr>
              <w:t>стопа</w:t>
            </w:r>
            <w:proofErr w:type="spellEnd"/>
          </w:p>
        </w:tc>
        <w:tc>
          <w:tcPr>
            <w:tcW w:w="955" w:type="dxa"/>
            <w:shd w:val="clear" w:color="auto" w:fill="FFFFFF"/>
            <w:vAlign w:val="bottom"/>
          </w:tcPr>
          <w:p w14:paraId="4406692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-1,2%</w:t>
            </w:r>
          </w:p>
        </w:tc>
        <w:tc>
          <w:tcPr>
            <w:tcW w:w="854" w:type="dxa"/>
            <w:shd w:val="clear" w:color="auto" w:fill="FFFFFF"/>
            <w:vAlign w:val="bottom"/>
          </w:tcPr>
          <w:p w14:paraId="44FD3FE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0,5%</w:t>
            </w:r>
          </w:p>
        </w:tc>
        <w:tc>
          <w:tcPr>
            <w:tcW w:w="850" w:type="dxa"/>
            <w:shd w:val="clear" w:color="auto" w:fill="FFFFFF"/>
            <w:vAlign w:val="bottom"/>
          </w:tcPr>
          <w:p w14:paraId="4289845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1,2%</w:t>
            </w:r>
          </w:p>
        </w:tc>
        <w:tc>
          <w:tcPr>
            <w:tcW w:w="850" w:type="dxa"/>
            <w:shd w:val="clear" w:color="auto" w:fill="FFFFFF"/>
            <w:vAlign w:val="bottom"/>
          </w:tcPr>
          <w:p w14:paraId="30A6EE60"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0,5%</w:t>
            </w:r>
          </w:p>
        </w:tc>
        <w:tc>
          <w:tcPr>
            <w:tcW w:w="850" w:type="dxa"/>
            <w:shd w:val="clear" w:color="auto" w:fill="FFFFFF"/>
            <w:vAlign w:val="bottom"/>
          </w:tcPr>
          <w:p w14:paraId="0F139A84"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-0,4%</w:t>
            </w:r>
          </w:p>
        </w:tc>
        <w:tc>
          <w:tcPr>
            <w:tcW w:w="854" w:type="dxa"/>
            <w:shd w:val="clear" w:color="auto" w:fill="FFFFFF"/>
            <w:vAlign w:val="bottom"/>
          </w:tcPr>
          <w:p w14:paraId="7E1B71EC"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0,8%</w:t>
            </w:r>
          </w:p>
        </w:tc>
        <w:tc>
          <w:tcPr>
            <w:tcW w:w="850" w:type="dxa"/>
            <w:shd w:val="clear" w:color="auto" w:fill="FFFFFF"/>
            <w:vAlign w:val="bottom"/>
          </w:tcPr>
          <w:p w14:paraId="7DEE5EDF"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w:t>
            </w:r>
          </w:p>
        </w:tc>
        <w:tc>
          <w:tcPr>
            <w:tcW w:w="734" w:type="dxa"/>
            <w:shd w:val="clear" w:color="auto" w:fill="FFFFFF"/>
            <w:vAlign w:val="bottom"/>
          </w:tcPr>
          <w:p w14:paraId="3CBA7FD5"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1,3%</w:t>
            </w:r>
          </w:p>
        </w:tc>
      </w:tr>
      <w:tr w:rsidR="00327558" w:rsidRPr="006A15DC" w14:paraId="03FB3273" w14:textId="77777777" w:rsidTr="00B67529">
        <w:trPr>
          <w:trHeight w:hRule="exact" w:val="285"/>
        </w:trPr>
        <w:tc>
          <w:tcPr>
            <w:tcW w:w="2645" w:type="dxa"/>
            <w:shd w:val="clear" w:color="auto" w:fill="FFFFFF"/>
            <w:vAlign w:val="bottom"/>
          </w:tcPr>
          <w:p w14:paraId="3CC2154B" w14:textId="77777777" w:rsidR="00327558" w:rsidRPr="006A15DC" w:rsidRDefault="00327558" w:rsidP="0061226F">
            <w:pPr>
              <w:widowControl w:val="0"/>
              <w:spacing w:line="196" w:lineRule="exact"/>
              <w:rPr>
                <w:rFonts w:eastAsia="Calibri"/>
                <w:color w:val="000000"/>
                <w:sz w:val="21"/>
                <w:szCs w:val="21"/>
                <w:lang w:val="sr-Latn-BA" w:eastAsia="sr-Latn-BA"/>
              </w:rPr>
            </w:pPr>
            <w:proofErr w:type="spellStart"/>
            <w:r w:rsidRPr="006A15DC">
              <w:rPr>
                <w:rFonts w:eastAsia="Calibri"/>
                <w:b/>
                <w:bCs/>
                <w:i/>
                <w:iCs/>
                <w:color w:val="000000"/>
                <w:spacing w:val="10"/>
                <w:sz w:val="16"/>
                <w:szCs w:val="16"/>
                <w:lang w:val="sr-Latn-BA" w:eastAsia="sr-Latn-BA"/>
              </w:rPr>
              <w:t>Реални</w:t>
            </w:r>
            <w:proofErr w:type="spellEnd"/>
            <w:r w:rsidRPr="006A15DC">
              <w:rPr>
                <w:rFonts w:eastAsia="Calibri"/>
                <w:b/>
                <w:bCs/>
                <w:i/>
                <w:iCs/>
                <w:color w:val="000000"/>
                <w:spacing w:val="10"/>
                <w:sz w:val="16"/>
                <w:szCs w:val="16"/>
                <w:lang w:val="sr-Latn-BA" w:eastAsia="sr-Latn-BA"/>
              </w:rPr>
              <w:t xml:space="preserve"> </w:t>
            </w:r>
            <w:proofErr w:type="spellStart"/>
            <w:r w:rsidRPr="006A15DC">
              <w:rPr>
                <w:rFonts w:eastAsia="Calibri"/>
                <w:b/>
                <w:bCs/>
                <w:i/>
                <w:iCs/>
                <w:color w:val="000000"/>
                <w:spacing w:val="10"/>
                <w:sz w:val="16"/>
                <w:szCs w:val="16"/>
                <w:lang w:val="sr-Latn-BA" w:eastAsia="sr-Latn-BA"/>
              </w:rPr>
              <w:t>раст</w:t>
            </w:r>
            <w:proofErr w:type="spellEnd"/>
            <w:r w:rsidRPr="006A15DC">
              <w:rPr>
                <w:rFonts w:eastAsia="Calibri"/>
                <w:b/>
                <w:bCs/>
                <w:i/>
                <w:iCs/>
                <w:color w:val="000000"/>
                <w:spacing w:val="10"/>
                <w:sz w:val="16"/>
                <w:szCs w:val="16"/>
                <w:lang w:val="sr-Latn-BA" w:eastAsia="sr-Latn-BA"/>
              </w:rPr>
              <w:t xml:space="preserve"> БДП-а</w:t>
            </w:r>
          </w:p>
        </w:tc>
        <w:tc>
          <w:tcPr>
            <w:tcW w:w="1809" w:type="dxa"/>
            <w:gridSpan w:val="2"/>
            <w:shd w:val="clear" w:color="auto" w:fill="FFFFFF"/>
            <w:vAlign w:val="bottom"/>
          </w:tcPr>
          <w:p w14:paraId="7CB7C485" w14:textId="77777777" w:rsidR="00327558" w:rsidRPr="006A15DC" w:rsidRDefault="00327558" w:rsidP="0061226F">
            <w:pPr>
              <w:widowControl w:val="0"/>
              <w:tabs>
                <w:tab w:val="left" w:pos="1344"/>
              </w:tabs>
              <w:spacing w:line="254" w:lineRule="exact"/>
              <w:ind w:left="520" w:hanging="520"/>
              <w:rPr>
                <w:rFonts w:eastAsia="Calibri"/>
                <w:color w:val="000000"/>
                <w:sz w:val="21"/>
                <w:szCs w:val="21"/>
                <w:lang w:val="sr-Latn-BA" w:eastAsia="sr-Latn-BA"/>
              </w:rPr>
            </w:pPr>
            <w:r w:rsidRPr="006A15DC">
              <w:rPr>
                <w:rFonts w:eastAsia="Calibri"/>
                <w:color w:val="000000"/>
                <w:sz w:val="17"/>
                <w:szCs w:val="17"/>
                <w:lang w:val="sr-Latn-BA" w:eastAsia="sr-Latn-BA"/>
              </w:rPr>
              <w:t>(</w:t>
            </w:r>
            <w:proofErr w:type="spellStart"/>
            <w:r w:rsidRPr="006A15DC">
              <w:rPr>
                <w:rFonts w:eastAsia="Calibri"/>
                <w:color w:val="000000"/>
                <w:sz w:val="17"/>
                <w:szCs w:val="17"/>
                <w:lang w:val="sr-Latn-BA" w:eastAsia="sr-Latn-BA"/>
              </w:rPr>
              <w:t>реалне</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стопе</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раста</w:t>
            </w:r>
            <w:proofErr w:type="spellEnd"/>
            <w:r w:rsidRPr="006A15DC">
              <w:rPr>
                <w:rFonts w:eastAsia="Calibri"/>
                <w:color w:val="000000"/>
                <w:sz w:val="17"/>
                <w:szCs w:val="17"/>
                <w:lang w:val="sr-Latn-BA" w:eastAsia="sr-Latn-BA"/>
              </w:rPr>
              <w:t xml:space="preserve"> %) </w:t>
            </w:r>
            <w:r w:rsidRPr="006A15DC">
              <w:rPr>
                <w:rFonts w:eastAsia="Calibri"/>
                <w:b/>
                <w:bCs/>
                <w:i/>
                <w:iCs/>
                <w:color w:val="000000"/>
                <w:spacing w:val="10"/>
                <w:sz w:val="16"/>
                <w:szCs w:val="16"/>
                <w:lang w:val="sr-Latn-BA" w:eastAsia="sr-Latn-BA"/>
              </w:rPr>
              <w:t>3,5</w:t>
            </w:r>
            <w:r w:rsidRPr="006A15DC">
              <w:rPr>
                <w:rFonts w:eastAsia="Calibri"/>
                <w:b/>
                <w:bCs/>
                <w:i/>
                <w:iCs/>
                <w:color w:val="000000"/>
                <w:spacing w:val="10"/>
                <w:sz w:val="16"/>
                <w:szCs w:val="16"/>
                <w:lang w:val="sr-Latn-BA" w:eastAsia="sr-Latn-BA"/>
              </w:rPr>
              <w:tab/>
              <w:t>3,1</w:t>
            </w:r>
          </w:p>
        </w:tc>
        <w:tc>
          <w:tcPr>
            <w:tcW w:w="850" w:type="dxa"/>
            <w:shd w:val="clear" w:color="auto" w:fill="FFFFFF"/>
            <w:vAlign w:val="bottom"/>
          </w:tcPr>
          <w:p w14:paraId="30FB2032" w14:textId="77777777" w:rsidR="00327558" w:rsidRPr="006A15DC" w:rsidRDefault="00327558" w:rsidP="0061226F">
            <w:pPr>
              <w:widowControl w:val="0"/>
              <w:spacing w:line="196" w:lineRule="exact"/>
              <w:ind w:right="160"/>
              <w:jc w:val="right"/>
              <w:rPr>
                <w:rFonts w:eastAsia="Calibri"/>
                <w:color w:val="000000"/>
                <w:sz w:val="21"/>
                <w:szCs w:val="21"/>
                <w:lang w:val="sr-Latn-BA" w:eastAsia="sr-Latn-BA"/>
              </w:rPr>
            </w:pPr>
            <w:r w:rsidRPr="006A15DC">
              <w:rPr>
                <w:rFonts w:eastAsia="Calibri"/>
                <w:b/>
                <w:bCs/>
                <w:i/>
                <w:iCs/>
                <w:color w:val="000000"/>
                <w:spacing w:val="10"/>
                <w:sz w:val="16"/>
                <w:szCs w:val="16"/>
                <w:lang w:val="sr-Latn-BA" w:eastAsia="sr-Latn-BA"/>
              </w:rPr>
              <w:t>3,9</w:t>
            </w:r>
          </w:p>
        </w:tc>
        <w:tc>
          <w:tcPr>
            <w:tcW w:w="850" w:type="dxa"/>
            <w:shd w:val="clear" w:color="auto" w:fill="FFFFFF"/>
            <w:vAlign w:val="bottom"/>
          </w:tcPr>
          <w:p w14:paraId="2D0EFE00" w14:textId="77777777" w:rsidR="00327558" w:rsidRPr="006A15DC" w:rsidRDefault="00327558" w:rsidP="0061226F">
            <w:pPr>
              <w:widowControl w:val="0"/>
              <w:spacing w:line="196" w:lineRule="exact"/>
              <w:ind w:right="160"/>
              <w:jc w:val="right"/>
              <w:rPr>
                <w:rFonts w:eastAsia="Calibri"/>
                <w:color w:val="000000"/>
                <w:sz w:val="21"/>
                <w:szCs w:val="21"/>
                <w:lang w:val="sr-Latn-BA" w:eastAsia="sr-Latn-BA"/>
              </w:rPr>
            </w:pPr>
            <w:r w:rsidRPr="006A15DC">
              <w:rPr>
                <w:rFonts w:eastAsia="Calibri"/>
                <w:b/>
                <w:bCs/>
                <w:i/>
                <w:iCs/>
                <w:color w:val="000000"/>
                <w:spacing w:val="10"/>
                <w:sz w:val="16"/>
                <w:szCs w:val="16"/>
                <w:lang w:val="sr-Latn-BA" w:eastAsia="sr-Latn-BA"/>
              </w:rPr>
              <w:t>2,5</w:t>
            </w:r>
          </w:p>
        </w:tc>
        <w:tc>
          <w:tcPr>
            <w:tcW w:w="850" w:type="dxa"/>
            <w:shd w:val="clear" w:color="auto" w:fill="FFFFFF"/>
            <w:vAlign w:val="bottom"/>
          </w:tcPr>
          <w:p w14:paraId="333305B1" w14:textId="77777777" w:rsidR="00327558" w:rsidRPr="006A15DC" w:rsidRDefault="00327558" w:rsidP="0061226F">
            <w:pPr>
              <w:widowControl w:val="0"/>
              <w:spacing w:line="196" w:lineRule="exact"/>
              <w:ind w:right="160"/>
              <w:jc w:val="right"/>
              <w:rPr>
                <w:rFonts w:eastAsia="Calibri"/>
                <w:color w:val="000000"/>
                <w:sz w:val="21"/>
                <w:szCs w:val="21"/>
                <w:lang w:val="sr-Latn-BA" w:eastAsia="sr-Latn-BA"/>
              </w:rPr>
            </w:pPr>
            <w:r w:rsidRPr="006A15DC">
              <w:rPr>
                <w:rFonts w:eastAsia="Calibri"/>
                <w:b/>
                <w:bCs/>
                <w:i/>
                <w:iCs/>
                <w:color w:val="000000"/>
                <w:spacing w:val="10"/>
                <w:sz w:val="16"/>
                <w:szCs w:val="16"/>
                <w:lang w:val="sr-Latn-BA" w:eastAsia="sr-Latn-BA"/>
              </w:rPr>
              <w:t>-3,3</w:t>
            </w:r>
          </w:p>
        </w:tc>
        <w:tc>
          <w:tcPr>
            <w:tcW w:w="854" w:type="dxa"/>
            <w:shd w:val="clear" w:color="auto" w:fill="FFFFFF"/>
            <w:vAlign w:val="bottom"/>
          </w:tcPr>
          <w:p w14:paraId="476E19E9" w14:textId="77777777" w:rsidR="00327558" w:rsidRPr="006A15DC" w:rsidRDefault="00327558" w:rsidP="0061226F">
            <w:pPr>
              <w:widowControl w:val="0"/>
              <w:spacing w:line="196" w:lineRule="exact"/>
              <w:ind w:right="160"/>
              <w:jc w:val="right"/>
              <w:rPr>
                <w:rFonts w:eastAsia="Calibri"/>
                <w:color w:val="000000"/>
                <w:sz w:val="21"/>
                <w:szCs w:val="21"/>
                <w:lang w:val="sr-Latn-BA" w:eastAsia="sr-Latn-BA"/>
              </w:rPr>
            </w:pPr>
            <w:r w:rsidRPr="006A15DC">
              <w:rPr>
                <w:rFonts w:eastAsia="Calibri"/>
                <w:b/>
                <w:bCs/>
                <w:i/>
                <w:iCs/>
                <w:color w:val="000000"/>
                <w:spacing w:val="10"/>
                <w:sz w:val="16"/>
                <w:szCs w:val="16"/>
                <w:lang w:val="sr-Latn-BA" w:eastAsia="sr-Latn-BA"/>
              </w:rPr>
              <w:t>2,9</w:t>
            </w:r>
          </w:p>
        </w:tc>
        <w:tc>
          <w:tcPr>
            <w:tcW w:w="850" w:type="dxa"/>
            <w:shd w:val="clear" w:color="auto" w:fill="FFFFFF"/>
            <w:vAlign w:val="bottom"/>
          </w:tcPr>
          <w:p w14:paraId="65E4EBD7" w14:textId="77777777" w:rsidR="00327558" w:rsidRPr="006A15DC" w:rsidRDefault="00327558" w:rsidP="0061226F">
            <w:pPr>
              <w:widowControl w:val="0"/>
              <w:spacing w:line="196" w:lineRule="exact"/>
              <w:ind w:right="160"/>
              <w:jc w:val="right"/>
              <w:rPr>
                <w:rFonts w:eastAsia="Calibri"/>
                <w:color w:val="000000"/>
                <w:sz w:val="21"/>
                <w:szCs w:val="21"/>
                <w:lang w:val="sr-Latn-BA" w:eastAsia="sr-Latn-BA"/>
              </w:rPr>
            </w:pPr>
            <w:r w:rsidRPr="006A15DC">
              <w:rPr>
                <w:rFonts w:eastAsia="Calibri"/>
                <w:b/>
                <w:bCs/>
                <w:i/>
                <w:iCs/>
                <w:color w:val="000000"/>
                <w:spacing w:val="10"/>
                <w:sz w:val="16"/>
                <w:szCs w:val="16"/>
                <w:lang w:val="sr-Latn-BA" w:eastAsia="sr-Latn-BA"/>
              </w:rPr>
              <w:t>3,6</w:t>
            </w:r>
          </w:p>
        </w:tc>
        <w:tc>
          <w:tcPr>
            <w:tcW w:w="734" w:type="dxa"/>
            <w:shd w:val="clear" w:color="auto" w:fill="FFFFFF"/>
            <w:vAlign w:val="bottom"/>
          </w:tcPr>
          <w:p w14:paraId="1A387C09" w14:textId="77777777" w:rsidR="00327558" w:rsidRPr="006A15DC" w:rsidRDefault="00327558" w:rsidP="0061226F">
            <w:pPr>
              <w:widowControl w:val="0"/>
              <w:spacing w:line="196" w:lineRule="exact"/>
              <w:jc w:val="right"/>
              <w:rPr>
                <w:rFonts w:eastAsia="Calibri"/>
                <w:color w:val="000000"/>
                <w:sz w:val="21"/>
                <w:szCs w:val="21"/>
                <w:lang w:val="sr-Latn-BA" w:eastAsia="sr-Latn-BA"/>
              </w:rPr>
            </w:pPr>
            <w:r w:rsidRPr="006A15DC">
              <w:rPr>
                <w:rFonts w:eastAsia="Calibri"/>
                <w:b/>
                <w:bCs/>
                <w:i/>
                <w:iCs/>
                <w:color w:val="000000"/>
                <w:spacing w:val="10"/>
                <w:sz w:val="16"/>
                <w:szCs w:val="16"/>
                <w:lang w:val="sr-Latn-BA" w:eastAsia="sr-Latn-BA"/>
              </w:rPr>
              <w:t>3,2</w:t>
            </w:r>
          </w:p>
        </w:tc>
      </w:tr>
      <w:tr w:rsidR="00327558" w:rsidRPr="006A15DC" w14:paraId="1751FF49" w14:textId="77777777" w:rsidTr="0061226F">
        <w:trPr>
          <w:trHeight w:hRule="exact" w:val="259"/>
        </w:trPr>
        <w:tc>
          <w:tcPr>
            <w:tcW w:w="2645" w:type="dxa"/>
            <w:shd w:val="clear" w:color="auto" w:fill="FFFFFF"/>
            <w:vAlign w:val="center"/>
          </w:tcPr>
          <w:p w14:paraId="56CB1CB3"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Приватна</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потрошња</w:t>
            </w:r>
            <w:proofErr w:type="spellEnd"/>
          </w:p>
        </w:tc>
        <w:tc>
          <w:tcPr>
            <w:tcW w:w="955" w:type="dxa"/>
            <w:shd w:val="clear" w:color="auto" w:fill="FFFFFF"/>
            <w:vAlign w:val="center"/>
          </w:tcPr>
          <w:p w14:paraId="4918DE56"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2,4</w:t>
            </w:r>
          </w:p>
        </w:tc>
        <w:tc>
          <w:tcPr>
            <w:tcW w:w="854" w:type="dxa"/>
            <w:shd w:val="clear" w:color="auto" w:fill="FFFFFF"/>
            <w:vAlign w:val="center"/>
          </w:tcPr>
          <w:p w14:paraId="5A1664E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2,6</w:t>
            </w:r>
          </w:p>
        </w:tc>
        <w:tc>
          <w:tcPr>
            <w:tcW w:w="850" w:type="dxa"/>
            <w:shd w:val="clear" w:color="auto" w:fill="FFFFFF"/>
            <w:vAlign w:val="center"/>
          </w:tcPr>
          <w:p w14:paraId="2828EB33"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2,5</w:t>
            </w:r>
          </w:p>
        </w:tc>
        <w:tc>
          <w:tcPr>
            <w:tcW w:w="850" w:type="dxa"/>
            <w:shd w:val="clear" w:color="auto" w:fill="FFFFFF"/>
            <w:vAlign w:val="center"/>
          </w:tcPr>
          <w:p w14:paraId="44D3C6BD"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2,0</w:t>
            </w:r>
          </w:p>
        </w:tc>
        <w:tc>
          <w:tcPr>
            <w:tcW w:w="850" w:type="dxa"/>
            <w:shd w:val="clear" w:color="auto" w:fill="FFFFFF"/>
            <w:vAlign w:val="center"/>
          </w:tcPr>
          <w:p w14:paraId="0B7C17E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-3,7</w:t>
            </w:r>
          </w:p>
        </w:tc>
        <w:tc>
          <w:tcPr>
            <w:tcW w:w="854" w:type="dxa"/>
            <w:shd w:val="clear" w:color="auto" w:fill="FFFFFF"/>
            <w:vAlign w:val="center"/>
          </w:tcPr>
          <w:p w14:paraId="32ACD6B3"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2,1</w:t>
            </w:r>
          </w:p>
        </w:tc>
        <w:tc>
          <w:tcPr>
            <w:tcW w:w="850" w:type="dxa"/>
            <w:shd w:val="clear" w:color="auto" w:fill="FFFFFF"/>
            <w:vAlign w:val="center"/>
          </w:tcPr>
          <w:p w14:paraId="2BB56134"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2,4</w:t>
            </w:r>
          </w:p>
        </w:tc>
        <w:tc>
          <w:tcPr>
            <w:tcW w:w="734" w:type="dxa"/>
            <w:shd w:val="clear" w:color="auto" w:fill="FFFFFF"/>
            <w:vAlign w:val="center"/>
          </w:tcPr>
          <w:p w14:paraId="685EC900"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2,5</w:t>
            </w:r>
          </w:p>
        </w:tc>
      </w:tr>
      <w:tr w:rsidR="00327558" w:rsidRPr="006A15DC" w14:paraId="723F51AD" w14:textId="77777777" w:rsidTr="0061226F">
        <w:trPr>
          <w:trHeight w:hRule="exact" w:val="259"/>
        </w:trPr>
        <w:tc>
          <w:tcPr>
            <w:tcW w:w="2645" w:type="dxa"/>
            <w:shd w:val="clear" w:color="auto" w:fill="FFFFFF"/>
            <w:vAlign w:val="center"/>
          </w:tcPr>
          <w:p w14:paraId="3FBB57C8"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Потрошња</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државе</w:t>
            </w:r>
            <w:proofErr w:type="spellEnd"/>
          </w:p>
        </w:tc>
        <w:tc>
          <w:tcPr>
            <w:tcW w:w="955" w:type="dxa"/>
            <w:shd w:val="clear" w:color="auto" w:fill="FFFFFF"/>
            <w:vAlign w:val="center"/>
          </w:tcPr>
          <w:p w14:paraId="1123595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2,3</w:t>
            </w:r>
          </w:p>
        </w:tc>
        <w:tc>
          <w:tcPr>
            <w:tcW w:w="854" w:type="dxa"/>
            <w:shd w:val="clear" w:color="auto" w:fill="FFFFFF"/>
            <w:vAlign w:val="center"/>
          </w:tcPr>
          <w:p w14:paraId="1427359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-0,8</w:t>
            </w:r>
          </w:p>
        </w:tc>
        <w:tc>
          <w:tcPr>
            <w:tcW w:w="850" w:type="dxa"/>
            <w:shd w:val="clear" w:color="auto" w:fill="FFFFFF"/>
            <w:vAlign w:val="center"/>
          </w:tcPr>
          <w:p w14:paraId="3F400400"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1,8</w:t>
            </w:r>
          </w:p>
        </w:tc>
        <w:tc>
          <w:tcPr>
            <w:tcW w:w="850" w:type="dxa"/>
            <w:shd w:val="clear" w:color="auto" w:fill="FFFFFF"/>
            <w:vAlign w:val="center"/>
          </w:tcPr>
          <w:p w14:paraId="15E6508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1,7</w:t>
            </w:r>
          </w:p>
        </w:tc>
        <w:tc>
          <w:tcPr>
            <w:tcW w:w="850" w:type="dxa"/>
            <w:shd w:val="clear" w:color="auto" w:fill="FFFFFF"/>
            <w:vAlign w:val="center"/>
          </w:tcPr>
          <w:p w14:paraId="3FAC7E1F"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2,1</w:t>
            </w:r>
          </w:p>
        </w:tc>
        <w:tc>
          <w:tcPr>
            <w:tcW w:w="854" w:type="dxa"/>
            <w:shd w:val="clear" w:color="auto" w:fill="FFFFFF"/>
            <w:vAlign w:val="center"/>
          </w:tcPr>
          <w:p w14:paraId="576F49BF"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0,8</w:t>
            </w:r>
          </w:p>
        </w:tc>
        <w:tc>
          <w:tcPr>
            <w:tcW w:w="850" w:type="dxa"/>
            <w:shd w:val="clear" w:color="auto" w:fill="FFFFFF"/>
            <w:vAlign w:val="center"/>
          </w:tcPr>
          <w:p w14:paraId="636D001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0,9</w:t>
            </w:r>
          </w:p>
        </w:tc>
        <w:tc>
          <w:tcPr>
            <w:tcW w:w="734" w:type="dxa"/>
            <w:shd w:val="clear" w:color="auto" w:fill="FFFFFF"/>
            <w:vAlign w:val="center"/>
          </w:tcPr>
          <w:p w14:paraId="67A9A582"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0,7</w:t>
            </w:r>
          </w:p>
        </w:tc>
      </w:tr>
      <w:tr w:rsidR="00B67529" w:rsidRPr="006A15DC" w14:paraId="65CDCDDE" w14:textId="77777777" w:rsidTr="00B67529">
        <w:trPr>
          <w:trHeight w:hRule="exact" w:val="324"/>
        </w:trPr>
        <w:tc>
          <w:tcPr>
            <w:tcW w:w="2645" w:type="dxa"/>
            <w:shd w:val="clear" w:color="auto" w:fill="FFFFFF"/>
          </w:tcPr>
          <w:p w14:paraId="022D57CE"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Б</w:t>
            </w:r>
            <w:r w:rsidR="00B67529">
              <w:rPr>
                <w:rFonts w:eastAsia="Calibri"/>
                <w:color w:val="000000"/>
                <w:sz w:val="17"/>
                <w:szCs w:val="17"/>
                <w:lang w:val="sr-Latn-BA" w:eastAsia="sr-Latn-BA"/>
              </w:rPr>
              <w:t>руто</w:t>
            </w:r>
            <w:proofErr w:type="spellEnd"/>
            <w:r w:rsidR="00B67529">
              <w:rPr>
                <w:rFonts w:eastAsia="Calibri"/>
                <w:color w:val="000000"/>
                <w:sz w:val="17"/>
                <w:szCs w:val="17"/>
                <w:lang w:val="sr-Latn-BA" w:eastAsia="sr-Latn-BA"/>
              </w:rPr>
              <w:t xml:space="preserve"> </w:t>
            </w:r>
            <w:proofErr w:type="spellStart"/>
            <w:r w:rsidR="00B67529">
              <w:rPr>
                <w:rFonts w:eastAsia="Calibri"/>
                <w:color w:val="000000"/>
                <w:sz w:val="17"/>
                <w:szCs w:val="17"/>
                <w:lang w:val="sr-Latn-BA" w:eastAsia="sr-Latn-BA"/>
              </w:rPr>
              <w:t>инвестиције</w:t>
            </w:r>
            <w:proofErr w:type="spellEnd"/>
            <w:r w:rsidR="00B67529">
              <w:rPr>
                <w:rFonts w:eastAsia="Calibri"/>
                <w:color w:val="000000"/>
                <w:sz w:val="17"/>
                <w:szCs w:val="17"/>
                <w:lang w:val="sr-Latn-BA" w:eastAsia="sr-Latn-BA"/>
              </w:rPr>
              <w:t xml:space="preserve"> у </w:t>
            </w:r>
            <w:proofErr w:type="spellStart"/>
            <w:r w:rsidR="00B67529">
              <w:rPr>
                <w:rFonts w:eastAsia="Calibri"/>
                <w:color w:val="000000"/>
                <w:sz w:val="17"/>
                <w:szCs w:val="17"/>
                <w:lang w:val="sr-Latn-BA" w:eastAsia="sr-Latn-BA"/>
              </w:rPr>
              <w:t>стална</w:t>
            </w:r>
            <w:proofErr w:type="spellEnd"/>
            <w:r w:rsidR="00B67529">
              <w:rPr>
                <w:rFonts w:eastAsia="Calibri"/>
                <w:color w:val="000000"/>
                <w:sz w:val="17"/>
                <w:szCs w:val="17"/>
                <w:lang w:val="sr-Latn-BA" w:eastAsia="sr-Latn-BA"/>
              </w:rPr>
              <w:t xml:space="preserve"> </w:t>
            </w:r>
            <w:proofErr w:type="spellStart"/>
            <w:r w:rsidR="00B67529">
              <w:rPr>
                <w:rFonts w:eastAsia="Calibri"/>
                <w:color w:val="000000"/>
                <w:sz w:val="17"/>
                <w:szCs w:val="17"/>
                <w:lang w:val="sr-Latn-BA" w:eastAsia="sr-Latn-BA"/>
              </w:rPr>
              <w:t>сред</w:t>
            </w:r>
            <w:proofErr w:type="spellEnd"/>
            <w:r w:rsidR="00B67529">
              <w:rPr>
                <w:rFonts w:eastAsia="Calibri"/>
                <w:color w:val="000000"/>
                <w:sz w:val="17"/>
                <w:szCs w:val="17"/>
                <w:lang w:val="sr-Latn-BA" w:eastAsia="sr-Latn-BA"/>
              </w:rPr>
              <w:t>.</w:t>
            </w:r>
          </w:p>
        </w:tc>
        <w:tc>
          <w:tcPr>
            <w:tcW w:w="955" w:type="dxa"/>
            <w:shd w:val="clear" w:color="auto" w:fill="FFFFFF"/>
          </w:tcPr>
          <w:p w14:paraId="208E3A5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3,8</w:t>
            </w:r>
          </w:p>
        </w:tc>
        <w:tc>
          <w:tcPr>
            <w:tcW w:w="854" w:type="dxa"/>
            <w:shd w:val="clear" w:color="auto" w:fill="FFFFFF"/>
          </w:tcPr>
          <w:p w14:paraId="0B61513D"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-0,7</w:t>
            </w:r>
          </w:p>
        </w:tc>
        <w:tc>
          <w:tcPr>
            <w:tcW w:w="850" w:type="dxa"/>
            <w:shd w:val="clear" w:color="auto" w:fill="FFFFFF"/>
            <w:vAlign w:val="center"/>
          </w:tcPr>
          <w:p w14:paraId="2F7640AB"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11,0</w:t>
            </w:r>
          </w:p>
        </w:tc>
        <w:tc>
          <w:tcPr>
            <w:tcW w:w="850" w:type="dxa"/>
            <w:shd w:val="clear" w:color="auto" w:fill="FFFFFF"/>
          </w:tcPr>
          <w:p w14:paraId="669B99BD"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4,7</w:t>
            </w:r>
          </w:p>
        </w:tc>
        <w:tc>
          <w:tcPr>
            <w:tcW w:w="850" w:type="dxa"/>
            <w:shd w:val="clear" w:color="auto" w:fill="FFFFFF"/>
          </w:tcPr>
          <w:p w14:paraId="7A65DBA5"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-9,7</w:t>
            </w:r>
          </w:p>
        </w:tc>
        <w:tc>
          <w:tcPr>
            <w:tcW w:w="854" w:type="dxa"/>
            <w:shd w:val="clear" w:color="auto" w:fill="FFFFFF"/>
          </w:tcPr>
          <w:p w14:paraId="30A8500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7,5</w:t>
            </w:r>
          </w:p>
        </w:tc>
        <w:tc>
          <w:tcPr>
            <w:tcW w:w="850" w:type="dxa"/>
            <w:shd w:val="clear" w:color="auto" w:fill="FFFFFF"/>
          </w:tcPr>
          <w:p w14:paraId="4413564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8,7</w:t>
            </w:r>
          </w:p>
        </w:tc>
        <w:tc>
          <w:tcPr>
            <w:tcW w:w="734" w:type="dxa"/>
            <w:shd w:val="clear" w:color="auto" w:fill="FFFFFF"/>
            <w:vAlign w:val="center"/>
          </w:tcPr>
          <w:p w14:paraId="34E239BD"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6,0</w:t>
            </w:r>
          </w:p>
        </w:tc>
      </w:tr>
      <w:tr w:rsidR="00327558" w:rsidRPr="006A15DC" w14:paraId="2665BB06" w14:textId="77777777" w:rsidTr="007D4CEA">
        <w:trPr>
          <w:trHeight w:hRule="exact" w:val="223"/>
        </w:trPr>
        <w:tc>
          <w:tcPr>
            <w:tcW w:w="9442" w:type="dxa"/>
            <w:gridSpan w:val="9"/>
            <w:shd w:val="clear" w:color="auto" w:fill="FFFFFF"/>
            <w:vAlign w:val="bottom"/>
          </w:tcPr>
          <w:p w14:paraId="235F9F0F" w14:textId="77777777" w:rsidR="00327558" w:rsidRPr="006A15DC" w:rsidRDefault="00327558" w:rsidP="0061226F">
            <w:pPr>
              <w:widowControl w:val="0"/>
              <w:spacing w:line="196" w:lineRule="exact"/>
              <w:rPr>
                <w:rFonts w:eastAsia="Calibri"/>
                <w:color w:val="000000"/>
                <w:sz w:val="21"/>
                <w:szCs w:val="21"/>
                <w:lang w:val="sr-Latn-BA" w:eastAsia="sr-Latn-BA"/>
              </w:rPr>
            </w:pPr>
            <w:proofErr w:type="spellStart"/>
            <w:r w:rsidRPr="006A15DC">
              <w:rPr>
                <w:rFonts w:eastAsia="Calibri"/>
                <w:b/>
                <w:bCs/>
                <w:i/>
                <w:iCs/>
                <w:color w:val="000000"/>
                <w:spacing w:val="10"/>
                <w:sz w:val="16"/>
                <w:szCs w:val="16"/>
                <w:lang w:val="sr-Latn-BA" w:eastAsia="sr-Latn-BA"/>
              </w:rPr>
              <w:t>Претпоставке</w:t>
            </w:r>
            <w:proofErr w:type="spellEnd"/>
            <w:r w:rsidRPr="006A15DC">
              <w:rPr>
                <w:rFonts w:eastAsia="Calibri"/>
                <w:b/>
                <w:bCs/>
                <w:i/>
                <w:iCs/>
                <w:color w:val="000000"/>
                <w:spacing w:val="10"/>
                <w:sz w:val="16"/>
                <w:szCs w:val="16"/>
                <w:lang w:val="sr-Latn-BA" w:eastAsia="sr-Latn-BA"/>
              </w:rPr>
              <w:t>:</w:t>
            </w:r>
          </w:p>
        </w:tc>
      </w:tr>
      <w:tr w:rsidR="00327558" w:rsidRPr="006A15DC" w14:paraId="49CCC75E" w14:textId="77777777" w:rsidTr="0061226F">
        <w:trPr>
          <w:trHeight w:hRule="exact" w:val="240"/>
        </w:trPr>
        <w:tc>
          <w:tcPr>
            <w:tcW w:w="2645" w:type="dxa"/>
            <w:shd w:val="clear" w:color="auto" w:fill="FFFFFF"/>
          </w:tcPr>
          <w:p w14:paraId="27C48DFA"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Просјечне</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нето</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плате</w:t>
            </w:r>
            <w:proofErr w:type="spellEnd"/>
            <w:r w:rsidRPr="006A15DC">
              <w:rPr>
                <w:rFonts w:eastAsia="Calibri"/>
                <w:color w:val="000000"/>
                <w:sz w:val="17"/>
                <w:szCs w:val="17"/>
                <w:lang w:val="sr-Latn-BA" w:eastAsia="sr-Latn-BA"/>
              </w:rPr>
              <w:t xml:space="preserve"> у КМ</w:t>
            </w:r>
          </w:p>
        </w:tc>
        <w:tc>
          <w:tcPr>
            <w:tcW w:w="955" w:type="dxa"/>
            <w:shd w:val="clear" w:color="auto" w:fill="FFFFFF"/>
          </w:tcPr>
          <w:p w14:paraId="3A877D86"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836</w:t>
            </w:r>
          </w:p>
        </w:tc>
        <w:tc>
          <w:tcPr>
            <w:tcW w:w="854" w:type="dxa"/>
            <w:shd w:val="clear" w:color="auto" w:fill="FFFFFF"/>
          </w:tcPr>
          <w:p w14:paraId="7AE73F04"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831</w:t>
            </w:r>
          </w:p>
        </w:tc>
        <w:tc>
          <w:tcPr>
            <w:tcW w:w="850" w:type="dxa"/>
            <w:shd w:val="clear" w:color="auto" w:fill="FFFFFF"/>
          </w:tcPr>
          <w:p w14:paraId="14696548"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857</w:t>
            </w:r>
          </w:p>
        </w:tc>
        <w:tc>
          <w:tcPr>
            <w:tcW w:w="850" w:type="dxa"/>
            <w:shd w:val="clear" w:color="auto" w:fill="FFFFFF"/>
          </w:tcPr>
          <w:p w14:paraId="2A5F332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906</w:t>
            </w:r>
          </w:p>
        </w:tc>
        <w:tc>
          <w:tcPr>
            <w:tcW w:w="850" w:type="dxa"/>
            <w:shd w:val="clear" w:color="auto" w:fill="FFFFFF"/>
          </w:tcPr>
          <w:p w14:paraId="213946C4"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940</w:t>
            </w:r>
          </w:p>
        </w:tc>
        <w:tc>
          <w:tcPr>
            <w:tcW w:w="854" w:type="dxa"/>
            <w:shd w:val="clear" w:color="auto" w:fill="FFFFFF"/>
          </w:tcPr>
          <w:p w14:paraId="2D5C9583"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951</w:t>
            </w:r>
          </w:p>
        </w:tc>
        <w:tc>
          <w:tcPr>
            <w:tcW w:w="850" w:type="dxa"/>
            <w:shd w:val="clear" w:color="auto" w:fill="FFFFFF"/>
          </w:tcPr>
          <w:p w14:paraId="53E080E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964</w:t>
            </w:r>
          </w:p>
        </w:tc>
        <w:tc>
          <w:tcPr>
            <w:tcW w:w="734" w:type="dxa"/>
            <w:shd w:val="clear" w:color="auto" w:fill="FFFFFF"/>
          </w:tcPr>
          <w:p w14:paraId="66BF0918"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977</w:t>
            </w:r>
          </w:p>
        </w:tc>
      </w:tr>
      <w:tr w:rsidR="00327558" w:rsidRPr="006A15DC" w14:paraId="78277D5B" w14:textId="77777777" w:rsidTr="0061226F">
        <w:trPr>
          <w:trHeight w:hRule="exact" w:val="264"/>
        </w:trPr>
        <w:tc>
          <w:tcPr>
            <w:tcW w:w="2645" w:type="dxa"/>
            <w:shd w:val="clear" w:color="auto" w:fill="FFFFFF"/>
            <w:vAlign w:val="bottom"/>
          </w:tcPr>
          <w:p w14:paraId="50093F55"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Извоз</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роба</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годишњи</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раст</w:t>
            </w:r>
            <w:proofErr w:type="spellEnd"/>
            <w:r w:rsidRPr="006A15DC">
              <w:rPr>
                <w:rFonts w:eastAsia="Calibri"/>
                <w:color w:val="000000"/>
                <w:sz w:val="17"/>
                <w:szCs w:val="17"/>
                <w:lang w:val="sr-Latn-BA" w:eastAsia="sr-Latn-BA"/>
              </w:rPr>
              <w:t xml:space="preserve"> у %</w:t>
            </w:r>
          </w:p>
        </w:tc>
        <w:tc>
          <w:tcPr>
            <w:tcW w:w="955" w:type="dxa"/>
            <w:shd w:val="clear" w:color="auto" w:fill="FFFFFF"/>
            <w:vAlign w:val="bottom"/>
          </w:tcPr>
          <w:p w14:paraId="0DCF8616"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9,8%</w:t>
            </w:r>
          </w:p>
        </w:tc>
        <w:tc>
          <w:tcPr>
            <w:tcW w:w="854" w:type="dxa"/>
            <w:shd w:val="clear" w:color="auto" w:fill="FFFFFF"/>
            <w:vAlign w:val="bottom"/>
          </w:tcPr>
          <w:p w14:paraId="6D57A42D"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21,2%</w:t>
            </w:r>
          </w:p>
        </w:tc>
        <w:tc>
          <w:tcPr>
            <w:tcW w:w="850" w:type="dxa"/>
            <w:shd w:val="clear" w:color="auto" w:fill="FFFFFF"/>
            <w:vAlign w:val="bottom"/>
          </w:tcPr>
          <w:p w14:paraId="5642364D"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7,6%</w:t>
            </w:r>
          </w:p>
        </w:tc>
        <w:tc>
          <w:tcPr>
            <w:tcW w:w="850" w:type="dxa"/>
            <w:shd w:val="clear" w:color="auto" w:fill="FFFFFF"/>
            <w:vAlign w:val="bottom"/>
          </w:tcPr>
          <w:p w14:paraId="452A0DCD"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-3,8%</w:t>
            </w:r>
          </w:p>
        </w:tc>
        <w:tc>
          <w:tcPr>
            <w:tcW w:w="850" w:type="dxa"/>
            <w:shd w:val="clear" w:color="auto" w:fill="FFFFFF"/>
            <w:vAlign w:val="bottom"/>
          </w:tcPr>
          <w:p w14:paraId="7960458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-12,9%</w:t>
            </w:r>
          </w:p>
        </w:tc>
        <w:tc>
          <w:tcPr>
            <w:tcW w:w="854" w:type="dxa"/>
            <w:shd w:val="clear" w:color="auto" w:fill="FFFFFF"/>
            <w:vAlign w:val="bottom"/>
          </w:tcPr>
          <w:p w14:paraId="7D58B7B0"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8,8%</w:t>
            </w:r>
          </w:p>
        </w:tc>
        <w:tc>
          <w:tcPr>
            <w:tcW w:w="850" w:type="dxa"/>
            <w:shd w:val="clear" w:color="auto" w:fill="FFFFFF"/>
            <w:vAlign w:val="bottom"/>
          </w:tcPr>
          <w:p w14:paraId="4F8BE52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9,4%</w:t>
            </w:r>
          </w:p>
        </w:tc>
        <w:tc>
          <w:tcPr>
            <w:tcW w:w="734" w:type="dxa"/>
            <w:shd w:val="clear" w:color="auto" w:fill="FFFFFF"/>
            <w:vAlign w:val="bottom"/>
          </w:tcPr>
          <w:p w14:paraId="44E3F47F"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10,1%</w:t>
            </w:r>
          </w:p>
        </w:tc>
      </w:tr>
      <w:tr w:rsidR="00327558" w:rsidRPr="006A15DC" w14:paraId="67C45656" w14:textId="77777777" w:rsidTr="0061226F">
        <w:trPr>
          <w:trHeight w:hRule="exact" w:val="264"/>
        </w:trPr>
        <w:tc>
          <w:tcPr>
            <w:tcW w:w="2645" w:type="dxa"/>
            <w:shd w:val="clear" w:color="auto" w:fill="FFFFFF"/>
            <w:vAlign w:val="bottom"/>
          </w:tcPr>
          <w:p w14:paraId="1E01085E"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Увоз</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роба</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годишњи</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раст</w:t>
            </w:r>
            <w:proofErr w:type="spellEnd"/>
            <w:r w:rsidRPr="006A15DC">
              <w:rPr>
                <w:rFonts w:eastAsia="Calibri"/>
                <w:color w:val="000000"/>
                <w:sz w:val="17"/>
                <w:szCs w:val="17"/>
                <w:lang w:val="sr-Latn-BA" w:eastAsia="sr-Latn-BA"/>
              </w:rPr>
              <w:t xml:space="preserve"> у %</w:t>
            </w:r>
          </w:p>
        </w:tc>
        <w:tc>
          <w:tcPr>
            <w:tcW w:w="955" w:type="dxa"/>
            <w:shd w:val="clear" w:color="auto" w:fill="FFFFFF"/>
            <w:vAlign w:val="bottom"/>
          </w:tcPr>
          <w:p w14:paraId="28AABED0"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1,3%</w:t>
            </w:r>
          </w:p>
        </w:tc>
        <w:tc>
          <w:tcPr>
            <w:tcW w:w="854" w:type="dxa"/>
            <w:shd w:val="clear" w:color="auto" w:fill="FFFFFF"/>
            <w:vAlign w:val="bottom"/>
          </w:tcPr>
          <w:p w14:paraId="3967020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10,7%</w:t>
            </w:r>
          </w:p>
        </w:tc>
        <w:tc>
          <w:tcPr>
            <w:tcW w:w="850" w:type="dxa"/>
            <w:shd w:val="clear" w:color="auto" w:fill="FFFFFF"/>
            <w:vAlign w:val="bottom"/>
          </w:tcPr>
          <w:p w14:paraId="3FC5F042"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6,6%</w:t>
            </w:r>
          </w:p>
        </w:tc>
        <w:tc>
          <w:tcPr>
            <w:tcW w:w="850" w:type="dxa"/>
            <w:shd w:val="clear" w:color="auto" w:fill="FFFFFF"/>
            <w:vAlign w:val="bottom"/>
          </w:tcPr>
          <w:p w14:paraId="279ED76A"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-8,5%</w:t>
            </w:r>
          </w:p>
        </w:tc>
        <w:tc>
          <w:tcPr>
            <w:tcW w:w="850" w:type="dxa"/>
            <w:shd w:val="clear" w:color="auto" w:fill="FFFFFF"/>
            <w:vAlign w:val="bottom"/>
          </w:tcPr>
          <w:p w14:paraId="13BAC345"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-9,8%</w:t>
            </w:r>
          </w:p>
        </w:tc>
        <w:tc>
          <w:tcPr>
            <w:tcW w:w="854" w:type="dxa"/>
            <w:shd w:val="clear" w:color="auto" w:fill="FFFFFF"/>
            <w:vAlign w:val="bottom"/>
          </w:tcPr>
          <w:p w14:paraId="7EE1E5A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8,9%</w:t>
            </w:r>
          </w:p>
        </w:tc>
        <w:tc>
          <w:tcPr>
            <w:tcW w:w="850" w:type="dxa"/>
            <w:shd w:val="clear" w:color="auto" w:fill="FFFFFF"/>
            <w:vAlign w:val="bottom"/>
          </w:tcPr>
          <w:p w14:paraId="3B347C0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9,7%</w:t>
            </w:r>
          </w:p>
        </w:tc>
        <w:tc>
          <w:tcPr>
            <w:tcW w:w="734" w:type="dxa"/>
            <w:shd w:val="clear" w:color="auto" w:fill="FFFFFF"/>
            <w:vAlign w:val="bottom"/>
          </w:tcPr>
          <w:p w14:paraId="67880212"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10,3%</w:t>
            </w:r>
          </w:p>
        </w:tc>
      </w:tr>
      <w:tr w:rsidR="00327558" w:rsidRPr="006A15DC" w14:paraId="05835B3C" w14:textId="77777777" w:rsidTr="0061226F">
        <w:trPr>
          <w:trHeight w:hRule="exact" w:val="254"/>
        </w:trPr>
        <w:tc>
          <w:tcPr>
            <w:tcW w:w="2645" w:type="dxa"/>
            <w:shd w:val="clear" w:color="auto" w:fill="FFFFFF"/>
            <w:vAlign w:val="bottom"/>
          </w:tcPr>
          <w:p w14:paraId="72310D5C"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Покривеност</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увоза</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извозом</w:t>
            </w:r>
            <w:proofErr w:type="spellEnd"/>
            <w:r w:rsidRPr="006A15DC">
              <w:rPr>
                <w:rFonts w:eastAsia="Calibri"/>
                <w:color w:val="000000"/>
                <w:sz w:val="17"/>
                <w:szCs w:val="17"/>
                <w:lang w:val="sr-Latn-BA" w:eastAsia="sr-Latn-BA"/>
              </w:rPr>
              <w:t xml:space="preserve"> у %</w:t>
            </w:r>
          </w:p>
        </w:tc>
        <w:tc>
          <w:tcPr>
            <w:tcW w:w="955" w:type="dxa"/>
            <w:shd w:val="clear" w:color="auto" w:fill="FFFFFF"/>
            <w:vAlign w:val="bottom"/>
          </w:tcPr>
          <w:p w14:paraId="5EDA86B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64,8%</w:t>
            </w:r>
          </w:p>
        </w:tc>
        <w:tc>
          <w:tcPr>
            <w:tcW w:w="854" w:type="dxa"/>
            <w:shd w:val="clear" w:color="auto" w:fill="FFFFFF"/>
            <w:vAlign w:val="bottom"/>
          </w:tcPr>
          <w:p w14:paraId="00701ED7"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71,0%</w:t>
            </w:r>
          </w:p>
        </w:tc>
        <w:tc>
          <w:tcPr>
            <w:tcW w:w="850" w:type="dxa"/>
            <w:shd w:val="clear" w:color="auto" w:fill="FFFFFF"/>
            <w:vAlign w:val="bottom"/>
          </w:tcPr>
          <w:p w14:paraId="685BBC3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71,7%</w:t>
            </w:r>
          </w:p>
        </w:tc>
        <w:tc>
          <w:tcPr>
            <w:tcW w:w="850" w:type="dxa"/>
            <w:shd w:val="clear" w:color="auto" w:fill="FFFFFF"/>
            <w:vAlign w:val="bottom"/>
          </w:tcPr>
          <w:p w14:paraId="2250D7A9"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75,3%</w:t>
            </w:r>
          </w:p>
        </w:tc>
        <w:tc>
          <w:tcPr>
            <w:tcW w:w="850" w:type="dxa"/>
            <w:shd w:val="clear" w:color="auto" w:fill="FFFFFF"/>
            <w:vAlign w:val="bottom"/>
          </w:tcPr>
          <w:p w14:paraId="126E447E"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72,7%</w:t>
            </w:r>
          </w:p>
        </w:tc>
        <w:tc>
          <w:tcPr>
            <w:tcW w:w="854" w:type="dxa"/>
            <w:shd w:val="clear" w:color="auto" w:fill="FFFFFF"/>
            <w:vAlign w:val="bottom"/>
          </w:tcPr>
          <w:p w14:paraId="2B463DF0"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72,7%</w:t>
            </w:r>
          </w:p>
        </w:tc>
        <w:tc>
          <w:tcPr>
            <w:tcW w:w="850" w:type="dxa"/>
            <w:shd w:val="clear" w:color="auto" w:fill="FFFFFF"/>
            <w:vAlign w:val="bottom"/>
          </w:tcPr>
          <w:p w14:paraId="40C2E173"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72,4%</w:t>
            </w:r>
          </w:p>
        </w:tc>
        <w:tc>
          <w:tcPr>
            <w:tcW w:w="734" w:type="dxa"/>
            <w:shd w:val="clear" w:color="auto" w:fill="FFFFFF"/>
            <w:vAlign w:val="bottom"/>
          </w:tcPr>
          <w:p w14:paraId="0F4FDAA3"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72,3%</w:t>
            </w:r>
          </w:p>
        </w:tc>
      </w:tr>
      <w:tr w:rsidR="00327558" w:rsidRPr="006A15DC" w14:paraId="245A1E0B" w14:textId="77777777" w:rsidTr="0061226F">
        <w:trPr>
          <w:trHeight w:hRule="exact" w:val="264"/>
        </w:trPr>
        <w:tc>
          <w:tcPr>
            <w:tcW w:w="2645" w:type="dxa"/>
            <w:shd w:val="clear" w:color="auto" w:fill="FFFFFF"/>
            <w:vAlign w:val="center"/>
          </w:tcPr>
          <w:p w14:paraId="1B4FD33B" w14:textId="77777777" w:rsidR="00327558" w:rsidRPr="006A15DC" w:rsidRDefault="00327558" w:rsidP="0061226F">
            <w:pPr>
              <w:widowControl w:val="0"/>
              <w:spacing w:line="208" w:lineRule="exact"/>
              <w:rPr>
                <w:rFonts w:eastAsia="Calibri"/>
                <w:color w:val="000000"/>
                <w:sz w:val="21"/>
                <w:szCs w:val="21"/>
                <w:lang w:val="sr-Latn-BA" w:eastAsia="sr-Latn-BA"/>
              </w:rPr>
            </w:pPr>
            <w:proofErr w:type="spellStart"/>
            <w:r w:rsidRPr="006A15DC">
              <w:rPr>
                <w:rFonts w:eastAsia="Calibri"/>
                <w:color w:val="000000"/>
                <w:sz w:val="17"/>
                <w:szCs w:val="17"/>
                <w:lang w:val="sr-Latn-BA" w:eastAsia="sr-Latn-BA"/>
              </w:rPr>
              <w:t>Стопа</w:t>
            </w:r>
            <w:proofErr w:type="spellEnd"/>
            <w:r w:rsidRPr="006A15DC">
              <w:rPr>
                <w:rFonts w:eastAsia="Calibri"/>
                <w:color w:val="000000"/>
                <w:sz w:val="17"/>
                <w:szCs w:val="17"/>
                <w:lang w:val="sr-Latn-BA" w:eastAsia="sr-Latn-BA"/>
              </w:rPr>
              <w:t xml:space="preserve"> </w:t>
            </w:r>
            <w:proofErr w:type="spellStart"/>
            <w:r w:rsidRPr="006A15DC">
              <w:rPr>
                <w:rFonts w:eastAsia="Calibri"/>
                <w:color w:val="000000"/>
                <w:sz w:val="17"/>
                <w:szCs w:val="17"/>
                <w:lang w:val="sr-Latn-BA" w:eastAsia="sr-Latn-BA"/>
              </w:rPr>
              <w:t>незапослености</w:t>
            </w:r>
            <w:proofErr w:type="spellEnd"/>
            <w:r w:rsidRPr="006A15DC">
              <w:rPr>
                <w:rFonts w:eastAsia="Calibri"/>
                <w:color w:val="000000"/>
                <w:sz w:val="17"/>
                <w:szCs w:val="17"/>
                <w:lang w:val="sr-Latn-BA" w:eastAsia="sr-Latn-BA"/>
              </w:rPr>
              <w:t xml:space="preserve"> %</w:t>
            </w:r>
          </w:p>
        </w:tc>
        <w:tc>
          <w:tcPr>
            <w:tcW w:w="955" w:type="dxa"/>
            <w:shd w:val="clear" w:color="auto" w:fill="FFFFFF"/>
            <w:vAlign w:val="center"/>
          </w:tcPr>
          <w:p w14:paraId="60674E61"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24,8%</w:t>
            </w:r>
          </w:p>
        </w:tc>
        <w:tc>
          <w:tcPr>
            <w:tcW w:w="854" w:type="dxa"/>
            <w:shd w:val="clear" w:color="auto" w:fill="FFFFFF"/>
            <w:vAlign w:val="center"/>
          </w:tcPr>
          <w:p w14:paraId="7636D82B"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21,0%</w:t>
            </w:r>
          </w:p>
        </w:tc>
        <w:tc>
          <w:tcPr>
            <w:tcW w:w="850" w:type="dxa"/>
            <w:shd w:val="clear" w:color="auto" w:fill="FFFFFF"/>
            <w:vAlign w:val="center"/>
          </w:tcPr>
          <w:p w14:paraId="310FF045"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17,2%</w:t>
            </w:r>
          </w:p>
        </w:tc>
        <w:tc>
          <w:tcPr>
            <w:tcW w:w="850" w:type="dxa"/>
            <w:shd w:val="clear" w:color="auto" w:fill="FFFFFF"/>
            <w:vAlign w:val="center"/>
          </w:tcPr>
          <w:p w14:paraId="4B814A47"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11,7%</w:t>
            </w:r>
          </w:p>
        </w:tc>
        <w:tc>
          <w:tcPr>
            <w:tcW w:w="850" w:type="dxa"/>
            <w:shd w:val="clear" w:color="auto" w:fill="FFFFFF"/>
            <w:vAlign w:val="center"/>
          </w:tcPr>
          <w:p w14:paraId="3A0B5D03"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13,7%</w:t>
            </w:r>
          </w:p>
        </w:tc>
        <w:tc>
          <w:tcPr>
            <w:tcW w:w="854" w:type="dxa"/>
            <w:shd w:val="clear" w:color="auto" w:fill="FFFFFF"/>
            <w:vAlign w:val="center"/>
          </w:tcPr>
          <w:p w14:paraId="60FC000C"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12,2%</w:t>
            </w:r>
          </w:p>
        </w:tc>
        <w:tc>
          <w:tcPr>
            <w:tcW w:w="850" w:type="dxa"/>
            <w:shd w:val="clear" w:color="auto" w:fill="FFFFFF"/>
            <w:vAlign w:val="center"/>
          </w:tcPr>
          <w:p w14:paraId="3E9AC2E5" w14:textId="77777777" w:rsidR="00327558" w:rsidRPr="006A15DC" w:rsidRDefault="00327558" w:rsidP="0061226F">
            <w:pPr>
              <w:widowControl w:val="0"/>
              <w:spacing w:line="208" w:lineRule="exact"/>
              <w:ind w:right="160"/>
              <w:jc w:val="right"/>
              <w:rPr>
                <w:rFonts w:eastAsia="Calibri"/>
                <w:color w:val="000000"/>
                <w:sz w:val="21"/>
                <w:szCs w:val="21"/>
                <w:lang w:val="sr-Latn-BA" w:eastAsia="sr-Latn-BA"/>
              </w:rPr>
            </w:pPr>
            <w:r w:rsidRPr="006A15DC">
              <w:rPr>
                <w:rFonts w:eastAsia="Calibri"/>
                <w:color w:val="000000"/>
                <w:sz w:val="17"/>
                <w:szCs w:val="17"/>
                <w:lang w:val="sr-Latn-BA" w:eastAsia="sr-Latn-BA"/>
              </w:rPr>
              <w:t>11,5%</w:t>
            </w:r>
          </w:p>
        </w:tc>
        <w:tc>
          <w:tcPr>
            <w:tcW w:w="734" w:type="dxa"/>
            <w:shd w:val="clear" w:color="auto" w:fill="FFFFFF"/>
            <w:vAlign w:val="center"/>
          </w:tcPr>
          <w:p w14:paraId="5233B2AB" w14:textId="77777777" w:rsidR="00327558" w:rsidRPr="006A15DC" w:rsidRDefault="00327558" w:rsidP="0061226F">
            <w:pPr>
              <w:widowControl w:val="0"/>
              <w:spacing w:line="208" w:lineRule="exact"/>
              <w:jc w:val="right"/>
              <w:rPr>
                <w:rFonts w:eastAsia="Calibri"/>
                <w:color w:val="000000"/>
                <w:sz w:val="21"/>
                <w:szCs w:val="21"/>
                <w:lang w:val="sr-Latn-BA" w:eastAsia="sr-Latn-BA"/>
              </w:rPr>
            </w:pPr>
            <w:r w:rsidRPr="006A15DC">
              <w:rPr>
                <w:rFonts w:eastAsia="Calibri"/>
                <w:color w:val="000000"/>
                <w:sz w:val="17"/>
                <w:szCs w:val="17"/>
                <w:lang w:val="sr-Latn-BA" w:eastAsia="sr-Latn-BA"/>
              </w:rPr>
              <w:t>10,6%</w:t>
            </w:r>
          </w:p>
        </w:tc>
      </w:tr>
    </w:tbl>
    <w:p w14:paraId="303F5042" w14:textId="77777777" w:rsidR="00BC7573" w:rsidRPr="006910CC" w:rsidRDefault="00BC7573" w:rsidP="00A417E6">
      <w:pPr>
        <w:jc w:val="both"/>
        <w:rPr>
          <w:rFonts w:eastAsia="Calibri"/>
          <w:bCs/>
          <w:color w:val="000000"/>
          <w:sz w:val="20"/>
          <w:lang w:val="sr-Cyrl-RS"/>
        </w:rPr>
      </w:pPr>
      <w:r w:rsidRPr="006910CC">
        <w:rPr>
          <w:i/>
          <w:sz w:val="20"/>
          <w:lang w:val="sr-Cyrl-RS"/>
        </w:rPr>
        <w:t>И</w:t>
      </w:r>
      <w:proofErr w:type="spellStart"/>
      <w:r w:rsidRPr="006910CC">
        <w:rPr>
          <w:i/>
          <w:sz w:val="20"/>
        </w:rPr>
        <w:t>звор</w:t>
      </w:r>
      <w:proofErr w:type="spellEnd"/>
      <w:r w:rsidRPr="006910CC">
        <w:rPr>
          <w:i/>
          <w:sz w:val="20"/>
        </w:rPr>
        <w:t xml:space="preserve">: </w:t>
      </w:r>
      <w:proofErr w:type="spellStart"/>
      <w:r w:rsidRPr="006910CC">
        <w:rPr>
          <w:i/>
          <w:sz w:val="20"/>
        </w:rPr>
        <w:t>Републички</w:t>
      </w:r>
      <w:proofErr w:type="spellEnd"/>
      <w:r w:rsidRPr="006910CC">
        <w:rPr>
          <w:i/>
          <w:sz w:val="20"/>
        </w:rPr>
        <w:t xml:space="preserve"> </w:t>
      </w:r>
      <w:proofErr w:type="spellStart"/>
      <w:r w:rsidRPr="006910CC">
        <w:rPr>
          <w:i/>
          <w:sz w:val="20"/>
        </w:rPr>
        <w:t>завод</w:t>
      </w:r>
      <w:proofErr w:type="spellEnd"/>
      <w:r w:rsidRPr="006910CC">
        <w:rPr>
          <w:i/>
          <w:sz w:val="20"/>
        </w:rPr>
        <w:t xml:space="preserve"> </w:t>
      </w:r>
      <w:proofErr w:type="spellStart"/>
      <w:r w:rsidRPr="006910CC">
        <w:rPr>
          <w:i/>
          <w:sz w:val="20"/>
        </w:rPr>
        <w:t>за</w:t>
      </w:r>
      <w:proofErr w:type="spellEnd"/>
      <w:r w:rsidRPr="006910CC">
        <w:rPr>
          <w:i/>
          <w:sz w:val="20"/>
        </w:rPr>
        <w:t xml:space="preserve"> </w:t>
      </w:r>
      <w:proofErr w:type="spellStart"/>
      <w:r w:rsidRPr="006910CC">
        <w:rPr>
          <w:i/>
          <w:sz w:val="20"/>
        </w:rPr>
        <w:t>статистику</w:t>
      </w:r>
      <w:proofErr w:type="spellEnd"/>
      <w:r w:rsidRPr="006910CC">
        <w:rPr>
          <w:i/>
          <w:sz w:val="20"/>
        </w:rPr>
        <w:t xml:space="preserve"> </w:t>
      </w:r>
      <w:proofErr w:type="spellStart"/>
      <w:r w:rsidRPr="006910CC">
        <w:rPr>
          <w:i/>
          <w:sz w:val="20"/>
        </w:rPr>
        <w:t>Републике</w:t>
      </w:r>
      <w:proofErr w:type="spellEnd"/>
      <w:r w:rsidRPr="006910CC">
        <w:rPr>
          <w:i/>
          <w:sz w:val="20"/>
        </w:rPr>
        <w:t xml:space="preserve"> </w:t>
      </w:r>
      <w:proofErr w:type="spellStart"/>
      <w:r w:rsidRPr="006910CC">
        <w:rPr>
          <w:i/>
          <w:sz w:val="20"/>
        </w:rPr>
        <w:t>Српске</w:t>
      </w:r>
      <w:proofErr w:type="spellEnd"/>
      <w:r w:rsidRPr="006910CC">
        <w:rPr>
          <w:i/>
          <w:sz w:val="20"/>
        </w:rPr>
        <w:t xml:space="preserve"> (2016-2019. </w:t>
      </w:r>
      <w:proofErr w:type="spellStart"/>
      <w:r w:rsidRPr="006910CC">
        <w:rPr>
          <w:i/>
          <w:sz w:val="20"/>
        </w:rPr>
        <w:t>год</w:t>
      </w:r>
      <w:proofErr w:type="spellEnd"/>
      <w:r w:rsidRPr="006910CC">
        <w:rPr>
          <w:i/>
          <w:sz w:val="20"/>
        </w:rPr>
        <w:t xml:space="preserve">.); </w:t>
      </w:r>
      <w:proofErr w:type="spellStart"/>
      <w:r w:rsidRPr="006910CC">
        <w:rPr>
          <w:i/>
          <w:sz w:val="20"/>
        </w:rPr>
        <w:t>процјена</w:t>
      </w:r>
      <w:proofErr w:type="spellEnd"/>
      <w:r w:rsidRPr="006910CC">
        <w:rPr>
          <w:i/>
          <w:sz w:val="20"/>
        </w:rPr>
        <w:t xml:space="preserve"> (2020. </w:t>
      </w:r>
      <w:proofErr w:type="spellStart"/>
      <w:r w:rsidRPr="006910CC">
        <w:rPr>
          <w:i/>
          <w:sz w:val="20"/>
        </w:rPr>
        <w:t>год</w:t>
      </w:r>
      <w:proofErr w:type="spellEnd"/>
      <w:r w:rsidRPr="006910CC">
        <w:rPr>
          <w:i/>
          <w:sz w:val="20"/>
        </w:rPr>
        <w:t xml:space="preserve">.) и </w:t>
      </w:r>
      <w:proofErr w:type="spellStart"/>
      <w:r w:rsidRPr="006910CC">
        <w:rPr>
          <w:i/>
          <w:sz w:val="20"/>
        </w:rPr>
        <w:t>пројекција</w:t>
      </w:r>
      <w:proofErr w:type="spellEnd"/>
      <w:r w:rsidRPr="006910CC">
        <w:rPr>
          <w:i/>
          <w:sz w:val="20"/>
        </w:rPr>
        <w:t xml:space="preserve"> (2021-2023. </w:t>
      </w:r>
      <w:proofErr w:type="spellStart"/>
      <w:r w:rsidRPr="006910CC">
        <w:rPr>
          <w:i/>
          <w:sz w:val="20"/>
        </w:rPr>
        <w:t>год</w:t>
      </w:r>
      <w:proofErr w:type="spellEnd"/>
      <w:r w:rsidRPr="006910CC">
        <w:rPr>
          <w:i/>
          <w:sz w:val="20"/>
        </w:rPr>
        <w:t xml:space="preserve">.) </w:t>
      </w:r>
      <w:proofErr w:type="spellStart"/>
      <w:r w:rsidRPr="006910CC">
        <w:rPr>
          <w:i/>
          <w:sz w:val="20"/>
        </w:rPr>
        <w:t>Министарства</w:t>
      </w:r>
      <w:proofErr w:type="spellEnd"/>
      <w:r w:rsidRPr="006910CC">
        <w:rPr>
          <w:i/>
          <w:sz w:val="20"/>
        </w:rPr>
        <w:t xml:space="preserve"> </w:t>
      </w:r>
      <w:proofErr w:type="spellStart"/>
      <w:r w:rsidRPr="006910CC">
        <w:rPr>
          <w:i/>
          <w:sz w:val="20"/>
        </w:rPr>
        <w:t>финансија</w:t>
      </w:r>
      <w:proofErr w:type="spellEnd"/>
      <w:r w:rsidRPr="006910CC">
        <w:rPr>
          <w:i/>
          <w:sz w:val="20"/>
        </w:rPr>
        <w:t xml:space="preserve"> </w:t>
      </w:r>
      <w:proofErr w:type="spellStart"/>
      <w:r w:rsidRPr="006910CC">
        <w:rPr>
          <w:i/>
          <w:sz w:val="20"/>
        </w:rPr>
        <w:t>Републике</w:t>
      </w:r>
      <w:proofErr w:type="spellEnd"/>
      <w:r w:rsidRPr="006910CC">
        <w:rPr>
          <w:i/>
          <w:sz w:val="20"/>
        </w:rPr>
        <w:t xml:space="preserve"> </w:t>
      </w:r>
      <w:proofErr w:type="spellStart"/>
      <w:r w:rsidRPr="006910CC">
        <w:rPr>
          <w:i/>
          <w:sz w:val="20"/>
        </w:rPr>
        <w:t>Српске</w:t>
      </w:r>
      <w:proofErr w:type="spellEnd"/>
      <w:r w:rsidRPr="006910CC">
        <w:rPr>
          <w:i/>
          <w:sz w:val="20"/>
        </w:rPr>
        <w:t xml:space="preserve">; НАПОМЕНА: </w:t>
      </w:r>
      <w:proofErr w:type="spellStart"/>
      <w:r w:rsidRPr="006910CC">
        <w:rPr>
          <w:i/>
          <w:sz w:val="20"/>
        </w:rPr>
        <w:t>Приватна</w:t>
      </w:r>
      <w:proofErr w:type="spellEnd"/>
      <w:r w:rsidRPr="006910CC">
        <w:rPr>
          <w:i/>
          <w:sz w:val="20"/>
        </w:rPr>
        <w:t xml:space="preserve"> </w:t>
      </w:r>
      <w:proofErr w:type="spellStart"/>
      <w:r w:rsidRPr="006910CC">
        <w:rPr>
          <w:i/>
          <w:sz w:val="20"/>
        </w:rPr>
        <w:t>потрошња</w:t>
      </w:r>
      <w:proofErr w:type="spellEnd"/>
      <w:r w:rsidRPr="006910CC">
        <w:rPr>
          <w:i/>
          <w:sz w:val="20"/>
        </w:rPr>
        <w:t xml:space="preserve"> </w:t>
      </w:r>
      <w:proofErr w:type="spellStart"/>
      <w:r w:rsidRPr="006910CC">
        <w:rPr>
          <w:i/>
          <w:sz w:val="20"/>
        </w:rPr>
        <w:t>обухвата</w:t>
      </w:r>
      <w:proofErr w:type="spellEnd"/>
      <w:r w:rsidRPr="006910CC">
        <w:rPr>
          <w:i/>
          <w:sz w:val="20"/>
        </w:rPr>
        <w:t xml:space="preserve"> </w:t>
      </w:r>
      <w:proofErr w:type="spellStart"/>
      <w:r w:rsidRPr="006910CC">
        <w:rPr>
          <w:i/>
          <w:sz w:val="20"/>
        </w:rPr>
        <w:t>потрошњу</w:t>
      </w:r>
      <w:proofErr w:type="spellEnd"/>
      <w:r w:rsidRPr="006910CC">
        <w:rPr>
          <w:i/>
          <w:sz w:val="20"/>
        </w:rPr>
        <w:t xml:space="preserve"> </w:t>
      </w:r>
      <w:proofErr w:type="spellStart"/>
      <w:r w:rsidRPr="006910CC">
        <w:rPr>
          <w:i/>
          <w:sz w:val="20"/>
        </w:rPr>
        <w:t>домаћинстава</w:t>
      </w:r>
      <w:proofErr w:type="spellEnd"/>
      <w:r w:rsidRPr="006910CC">
        <w:rPr>
          <w:i/>
          <w:sz w:val="20"/>
        </w:rPr>
        <w:t xml:space="preserve"> и </w:t>
      </w:r>
      <w:proofErr w:type="spellStart"/>
      <w:r w:rsidRPr="006910CC">
        <w:rPr>
          <w:i/>
          <w:sz w:val="20"/>
        </w:rPr>
        <w:t>потрошњу</w:t>
      </w:r>
      <w:proofErr w:type="spellEnd"/>
      <w:r w:rsidRPr="006910CC">
        <w:rPr>
          <w:i/>
          <w:sz w:val="20"/>
        </w:rPr>
        <w:t xml:space="preserve"> НПИСД (</w:t>
      </w:r>
      <w:proofErr w:type="spellStart"/>
      <w:r w:rsidRPr="006910CC">
        <w:rPr>
          <w:i/>
          <w:sz w:val="20"/>
        </w:rPr>
        <w:t>непрофитне</w:t>
      </w:r>
      <w:proofErr w:type="spellEnd"/>
      <w:r w:rsidRPr="006910CC">
        <w:rPr>
          <w:i/>
          <w:sz w:val="20"/>
        </w:rPr>
        <w:t xml:space="preserve"> </w:t>
      </w:r>
      <w:proofErr w:type="spellStart"/>
      <w:r w:rsidRPr="006910CC">
        <w:rPr>
          <w:i/>
          <w:sz w:val="20"/>
        </w:rPr>
        <w:t>институције</w:t>
      </w:r>
      <w:proofErr w:type="spellEnd"/>
      <w:r w:rsidRPr="006910CC">
        <w:rPr>
          <w:i/>
          <w:sz w:val="20"/>
        </w:rPr>
        <w:t xml:space="preserve"> </w:t>
      </w:r>
      <w:proofErr w:type="spellStart"/>
      <w:r w:rsidRPr="006910CC">
        <w:rPr>
          <w:i/>
          <w:sz w:val="20"/>
        </w:rPr>
        <w:t>које</w:t>
      </w:r>
      <w:proofErr w:type="spellEnd"/>
      <w:r w:rsidRPr="006910CC">
        <w:rPr>
          <w:i/>
          <w:sz w:val="20"/>
        </w:rPr>
        <w:t xml:space="preserve"> </w:t>
      </w:r>
      <w:proofErr w:type="spellStart"/>
      <w:r w:rsidRPr="006910CC">
        <w:rPr>
          <w:i/>
          <w:sz w:val="20"/>
        </w:rPr>
        <w:t>служе</w:t>
      </w:r>
      <w:proofErr w:type="spellEnd"/>
      <w:r w:rsidRPr="006910CC">
        <w:rPr>
          <w:i/>
          <w:sz w:val="20"/>
        </w:rPr>
        <w:t xml:space="preserve"> </w:t>
      </w:r>
      <w:proofErr w:type="spellStart"/>
      <w:r w:rsidRPr="006910CC">
        <w:rPr>
          <w:i/>
          <w:sz w:val="20"/>
        </w:rPr>
        <w:t>домаћинствима</w:t>
      </w:r>
      <w:proofErr w:type="spellEnd"/>
      <w:r w:rsidRPr="006910CC">
        <w:rPr>
          <w:i/>
          <w:sz w:val="20"/>
        </w:rPr>
        <w:t>).</w:t>
      </w:r>
    </w:p>
    <w:p w14:paraId="55EEEC2B" w14:textId="77777777" w:rsidR="00F5516C" w:rsidRDefault="00F5516C" w:rsidP="00457CA6">
      <w:pPr>
        <w:spacing w:line="276" w:lineRule="auto"/>
        <w:ind w:firstLine="708"/>
        <w:jc w:val="both"/>
        <w:rPr>
          <w:sz w:val="22"/>
          <w:lang w:val="sr-Cyrl-RS"/>
        </w:rPr>
      </w:pPr>
    </w:p>
    <w:p w14:paraId="07F6B9AA" w14:textId="5C020E64" w:rsidR="00014DE1" w:rsidRPr="008F014A" w:rsidRDefault="00BC7573" w:rsidP="00457CA6">
      <w:pPr>
        <w:spacing w:line="276" w:lineRule="auto"/>
        <w:ind w:firstLine="708"/>
        <w:jc w:val="both"/>
        <w:rPr>
          <w:sz w:val="22"/>
        </w:rPr>
      </w:pPr>
      <w:r w:rsidRPr="008F014A">
        <w:rPr>
          <w:sz w:val="22"/>
          <w:lang w:val="sr-Cyrl-RS"/>
        </w:rPr>
        <w:t xml:space="preserve">Према анализама из </w:t>
      </w:r>
      <w:r w:rsidR="007F742E" w:rsidRPr="008F014A">
        <w:rPr>
          <w:sz w:val="22"/>
          <w:lang w:val="sr-Cyrl-RS"/>
        </w:rPr>
        <w:t>ДОБ</w:t>
      </w:r>
      <w:r w:rsidRPr="008F014A">
        <w:rPr>
          <w:sz w:val="22"/>
          <w:lang w:val="sr-Cyrl-RS"/>
        </w:rPr>
        <w:t xml:space="preserve">-а, </w:t>
      </w:r>
      <w:proofErr w:type="spellStart"/>
      <w:r w:rsidR="00457CA6" w:rsidRPr="008F014A">
        <w:rPr>
          <w:sz w:val="22"/>
        </w:rPr>
        <w:t>највећи</w:t>
      </w:r>
      <w:proofErr w:type="spellEnd"/>
      <w:r w:rsidR="00457CA6" w:rsidRPr="008F014A">
        <w:rPr>
          <w:sz w:val="22"/>
        </w:rPr>
        <w:t xml:space="preserve"> </w:t>
      </w:r>
      <w:proofErr w:type="spellStart"/>
      <w:r w:rsidR="00457CA6" w:rsidRPr="008F014A">
        <w:rPr>
          <w:sz w:val="22"/>
        </w:rPr>
        <w:t>утицај</w:t>
      </w:r>
      <w:proofErr w:type="spellEnd"/>
      <w:r w:rsidR="00457CA6" w:rsidRPr="008F014A">
        <w:rPr>
          <w:sz w:val="22"/>
        </w:rPr>
        <w:t xml:space="preserve"> </w:t>
      </w:r>
      <w:proofErr w:type="spellStart"/>
      <w:r w:rsidRPr="008F014A">
        <w:rPr>
          <w:sz w:val="22"/>
        </w:rPr>
        <w:t>на</w:t>
      </w:r>
      <w:proofErr w:type="spellEnd"/>
      <w:r w:rsidRPr="008F014A">
        <w:rPr>
          <w:sz w:val="22"/>
        </w:rPr>
        <w:t xml:space="preserve"> </w:t>
      </w:r>
      <w:proofErr w:type="spellStart"/>
      <w:r w:rsidRPr="008F014A">
        <w:rPr>
          <w:sz w:val="22"/>
        </w:rPr>
        <w:t>кретање</w:t>
      </w:r>
      <w:proofErr w:type="spellEnd"/>
      <w:r w:rsidRPr="008F014A">
        <w:rPr>
          <w:sz w:val="22"/>
        </w:rPr>
        <w:t xml:space="preserve"> </w:t>
      </w:r>
      <w:proofErr w:type="spellStart"/>
      <w:r w:rsidRPr="008F014A">
        <w:rPr>
          <w:sz w:val="22"/>
        </w:rPr>
        <w:t>привреде</w:t>
      </w:r>
      <w:proofErr w:type="spellEnd"/>
      <w:r w:rsidRPr="008F014A">
        <w:rPr>
          <w:sz w:val="22"/>
        </w:rPr>
        <w:t xml:space="preserve"> у 2020. </w:t>
      </w:r>
      <w:proofErr w:type="spellStart"/>
      <w:r w:rsidRPr="008F014A">
        <w:rPr>
          <w:sz w:val="22"/>
        </w:rPr>
        <w:t>години</w:t>
      </w:r>
      <w:proofErr w:type="spellEnd"/>
      <w:r w:rsidRPr="008F014A">
        <w:rPr>
          <w:sz w:val="22"/>
        </w:rPr>
        <w:t xml:space="preserve"> </w:t>
      </w:r>
      <w:proofErr w:type="spellStart"/>
      <w:r w:rsidRPr="008F014A">
        <w:rPr>
          <w:sz w:val="22"/>
        </w:rPr>
        <w:t>је</w:t>
      </w:r>
      <w:proofErr w:type="spellEnd"/>
      <w:r w:rsidRPr="008F014A">
        <w:rPr>
          <w:sz w:val="22"/>
        </w:rPr>
        <w:t xml:space="preserve"> </w:t>
      </w:r>
      <w:r w:rsidR="00457CA6" w:rsidRPr="008F014A">
        <w:rPr>
          <w:sz w:val="22"/>
          <w:lang w:val="sr-Cyrl-RS"/>
        </w:rPr>
        <w:t xml:space="preserve">имала </w:t>
      </w:r>
      <w:proofErr w:type="spellStart"/>
      <w:r w:rsidR="00457CA6" w:rsidRPr="008F014A">
        <w:rPr>
          <w:sz w:val="22"/>
          <w:lang w:val="sr-Cyrl-RS"/>
        </w:rPr>
        <w:t>пандемија</w:t>
      </w:r>
      <w:proofErr w:type="spellEnd"/>
      <w:r w:rsidRPr="008F014A">
        <w:rPr>
          <w:sz w:val="22"/>
        </w:rPr>
        <w:t xml:space="preserve"> </w:t>
      </w:r>
      <w:proofErr w:type="spellStart"/>
      <w:r w:rsidRPr="008F014A">
        <w:rPr>
          <w:sz w:val="22"/>
        </w:rPr>
        <w:t>корона</w:t>
      </w:r>
      <w:proofErr w:type="spellEnd"/>
      <w:r w:rsidRPr="008F014A">
        <w:rPr>
          <w:sz w:val="22"/>
        </w:rPr>
        <w:t xml:space="preserve"> </w:t>
      </w:r>
      <w:proofErr w:type="spellStart"/>
      <w:r w:rsidRPr="008F014A">
        <w:rPr>
          <w:sz w:val="22"/>
        </w:rPr>
        <w:t>вируса</w:t>
      </w:r>
      <w:proofErr w:type="spellEnd"/>
      <w:r w:rsidRPr="008F014A">
        <w:rPr>
          <w:sz w:val="22"/>
        </w:rPr>
        <w:t xml:space="preserve"> (COVID-19). </w:t>
      </w:r>
      <w:proofErr w:type="spellStart"/>
      <w:r w:rsidRPr="008F014A">
        <w:rPr>
          <w:sz w:val="22"/>
        </w:rPr>
        <w:t>Међународне</w:t>
      </w:r>
      <w:proofErr w:type="spellEnd"/>
      <w:r w:rsidRPr="008F014A">
        <w:rPr>
          <w:sz w:val="22"/>
        </w:rPr>
        <w:t xml:space="preserve"> </w:t>
      </w:r>
      <w:proofErr w:type="spellStart"/>
      <w:r w:rsidRPr="008F014A">
        <w:rPr>
          <w:sz w:val="22"/>
        </w:rPr>
        <w:t>институције</w:t>
      </w:r>
      <w:proofErr w:type="spellEnd"/>
      <w:r w:rsidRPr="008F014A">
        <w:rPr>
          <w:sz w:val="22"/>
        </w:rPr>
        <w:t xml:space="preserve"> (ММФ, </w:t>
      </w:r>
      <w:proofErr w:type="spellStart"/>
      <w:r w:rsidRPr="008F014A">
        <w:rPr>
          <w:sz w:val="22"/>
        </w:rPr>
        <w:t>Свјетска</w:t>
      </w:r>
      <w:proofErr w:type="spellEnd"/>
      <w:r w:rsidRPr="008F014A">
        <w:rPr>
          <w:sz w:val="22"/>
        </w:rPr>
        <w:t xml:space="preserve"> </w:t>
      </w:r>
      <w:proofErr w:type="spellStart"/>
      <w:r w:rsidRPr="008F014A">
        <w:rPr>
          <w:sz w:val="22"/>
        </w:rPr>
        <w:t>банка</w:t>
      </w:r>
      <w:proofErr w:type="spellEnd"/>
      <w:r w:rsidRPr="008F014A">
        <w:rPr>
          <w:sz w:val="22"/>
        </w:rPr>
        <w:t xml:space="preserve">, </w:t>
      </w:r>
      <w:proofErr w:type="spellStart"/>
      <w:r w:rsidRPr="008F014A">
        <w:rPr>
          <w:sz w:val="22"/>
        </w:rPr>
        <w:t>Европска</w:t>
      </w:r>
      <w:proofErr w:type="spellEnd"/>
      <w:r w:rsidRPr="008F014A">
        <w:rPr>
          <w:sz w:val="22"/>
        </w:rPr>
        <w:t xml:space="preserve"> </w:t>
      </w:r>
      <w:proofErr w:type="spellStart"/>
      <w:r w:rsidRPr="008F014A">
        <w:rPr>
          <w:sz w:val="22"/>
        </w:rPr>
        <w:t>комисија</w:t>
      </w:r>
      <w:proofErr w:type="spellEnd"/>
      <w:r w:rsidRPr="008F014A">
        <w:rPr>
          <w:sz w:val="22"/>
        </w:rPr>
        <w:t>)</w:t>
      </w:r>
      <w:r w:rsidR="00014DE1" w:rsidRPr="008F014A">
        <w:rPr>
          <w:sz w:val="22"/>
        </w:rPr>
        <w:t xml:space="preserve">, </w:t>
      </w:r>
      <w:r w:rsidR="00014DE1" w:rsidRPr="008F014A">
        <w:rPr>
          <w:sz w:val="22"/>
          <w:lang w:val="sr-Cyrl-RS"/>
        </w:rPr>
        <w:t>као што је већ наведено,</w:t>
      </w:r>
      <w:r w:rsidRPr="008F014A">
        <w:rPr>
          <w:sz w:val="22"/>
        </w:rPr>
        <w:t xml:space="preserve"> </w:t>
      </w:r>
      <w:proofErr w:type="spellStart"/>
      <w:r w:rsidRPr="008F014A">
        <w:rPr>
          <w:sz w:val="22"/>
        </w:rPr>
        <w:t>више</w:t>
      </w:r>
      <w:proofErr w:type="spellEnd"/>
      <w:r w:rsidRPr="008F014A">
        <w:rPr>
          <w:sz w:val="22"/>
        </w:rPr>
        <w:t xml:space="preserve"> </w:t>
      </w:r>
      <w:proofErr w:type="spellStart"/>
      <w:r w:rsidRPr="008F014A">
        <w:rPr>
          <w:sz w:val="22"/>
        </w:rPr>
        <w:t>пута</w:t>
      </w:r>
      <w:proofErr w:type="spellEnd"/>
      <w:r w:rsidRPr="008F014A">
        <w:rPr>
          <w:sz w:val="22"/>
        </w:rPr>
        <w:t xml:space="preserve"> </w:t>
      </w:r>
      <w:proofErr w:type="spellStart"/>
      <w:r w:rsidRPr="008F014A">
        <w:rPr>
          <w:sz w:val="22"/>
        </w:rPr>
        <w:t>су</w:t>
      </w:r>
      <w:proofErr w:type="spellEnd"/>
      <w:r w:rsidRPr="008F014A">
        <w:rPr>
          <w:sz w:val="22"/>
        </w:rPr>
        <w:t xml:space="preserve"> </w:t>
      </w:r>
      <w:proofErr w:type="spellStart"/>
      <w:r w:rsidRPr="008F014A">
        <w:rPr>
          <w:sz w:val="22"/>
        </w:rPr>
        <w:t>вршиле</w:t>
      </w:r>
      <w:proofErr w:type="spellEnd"/>
      <w:r w:rsidRPr="008F014A">
        <w:rPr>
          <w:sz w:val="22"/>
        </w:rPr>
        <w:t xml:space="preserve"> </w:t>
      </w:r>
      <w:proofErr w:type="spellStart"/>
      <w:r w:rsidRPr="008F014A">
        <w:rPr>
          <w:sz w:val="22"/>
        </w:rPr>
        <w:t>ревизију</w:t>
      </w:r>
      <w:proofErr w:type="spellEnd"/>
      <w:r w:rsidRPr="008F014A">
        <w:rPr>
          <w:sz w:val="22"/>
        </w:rPr>
        <w:t xml:space="preserve"> </w:t>
      </w:r>
      <w:proofErr w:type="spellStart"/>
      <w:r w:rsidRPr="008F014A">
        <w:rPr>
          <w:sz w:val="22"/>
        </w:rPr>
        <w:t>пројекција</w:t>
      </w:r>
      <w:proofErr w:type="spellEnd"/>
      <w:r w:rsidRPr="008F014A">
        <w:rPr>
          <w:sz w:val="22"/>
        </w:rPr>
        <w:t xml:space="preserve"> </w:t>
      </w:r>
      <w:proofErr w:type="spellStart"/>
      <w:r w:rsidRPr="008F014A">
        <w:rPr>
          <w:sz w:val="22"/>
        </w:rPr>
        <w:t>економског</w:t>
      </w:r>
      <w:proofErr w:type="spellEnd"/>
      <w:r w:rsidRPr="008F014A">
        <w:rPr>
          <w:sz w:val="22"/>
        </w:rPr>
        <w:t xml:space="preserve"> </w:t>
      </w:r>
      <w:proofErr w:type="spellStart"/>
      <w:r w:rsidRPr="008F014A">
        <w:rPr>
          <w:sz w:val="22"/>
        </w:rPr>
        <w:t>кретања</w:t>
      </w:r>
      <w:proofErr w:type="spellEnd"/>
      <w:r w:rsidRPr="008F014A">
        <w:rPr>
          <w:sz w:val="22"/>
        </w:rPr>
        <w:t xml:space="preserve"> </w:t>
      </w:r>
      <w:proofErr w:type="spellStart"/>
      <w:r w:rsidRPr="008F014A">
        <w:rPr>
          <w:sz w:val="22"/>
        </w:rPr>
        <w:t>за</w:t>
      </w:r>
      <w:proofErr w:type="spellEnd"/>
      <w:r w:rsidRPr="008F014A">
        <w:rPr>
          <w:sz w:val="22"/>
        </w:rPr>
        <w:t xml:space="preserve"> 2020. </w:t>
      </w:r>
      <w:proofErr w:type="spellStart"/>
      <w:r w:rsidRPr="008F014A">
        <w:rPr>
          <w:sz w:val="22"/>
        </w:rPr>
        <w:t>годину</w:t>
      </w:r>
      <w:proofErr w:type="spellEnd"/>
      <w:r w:rsidRPr="008F014A">
        <w:rPr>
          <w:sz w:val="22"/>
        </w:rPr>
        <w:t xml:space="preserve">, и </w:t>
      </w:r>
      <w:proofErr w:type="spellStart"/>
      <w:r w:rsidRPr="008F014A">
        <w:rPr>
          <w:sz w:val="22"/>
        </w:rPr>
        <w:t>то</w:t>
      </w:r>
      <w:proofErr w:type="spellEnd"/>
      <w:r w:rsidRPr="008F014A">
        <w:rPr>
          <w:sz w:val="22"/>
        </w:rPr>
        <w:t xml:space="preserve"> </w:t>
      </w:r>
      <w:proofErr w:type="spellStart"/>
      <w:r w:rsidRPr="008F014A">
        <w:rPr>
          <w:sz w:val="22"/>
        </w:rPr>
        <w:t>по</w:t>
      </w:r>
      <w:proofErr w:type="spellEnd"/>
      <w:r w:rsidRPr="008F014A">
        <w:rPr>
          <w:sz w:val="22"/>
        </w:rPr>
        <w:t xml:space="preserve"> </w:t>
      </w:r>
      <w:proofErr w:type="spellStart"/>
      <w:r w:rsidRPr="008F014A">
        <w:rPr>
          <w:sz w:val="22"/>
        </w:rPr>
        <w:t>прави</w:t>
      </w:r>
      <w:r w:rsidR="00457CA6" w:rsidRPr="008F014A">
        <w:rPr>
          <w:sz w:val="22"/>
        </w:rPr>
        <w:t>лу</w:t>
      </w:r>
      <w:proofErr w:type="spellEnd"/>
      <w:r w:rsidR="004F3D3C" w:rsidRPr="008F014A">
        <w:rPr>
          <w:sz w:val="22"/>
        </w:rPr>
        <w:t xml:space="preserve"> </w:t>
      </w:r>
      <w:proofErr w:type="spellStart"/>
      <w:r w:rsidR="004F3D3C" w:rsidRPr="008F014A">
        <w:rPr>
          <w:sz w:val="22"/>
        </w:rPr>
        <w:t>на</w:t>
      </w:r>
      <w:proofErr w:type="spellEnd"/>
      <w:r w:rsidR="004F3D3C" w:rsidRPr="008F014A">
        <w:rPr>
          <w:sz w:val="22"/>
        </w:rPr>
        <w:t xml:space="preserve"> </w:t>
      </w:r>
      <w:proofErr w:type="spellStart"/>
      <w:r w:rsidR="004F3D3C" w:rsidRPr="008F014A">
        <w:rPr>
          <w:sz w:val="22"/>
        </w:rPr>
        <w:t>ниже</w:t>
      </w:r>
      <w:proofErr w:type="spellEnd"/>
      <w:r w:rsidR="004F3D3C" w:rsidRPr="008F014A">
        <w:rPr>
          <w:sz w:val="22"/>
        </w:rPr>
        <w:t xml:space="preserve">. </w:t>
      </w:r>
    </w:p>
    <w:p w14:paraId="1F3D5F63" w14:textId="77777777" w:rsidR="004F3D3C" w:rsidRPr="008F014A" w:rsidRDefault="004F3D3C" w:rsidP="00457CA6">
      <w:pPr>
        <w:spacing w:line="276" w:lineRule="auto"/>
        <w:ind w:firstLine="708"/>
        <w:jc w:val="both"/>
        <w:rPr>
          <w:sz w:val="22"/>
        </w:rPr>
      </w:pPr>
    </w:p>
    <w:p w14:paraId="10812E63" w14:textId="77777777" w:rsidR="00812A6B" w:rsidRPr="008F014A" w:rsidRDefault="00BC7573" w:rsidP="00812A6B">
      <w:pPr>
        <w:spacing w:line="276" w:lineRule="auto"/>
        <w:ind w:firstLine="708"/>
        <w:jc w:val="both"/>
        <w:rPr>
          <w:sz w:val="22"/>
          <w:lang w:val="sr-Cyrl-RS"/>
        </w:rPr>
      </w:pPr>
      <w:proofErr w:type="spellStart"/>
      <w:r w:rsidRPr="008F014A">
        <w:rPr>
          <w:sz w:val="22"/>
        </w:rPr>
        <w:t>Привреда</w:t>
      </w:r>
      <w:proofErr w:type="spellEnd"/>
      <w:r w:rsidRPr="008F014A">
        <w:rPr>
          <w:sz w:val="22"/>
        </w:rPr>
        <w:t xml:space="preserve"> </w:t>
      </w:r>
      <w:proofErr w:type="spellStart"/>
      <w:r w:rsidRPr="008F014A">
        <w:rPr>
          <w:sz w:val="22"/>
        </w:rPr>
        <w:t>Републике</w:t>
      </w:r>
      <w:proofErr w:type="spellEnd"/>
      <w:r w:rsidRPr="008F014A">
        <w:rPr>
          <w:sz w:val="22"/>
        </w:rPr>
        <w:t xml:space="preserve"> </w:t>
      </w:r>
      <w:proofErr w:type="spellStart"/>
      <w:r w:rsidRPr="008F014A">
        <w:rPr>
          <w:sz w:val="22"/>
        </w:rPr>
        <w:t>Српске</w:t>
      </w:r>
      <w:proofErr w:type="spellEnd"/>
      <w:r w:rsidRPr="008F014A">
        <w:rPr>
          <w:sz w:val="22"/>
        </w:rPr>
        <w:t xml:space="preserve">, </w:t>
      </w:r>
      <w:proofErr w:type="spellStart"/>
      <w:r w:rsidRPr="008F014A">
        <w:rPr>
          <w:sz w:val="22"/>
        </w:rPr>
        <w:t>као</w:t>
      </w:r>
      <w:proofErr w:type="spellEnd"/>
      <w:r w:rsidRPr="008F014A">
        <w:rPr>
          <w:sz w:val="22"/>
        </w:rPr>
        <w:t xml:space="preserve"> </w:t>
      </w:r>
      <w:proofErr w:type="spellStart"/>
      <w:r w:rsidRPr="008F014A">
        <w:rPr>
          <w:sz w:val="22"/>
        </w:rPr>
        <w:t>мала</w:t>
      </w:r>
      <w:proofErr w:type="spellEnd"/>
      <w:r w:rsidRPr="008F014A">
        <w:rPr>
          <w:sz w:val="22"/>
        </w:rPr>
        <w:t xml:space="preserve"> и </w:t>
      </w:r>
      <w:proofErr w:type="spellStart"/>
      <w:r w:rsidRPr="008F014A">
        <w:rPr>
          <w:sz w:val="22"/>
        </w:rPr>
        <w:t>отворена</w:t>
      </w:r>
      <w:proofErr w:type="spellEnd"/>
      <w:r w:rsidRPr="008F014A">
        <w:rPr>
          <w:sz w:val="22"/>
        </w:rPr>
        <w:t xml:space="preserve">, </w:t>
      </w:r>
      <w:proofErr w:type="spellStart"/>
      <w:r w:rsidRPr="008F014A">
        <w:rPr>
          <w:sz w:val="22"/>
        </w:rPr>
        <w:t>са</w:t>
      </w:r>
      <w:proofErr w:type="spellEnd"/>
      <w:r w:rsidRPr="008F014A">
        <w:rPr>
          <w:sz w:val="22"/>
        </w:rPr>
        <w:t xml:space="preserve"> </w:t>
      </w:r>
      <w:proofErr w:type="spellStart"/>
      <w:r w:rsidRPr="008F014A">
        <w:rPr>
          <w:sz w:val="22"/>
        </w:rPr>
        <w:t>ограниченим</w:t>
      </w:r>
      <w:proofErr w:type="spellEnd"/>
      <w:r w:rsidRPr="008F014A">
        <w:rPr>
          <w:sz w:val="22"/>
        </w:rPr>
        <w:t xml:space="preserve"> </w:t>
      </w:r>
      <w:proofErr w:type="spellStart"/>
      <w:r w:rsidRPr="008F014A">
        <w:rPr>
          <w:sz w:val="22"/>
        </w:rPr>
        <w:t>ресурсима</w:t>
      </w:r>
      <w:proofErr w:type="spellEnd"/>
      <w:r w:rsidRPr="008F014A">
        <w:rPr>
          <w:sz w:val="22"/>
        </w:rPr>
        <w:t xml:space="preserve"> и</w:t>
      </w:r>
      <w:r w:rsidR="00457CA6" w:rsidRPr="008F014A">
        <w:rPr>
          <w:sz w:val="22"/>
        </w:rPr>
        <w:t xml:space="preserve"> </w:t>
      </w:r>
      <w:proofErr w:type="spellStart"/>
      <w:r w:rsidR="00457CA6" w:rsidRPr="008F014A">
        <w:rPr>
          <w:sz w:val="22"/>
        </w:rPr>
        <w:t>тржиштем</w:t>
      </w:r>
      <w:proofErr w:type="spellEnd"/>
      <w:r w:rsidR="00457CA6" w:rsidRPr="008F014A">
        <w:rPr>
          <w:sz w:val="22"/>
        </w:rPr>
        <w:t xml:space="preserve">, у </w:t>
      </w:r>
      <w:proofErr w:type="spellStart"/>
      <w:r w:rsidR="00457CA6" w:rsidRPr="008F014A">
        <w:rPr>
          <w:sz w:val="22"/>
        </w:rPr>
        <w:t>великој</w:t>
      </w:r>
      <w:proofErr w:type="spellEnd"/>
      <w:r w:rsidR="00457CA6" w:rsidRPr="008F014A">
        <w:rPr>
          <w:sz w:val="22"/>
        </w:rPr>
        <w:t xml:space="preserve"> </w:t>
      </w:r>
      <w:proofErr w:type="spellStart"/>
      <w:r w:rsidR="00457CA6" w:rsidRPr="008F014A">
        <w:rPr>
          <w:sz w:val="22"/>
        </w:rPr>
        <w:t>мјери</w:t>
      </w:r>
      <w:proofErr w:type="spellEnd"/>
      <w:r w:rsidRPr="008F014A">
        <w:rPr>
          <w:sz w:val="22"/>
        </w:rPr>
        <w:t xml:space="preserve"> </w:t>
      </w:r>
      <w:proofErr w:type="spellStart"/>
      <w:r w:rsidRPr="008F014A">
        <w:rPr>
          <w:sz w:val="22"/>
        </w:rPr>
        <w:t>је</w:t>
      </w:r>
      <w:proofErr w:type="spellEnd"/>
      <w:r w:rsidRPr="008F014A">
        <w:rPr>
          <w:sz w:val="22"/>
          <w:lang w:val="sr-Cyrl-RS"/>
        </w:rPr>
        <w:t xml:space="preserve"> п</w:t>
      </w:r>
      <w:proofErr w:type="spellStart"/>
      <w:r w:rsidRPr="008F014A">
        <w:rPr>
          <w:sz w:val="22"/>
        </w:rPr>
        <w:t>одложна</w:t>
      </w:r>
      <w:proofErr w:type="spellEnd"/>
      <w:r w:rsidRPr="008F014A">
        <w:rPr>
          <w:sz w:val="22"/>
        </w:rPr>
        <w:t xml:space="preserve"> </w:t>
      </w:r>
      <w:proofErr w:type="spellStart"/>
      <w:r w:rsidRPr="008F014A">
        <w:rPr>
          <w:sz w:val="22"/>
        </w:rPr>
        <w:t>утицајима</w:t>
      </w:r>
      <w:proofErr w:type="spellEnd"/>
      <w:r w:rsidRPr="008F014A">
        <w:rPr>
          <w:sz w:val="22"/>
        </w:rPr>
        <w:t xml:space="preserve"> </w:t>
      </w:r>
      <w:proofErr w:type="spellStart"/>
      <w:r w:rsidRPr="008F014A">
        <w:rPr>
          <w:sz w:val="22"/>
        </w:rPr>
        <w:t>из</w:t>
      </w:r>
      <w:proofErr w:type="spellEnd"/>
      <w:r w:rsidRPr="008F014A">
        <w:rPr>
          <w:sz w:val="22"/>
        </w:rPr>
        <w:t xml:space="preserve"> </w:t>
      </w:r>
      <w:proofErr w:type="spellStart"/>
      <w:r w:rsidRPr="008F014A">
        <w:rPr>
          <w:sz w:val="22"/>
        </w:rPr>
        <w:t>окружења</w:t>
      </w:r>
      <w:proofErr w:type="spellEnd"/>
      <w:r w:rsidRPr="008F014A">
        <w:rPr>
          <w:sz w:val="22"/>
        </w:rPr>
        <w:t xml:space="preserve">. </w:t>
      </w:r>
      <w:proofErr w:type="spellStart"/>
      <w:r w:rsidRPr="008F014A">
        <w:rPr>
          <w:sz w:val="22"/>
        </w:rPr>
        <w:t>Због</w:t>
      </w:r>
      <w:proofErr w:type="spellEnd"/>
      <w:r w:rsidR="007404E3">
        <w:rPr>
          <w:sz w:val="22"/>
          <w:lang w:val="sr-Cyrl-RS"/>
        </w:rPr>
        <w:t xml:space="preserve"> велике</w:t>
      </w:r>
      <w:r w:rsidRPr="008F014A">
        <w:rPr>
          <w:sz w:val="22"/>
        </w:rPr>
        <w:t xml:space="preserve"> </w:t>
      </w:r>
      <w:proofErr w:type="spellStart"/>
      <w:r w:rsidRPr="008F014A">
        <w:rPr>
          <w:sz w:val="22"/>
        </w:rPr>
        <w:t>увозно</w:t>
      </w:r>
      <w:proofErr w:type="spellEnd"/>
      <w:r w:rsidRPr="008F014A">
        <w:rPr>
          <w:sz w:val="22"/>
        </w:rPr>
        <w:t>/</w:t>
      </w:r>
      <w:proofErr w:type="spellStart"/>
      <w:r w:rsidRPr="008F014A">
        <w:rPr>
          <w:sz w:val="22"/>
        </w:rPr>
        <w:t>извозне</w:t>
      </w:r>
      <w:proofErr w:type="spellEnd"/>
      <w:r w:rsidRPr="008F014A">
        <w:rPr>
          <w:sz w:val="22"/>
        </w:rPr>
        <w:t xml:space="preserve"> </w:t>
      </w:r>
      <w:proofErr w:type="spellStart"/>
      <w:r w:rsidRPr="008F014A">
        <w:rPr>
          <w:sz w:val="22"/>
        </w:rPr>
        <w:t>изложености</w:t>
      </w:r>
      <w:proofErr w:type="spellEnd"/>
      <w:r w:rsidRPr="008F014A">
        <w:rPr>
          <w:sz w:val="22"/>
        </w:rPr>
        <w:t xml:space="preserve">, </w:t>
      </w:r>
      <w:proofErr w:type="spellStart"/>
      <w:r w:rsidRPr="008F014A">
        <w:rPr>
          <w:sz w:val="22"/>
        </w:rPr>
        <w:t>негативни</w:t>
      </w:r>
      <w:proofErr w:type="spellEnd"/>
      <w:r w:rsidRPr="008F014A">
        <w:rPr>
          <w:sz w:val="22"/>
        </w:rPr>
        <w:t xml:space="preserve"> </w:t>
      </w:r>
      <w:proofErr w:type="spellStart"/>
      <w:r w:rsidRPr="008F014A">
        <w:rPr>
          <w:sz w:val="22"/>
        </w:rPr>
        <w:t>ефекти</w:t>
      </w:r>
      <w:proofErr w:type="spellEnd"/>
      <w:r w:rsidRPr="008F014A">
        <w:rPr>
          <w:sz w:val="22"/>
        </w:rPr>
        <w:t xml:space="preserve"> </w:t>
      </w:r>
      <w:proofErr w:type="spellStart"/>
      <w:r w:rsidRPr="008F014A">
        <w:rPr>
          <w:sz w:val="22"/>
        </w:rPr>
        <w:t>избијања</w:t>
      </w:r>
      <w:proofErr w:type="spellEnd"/>
      <w:r w:rsidRPr="008F014A">
        <w:rPr>
          <w:sz w:val="22"/>
        </w:rPr>
        <w:t xml:space="preserve"> </w:t>
      </w:r>
      <w:proofErr w:type="spellStart"/>
      <w:r w:rsidRPr="008F014A">
        <w:rPr>
          <w:sz w:val="22"/>
        </w:rPr>
        <w:t>коронавируса</w:t>
      </w:r>
      <w:proofErr w:type="spellEnd"/>
      <w:r w:rsidRPr="008F014A">
        <w:rPr>
          <w:sz w:val="22"/>
        </w:rPr>
        <w:t xml:space="preserve"> у </w:t>
      </w:r>
      <w:proofErr w:type="spellStart"/>
      <w:r w:rsidRPr="008F014A">
        <w:rPr>
          <w:sz w:val="22"/>
        </w:rPr>
        <w:t>земљама</w:t>
      </w:r>
      <w:proofErr w:type="spellEnd"/>
      <w:r w:rsidRPr="008F014A">
        <w:rPr>
          <w:sz w:val="22"/>
        </w:rPr>
        <w:t xml:space="preserve"> ЕУ</w:t>
      </w:r>
      <w:r w:rsidR="00457CA6" w:rsidRPr="008F014A">
        <w:rPr>
          <w:sz w:val="22"/>
          <w:lang w:val="sr-Cyrl-RS"/>
        </w:rPr>
        <w:t>,</w:t>
      </w:r>
      <w:r w:rsidRPr="008F014A">
        <w:rPr>
          <w:sz w:val="22"/>
        </w:rPr>
        <w:t xml:space="preserve"> </w:t>
      </w:r>
      <w:proofErr w:type="spellStart"/>
      <w:r w:rsidRPr="008F014A">
        <w:rPr>
          <w:sz w:val="22"/>
        </w:rPr>
        <w:t>значајним</w:t>
      </w:r>
      <w:proofErr w:type="spellEnd"/>
      <w:r w:rsidRPr="008F014A">
        <w:rPr>
          <w:sz w:val="22"/>
        </w:rPr>
        <w:t xml:space="preserve"> </w:t>
      </w:r>
      <w:proofErr w:type="spellStart"/>
      <w:r w:rsidRPr="008F014A">
        <w:rPr>
          <w:sz w:val="22"/>
        </w:rPr>
        <w:t>спољнотрговинским</w:t>
      </w:r>
      <w:proofErr w:type="spellEnd"/>
      <w:r w:rsidRPr="008F014A">
        <w:rPr>
          <w:sz w:val="22"/>
        </w:rPr>
        <w:t xml:space="preserve"> </w:t>
      </w:r>
      <w:proofErr w:type="spellStart"/>
      <w:r w:rsidRPr="008F014A">
        <w:rPr>
          <w:sz w:val="22"/>
        </w:rPr>
        <w:t>партнерима</w:t>
      </w:r>
      <w:proofErr w:type="spellEnd"/>
      <w:r w:rsidRPr="008F014A">
        <w:rPr>
          <w:sz w:val="22"/>
        </w:rPr>
        <w:t xml:space="preserve"> (</w:t>
      </w:r>
      <w:proofErr w:type="spellStart"/>
      <w:r w:rsidRPr="008F014A">
        <w:rPr>
          <w:sz w:val="22"/>
        </w:rPr>
        <w:t>Италија</w:t>
      </w:r>
      <w:proofErr w:type="spellEnd"/>
      <w:r w:rsidRPr="008F014A">
        <w:rPr>
          <w:sz w:val="22"/>
        </w:rPr>
        <w:t xml:space="preserve">, </w:t>
      </w:r>
      <w:proofErr w:type="spellStart"/>
      <w:r w:rsidRPr="008F014A">
        <w:rPr>
          <w:sz w:val="22"/>
        </w:rPr>
        <w:t>Хрватска</w:t>
      </w:r>
      <w:proofErr w:type="spellEnd"/>
      <w:r w:rsidRPr="008F014A">
        <w:rPr>
          <w:sz w:val="22"/>
        </w:rPr>
        <w:t xml:space="preserve">, </w:t>
      </w:r>
      <w:proofErr w:type="spellStart"/>
      <w:r w:rsidRPr="008F014A">
        <w:rPr>
          <w:sz w:val="22"/>
        </w:rPr>
        <w:t>Словенија</w:t>
      </w:r>
      <w:proofErr w:type="spellEnd"/>
      <w:r w:rsidRPr="008F014A">
        <w:rPr>
          <w:sz w:val="22"/>
        </w:rPr>
        <w:t xml:space="preserve">, </w:t>
      </w:r>
      <w:proofErr w:type="spellStart"/>
      <w:r w:rsidRPr="008F014A">
        <w:rPr>
          <w:sz w:val="22"/>
        </w:rPr>
        <w:t>Њемачка</w:t>
      </w:r>
      <w:proofErr w:type="spellEnd"/>
      <w:r w:rsidRPr="008F014A">
        <w:rPr>
          <w:sz w:val="22"/>
        </w:rPr>
        <w:t>)</w:t>
      </w:r>
      <w:r w:rsidR="00457CA6" w:rsidRPr="008F014A">
        <w:rPr>
          <w:sz w:val="22"/>
          <w:lang w:val="sr-Cyrl-RS"/>
        </w:rPr>
        <w:t>,</w:t>
      </w:r>
      <w:r w:rsidR="00DD62E6" w:rsidRPr="008F014A">
        <w:rPr>
          <w:sz w:val="22"/>
        </w:rPr>
        <w:t xml:space="preserve"> </w:t>
      </w:r>
      <w:proofErr w:type="spellStart"/>
      <w:r w:rsidR="00457CA6" w:rsidRPr="008F014A">
        <w:rPr>
          <w:sz w:val="22"/>
        </w:rPr>
        <w:t>показују</w:t>
      </w:r>
      <w:proofErr w:type="spellEnd"/>
      <w:r w:rsidR="00457CA6" w:rsidRPr="008F014A">
        <w:rPr>
          <w:sz w:val="22"/>
        </w:rPr>
        <w:t xml:space="preserve"> </w:t>
      </w:r>
      <w:proofErr w:type="spellStart"/>
      <w:r w:rsidR="00457CA6" w:rsidRPr="008F014A">
        <w:rPr>
          <w:sz w:val="22"/>
        </w:rPr>
        <w:t>свој</w:t>
      </w:r>
      <w:proofErr w:type="spellEnd"/>
      <w:r w:rsidR="00457CA6" w:rsidRPr="008F014A">
        <w:rPr>
          <w:sz w:val="22"/>
        </w:rPr>
        <w:t xml:space="preserve"> </w:t>
      </w:r>
      <w:r w:rsidR="00DD62E6" w:rsidRPr="008F014A">
        <w:rPr>
          <w:sz w:val="22"/>
          <w:lang w:val="sr-Cyrl-RS"/>
        </w:rPr>
        <w:t xml:space="preserve">директни </w:t>
      </w:r>
      <w:proofErr w:type="spellStart"/>
      <w:r w:rsidR="00457CA6" w:rsidRPr="008F014A">
        <w:rPr>
          <w:sz w:val="22"/>
        </w:rPr>
        <w:t>утицај</w:t>
      </w:r>
      <w:proofErr w:type="spellEnd"/>
      <w:r w:rsidR="00457CA6" w:rsidRPr="008F014A">
        <w:rPr>
          <w:sz w:val="22"/>
        </w:rPr>
        <w:t xml:space="preserve"> и </w:t>
      </w:r>
      <w:proofErr w:type="spellStart"/>
      <w:r w:rsidR="00457CA6" w:rsidRPr="008F014A">
        <w:rPr>
          <w:sz w:val="22"/>
        </w:rPr>
        <w:t>на</w:t>
      </w:r>
      <w:proofErr w:type="spellEnd"/>
      <w:r w:rsidR="00457CA6" w:rsidRPr="008F014A">
        <w:rPr>
          <w:sz w:val="22"/>
        </w:rPr>
        <w:t xml:space="preserve"> </w:t>
      </w:r>
      <w:proofErr w:type="spellStart"/>
      <w:r w:rsidR="00457CA6" w:rsidRPr="008F014A">
        <w:rPr>
          <w:sz w:val="22"/>
        </w:rPr>
        <w:t>предузећа</w:t>
      </w:r>
      <w:proofErr w:type="spellEnd"/>
      <w:r w:rsidR="00457CA6" w:rsidRPr="008F014A">
        <w:rPr>
          <w:sz w:val="22"/>
        </w:rPr>
        <w:t xml:space="preserve"> </w:t>
      </w:r>
      <w:r w:rsidRPr="008F014A">
        <w:rPr>
          <w:sz w:val="22"/>
        </w:rPr>
        <w:t xml:space="preserve">у </w:t>
      </w:r>
      <w:proofErr w:type="spellStart"/>
      <w:r w:rsidRPr="008F014A">
        <w:rPr>
          <w:sz w:val="22"/>
        </w:rPr>
        <w:t>Републици</w:t>
      </w:r>
      <w:proofErr w:type="spellEnd"/>
      <w:r w:rsidRPr="008F014A">
        <w:rPr>
          <w:sz w:val="22"/>
        </w:rPr>
        <w:t xml:space="preserve"> </w:t>
      </w:r>
      <w:proofErr w:type="spellStart"/>
      <w:r w:rsidRPr="008F014A">
        <w:rPr>
          <w:sz w:val="22"/>
        </w:rPr>
        <w:t>Српској</w:t>
      </w:r>
      <w:proofErr w:type="spellEnd"/>
      <w:r w:rsidRPr="008F014A">
        <w:rPr>
          <w:sz w:val="22"/>
        </w:rPr>
        <w:t xml:space="preserve">, </w:t>
      </w:r>
      <w:proofErr w:type="spellStart"/>
      <w:r w:rsidRPr="008F014A">
        <w:rPr>
          <w:sz w:val="22"/>
        </w:rPr>
        <w:t>смањујући</w:t>
      </w:r>
      <w:proofErr w:type="spellEnd"/>
      <w:r w:rsidR="00457CA6" w:rsidRPr="008F014A">
        <w:rPr>
          <w:sz w:val="22"/>
          <w:lang w:val="sr-Cyrl-RS"/>
        </w:rPr>
        <w:t xml:space="preserve"> или ограничавајући</w:t>
      </w:r>
      <w:r w:rsidRPr="008F014A">
        <w:rPr>
          <w:sz w:val="22"/>
        </w:rPr>
        <w:t xml:space="preserve"> </w:t>
      </w:r>
      <w:proofErr w:type="spellStart"/>
      <w:r w:rsidRPr="008F014A">
        <w:rPr>
          <w:sz w:val="22"/>
        </w:rPr>
        <w:t>њихову</w:t>
      </w:r>
      <w:proofErr w:type="spellEnd"/>
      <w:r w:rsidRPr="008F014A">
        <w:rPr>
          <w:sz w:val="22"/>
        </w:rPr>
        <w:t xml:space="preserve"> </w:t>
      </w:r>
      <w:proofErr w:type="spellStart"/>
      <w:r w:rsidRPr="008F014A">
        <w:rPr>
          <w:sz w:val="22"/>
        </w:rPr>
        <w:t>активност</w:t>
      </w:r>
      <w:proofErr w:type="spellEnd"/>
      <w:r w:rsidRPr="008F014A">
        <w:rPr>
          <w:sz w:val="22"/>
        </w:rPr>
        <w:t xml:space="preserve">. </w:t>
      </w:r>
      <w:r w:rsidR="00D028F1">
        <w:rPr>
          <w:sz w:val="22"/>
          <w:lang w:val="sr-Cyrl-RS"/>
        </w:rPr>
        <w:t>П</w:t>
      </w:r>
      <w:r w:rsidR="00457CA6" w:rsidRPr="008F014A">
        <w:rPr>
          <w:sz w:val="22"/>
          <w:lang w:val="sr-Cyrl-RS"/>
        </w:rPr>
        <w:t>рема прогнозама међународних институција,</w:t>
      </w:r>
      <w:r w:rsidR="00D028F1">
        <w:rPr>
          <w:sz w:val="22"/>
          <w:lang w:val="sr-Cyrl-RS"/>
        </w:rPr>
        <w:t xml:space="preserve"> односно,</w:t>
      </w:r>
      <w:r w:rsidRPr="008F014A">
        <w:rPr>
          <w:sz w:val="22"/>
        </w:rPr>
        <w:t xml:space="preserve"> </w:t>
      </w:r>
      <w:r w:rsidR="00812A6B" w:rsidRPr="008F014A">
        <w:rPr>
          <w:sz w:val="22"/>
          <w:lang w:val="sr-Cyrl-RS"/>
        </w:rPr>
        <w:t xml:space="preserve">према оптимистичком сценарију </w:t>
      </w:r>
      <w:proofErr w:type="spellStart"/>
      <w:r w:rsidRPr="008F014A">
        <w:rPr>
          <w:sz w:val="22"/>
        </w:rPr>
        <w:t>очекује</w:t>
      </w:r>
      <w:proofErr w:type="spellEnd"/>
      <w:r w:rsidRPr="008F014A">
        <w:rPr>
          <w:sz w:val="22"/>
        </w:rPr>
        <w:t xml:space="preserve"> </w:t>
      </w:r>
      <w:r w:rsidR="00457CA6" w:rsidRPr="008F014A">
        <w:rPr>
          <w:sz w:val="22"/>
          <w:lang w:val="sr-Cyrl-RS"/>
        </w:rPr>
        <w:t xml:space="preserve">се </w:t>
      </w:r>
      <w:proofErr w:type="spellStart"/>
      <w:r w:rsidRPr="008F014A">
        <w:rPr>
          <w:sz w:val="22"/>
        </w:rPr>
        <w:t>стабилизација</w:t>
      </w:r>
      <w:proofErr w:type="spellEnd"/>
      <w:r w:rsidRPr="008F014A">
        <w:rPr>
          <w:sz w:val="22"/>
        </w:rPr>
        <w:t xml:space="preserve"> и </w:t>
      </w:r>
      <w:proofErr w:type="spellStart"/>
      <w:r w:rsidRPr="008F014A">
        <w:rPr>
          <w:sz w:val="22"/>
        </w:rPr>
        <w:t>раст</w:t>
      </w:r>
      <w:proofErr w:type="spellEnd"/>
      <w:r w:rsidRPr="008F014A">
        <w:rPr>
          <w:sz w:val="22"/>
        </w:rPr>
        <w:t xml:space="preserve"> </w:t>
      </w:r>
      <w:proofErr w:type="spellStart"/>
      <w:r w:rsidRPr="008F014A">
        <w:rPr>
          <w:sz w:val="22"/>
        </w:rPr>
        <w:t>привредне</w:t>
      </w:r>
      <w:proofErr w:type="spellEnd"/>
      <w:r w:rsidRPr="008F014A">
        <w:rPr>
          <w:sz w:val="22"/>
        </w:rPr>
        <w:t xml:space="preserve"> </w:t>
      </w:r>
      <w:proofErr w:type="spellStart"/>
      <w:r w:rsidRPr="008F014A">
        <w:rPr>
          <w:sz w:val="22"/>
        </w:rPr>
        <w:t>активности</w:t>
      </w:r>
      <w:proofErr w:type="spellEnd"/>
      <w:r w:rsidRPr="008F014A">
        <w:rPr>
          <w:sz w:val="22"/>
        </w:rPr>
        <w:t xml:space="preserve"> </w:t>
      </w:r>
      <w:proofErr w:type="spellStart"/>
      <w:r w:rsidRPr="008F014A">
        <w:rPr>
          <w:sz w:val="22"/>
        </w:rPr>
        <w:t>од</w:t>
      </w:r>
      <w:proofErr w:type="spellEnd"/>
      <w:r w:rsidRPr="008F014A">
        <w:rPr>
          <w:sz w:val="22"/>
        </w:rPr>
        <w:t xml:space="preserve"> </w:t>
      </w:r>
      <w:proofErr w:type="spellStart"/>
      <w:r w:rsidRPr="008F014A">
        <w:rPr>
          <w:sz w:val="22"/>
        </w:rPr>
        <w:t>наредне</w:t>
      </w:r>
      <w:proofErr w:type="spellEnd"/>
      <w:r w:rsidRPr="008F014A">
        <w:rPr>
          <w:sz w:val="22"/>
        </w:rPr>
        <w:t xml:space="preserve"> </w:t>
      </w:r>
      <w:proofErr w:type="spellStart"/>
      <w:r w:rsidRPr="008F014A">
        <w:rPr>
          <w:sz w:val="22"/>
        </w:rPr>
        <w:t>године</w:t>
      </w:r>
      <w:proofErr w:type="spellEnd"/>
      <w:r w:rsidRPr="008F014A">
        <w:rPr>
          <w:sz w:val="22"/>
        </w:rPr>
        <w:t>.</w:t>
      </w:r>
      <w:r w:rsidR="00812A6B" w:rsidRPr="008F014A">
        <w:rPr>
          <w:sz w:val="22"/>
        </w:rPr>
        <w:t xml:space="preserve"> </w:t>
      </w:r>
      <w:r w:rsidR="00D028F1">
        <w:rPr>
          <w:sz w:val="22"/>
          <w:lang w:val="sr-Cyrl-RS"/>
        </w:rPr>
        <w:t xml:space="preserve"> Међутим, најновија дешавања у вези са </w:t>
      </w:r>
      <w:proofErr w:type="spellStart"/>
      <w:r w:rsidR="00D028F1">
        <w:rPr>
          <w:sz w:val="22"/>
          <w:lang w:val="sr-Cyrl-RS"/>
        </w:rPr>
        <w:t>пандемијом</w:t>
      </w:r>
      <w:proofErr w:type="spellEnd"/>
      <w:r w:rsidR="00D028F1">
        <w:rPr>
          <w:sz w:val="22"/>
          <w:lang w:val="sr-Cyrl-RS"/>
        </w:rPr>
        <w:t xml:space="preserve"> </w:t>
      </w:r>
      <w:r w:rsidR="00D028F1">
        <w:rPr>
          <w:sz w:val="22"/>
          <w:lang w:val="en-US"/>
        </w:rPr>
        <w:t>COVID-19</w:t>
      </w:r>
      <w:r w:rsidR="007404E3">
        <w:rPr>
          <w:sz w:val="22"/>
          <w:lang w:val="sr-Cyrl-RS"/>
        </w:rPr>
        <w:t xml:space="preserve">, односно, </w:t>
      </w:r>
      <w:r w:rsidR="00D028F1">
        <w:rPr>
          <w:sz w:val="22"/>
          <w:lang w:val="sr-Cyrl-RS"/>
        </w:rPr>
        <w:t xml:space="preserve">погоршање </w:t>
      </w:r>
      <w:proofErr w:type="spellStart"/>
      <w:r w:rsidR="00D028F1">
        <w:rPr>
          <w:sz w:val="22"/>
          <w:lang w:val="sr-Cyrl-RS"/>
        </w:rPr>
        <w:t>здрвствене</w:t>
      </w:r>
      <w:proofErr w:type="spellEnd"/>
      <w:r w:rsidR="00D028F1">
        <w:rPr>
          <w:sz w:val="22"/>
          <w:lang w:val="sr-Cyrl-RS"/>
        </w:rPr>
        <w:t xml:space="preserve"> ситуације на глобалном нивоу, доводе у питање степен реализације овог оптимистичког сценарија. </w:t>
      </w:r>
      <w:proofErr w:type="spellStart"/>
      <w:r w:rsidR="00812A6B" w:rsidRPr="008F014A">
        <w:rPr>
          <w:sz w:val="22"/>
        </w:rPr>
        <w:t>Подаци</w:t>
      </w:r>
      <w:proofErr w:type="spellEnd"/>
      <w:r w:rsidR="00812A6B" w:rsidRPr="008F014A">
        <w:rPr>
          <w:sz w:val="22"/>
        </w:rPr>
        <w:t xml:space="preserve"> </w:t>
      </w:r>
      <w:proofErr w:type="spellStart"/>
      <w:r w:rsidR="00812A6B" w:rsidRPr="008F014A">
        <w:rPr>
          <w:sz w:val="22"/>
        </w:rPr>
        <w:t>показују</w:t>
      </w:r>
      <w:proofErr w:type="spellEnd"/>
      <w:r w:rsidR="00812A6B" w:rsidRPr="008F014A">
        <w:rPr>
          <w:sz w:val="22"/>
        </w:rPr>
        <w:t xml:space="preserve"> </w:t>
      </w:r>
      <w:proofErr w:type="spellStart"/>
      <w:r w:rsidR="00812A6B" w:rsidRPr="008F014A">
        <w:rPr>
          <w:sz w:val="22"/>
        </w:rPr>
        <w:t>да</w:t>
      </w:r>
      <w:proofErr w:type="spellEnd"/>
      <w:r w:rsidR="00812A6B" w:rsidRPr="008F014A">
        <w:rPr>
          <w:sz w:val="22"/>
        </w:rPr>
        <w:t xml:space="preserve"> </w:t>
      </w:r>
      <w:proofErr w:type="spellStart"/>
      <w:r w:rsidR="00812A6B" w:rsidRPr="008F014A">
        <w:rPr>
          <w:sz w:val="22"/>
        </w:rPr>
        <w:t>земље</w:t>
      </w:r>
      <w:proofErr w:type="spellEnd"/>
      <w:r w:rsidR="00D028F1">
        <w:rPr>
          <w:sz w:val="22"/>
          <w:lang w:val="sr-Cyrl-RS"/>
        </w:rPr>
        <w:t>,</w:t>
      </w:r>
      <w:r w:rsidR="00812A6B" w:rsidRPr="008F014A">
        <w:rPr>
          <w:sz w:val="22"/>
        </w:rPr>
        <w:t xml:space="preserve"> </w:t>
      </w:r>
      <w:proofErr w:type="spellStart"/>
      <w:r w:rsidR="00812A6B" w:rsidRPr="008F014A">
        <w:rPr>
          <w:sz w:val="22"/>
        </w:rPr>
        <w:t>најзначајнији</w:t>
      </w:r>
      <w:proofErr w:type="spellEnd"/>
      <w:r w:rsidR="00812A6B" w:rsidRPr="008F014A">
        <w:rPr>
          <w:sz w:val="22"/>
        </w:rPr>
        <w:t xml:space="preserve"> </w:t>
      </w:r>
      <w:proofErr w:type="spellStart"/>
      <w:r w:rsidR="00812A6B" w:rsidRPr="008F014A">
        <w:rPr>
          <w:sz w:val="22"/>
        </w:rPr>
        <w:t>спољнотрговински</w:t>
      </w:r>
      <w:proofErr w:type="spellEnd"/>
      <w:r w:rsidR="00812A6B" w:rsidRPr="008F014A">
        <w:rPr>
          <w:sz w:val="22"/>
        </w:rPr>
        <w:t xml:space="preserve"> </w:t>
      </w:r>
      <w:proofErr w:type="spellStart"/>
      <w:r w:rsidR="00812A6B" w:rsidRPr="008F014A">
        <w:rPr>
          <w:sz w:val="22"/>
        </w:rPr>
        <w:t>партнери</w:t>
      </w:r>
      <w:proofErr w:type="spellEnd"/>
      <w:r w:rsidR="00812A6B" w:rsidRPr="008F014A">
        <w:rPr>
          <w:sz w:val="22"/>
        </w:rPr>
        <w:t xml:space="preserve"> Р</w:t>
      </w:r>
      <w:r w:rsidR="00B51290">
        <w:rPr>
          <w:sz w:val="22"/>
          <w:lang w:val="sr-Cyrl-RS"/>
        </w:rPr>
        <w:t>С</w:t>
      </w:r>
      <w:r w:rsidR="00812A6B" w:rsidRPr="008F014A">
        <w:rPr>
          <w:sz w:val="22"/>
        </w:rPr>
        <w:t xml:space="preserve">, у </w:t>
      </w:r>
      <w:proofErr w:type="spellStart"/>
      <w:r w:rsidR="00812A6B" w:rsidRPr="008F014A">
        <w:rPr>
          <w:sz w:val="22"/>
        </w:rPr>
        <w:t>првом</w:t>
      </w:r>
      <w:proofErr w:type="spellEnd"/>
      <w:r w:rsidR="00812A6B" w:rsidRPr="008F014A">
        <w:rPr>
          <w:sz w:val="22"/>
        </w:rPr>
        <w:t xml:space="preserve"> </w:t>
      </w:r>
      <w:proofErr w:type="spellStart"/>
      <w:r w:rsidR="007404E3">
        <w:rPr>
          <w:sz w:val="22"/>
          <w:lang w:val="sr-Cyrl-RS"/>
        </w:rPr>
        <w:t>пологудишту</w:t>
      </w:r>
      <w:proofErr w:type="spellEnd"/>
      <w:r w:rsidR="00812A6B" w:rsidRPr="008F014A">
        <w:rPr>
          <w:sz w:val="22"/>
        </w:rPr>
        <w:t xml:space="preserve"> 2020. </w:t>
      </w:r>
      <w:proofErr w:type="spellStart"/>
      <w:r w:rsidR="00812A6B" w:rsidRPr="008F014A">
        <w:rPr>
          <w:sz w:val="22"/>
        </w:rPr>
        <w:t>године</w:t>
      </w:r>
      <w:proofErr w:type="spellEnd"/>
      <w:r w:rsidR="00812A6B" w:rsidRPr="008F014A">
        <w:rPr>
          <w:sz w:val="22"/>
          <w:lang w:val="sr-Cyrl-RS"/>
        </w:rPr>
        <w:t xml:space="preserve"> и даље</w:t>
      </w:r>
      <w:r w:rsidR="00812A6B" w:rsidRPr="008F014A">
        <w:rPr>
          <w:sz w:val="22"/>
        </w:rPr>
        <w:t xml:space="preserve">, </w:t>
      </w:r>
      <w:proofErr w:type="spellStart"/>
      <w:r w:rsidR="00812A6B" w:rsidRPr="008F014A">
        <w:rPr>
          <w:sz w:val="22"/>
        </w:rPr>
        <w:t>углавном</w:t>
      </w:r>
      <w:proofErr w:type="spellEnd"/>
      <w:r w:rsidR="00812A6B" w:rsidRPr="008F014A">
        <w:rPr>
          <w:sz w:val="22"/>
        </w:rPr>
        <w:t xml:space="preserve"> </w:t>
      </w:r>
      <w:proofErr w:type="spellStart"/>
      <w:r w:rsidR="00812A6B" w:rsidRPr="008F014A">
        <w:rPr>
          <w:sz w:val="22"/>
        </w:rPr>
        <w:t>биљеже</w:t>
      </w:r>
      <w:proofErr w:type="spellEnd"/>
      <w:r w:rsidR="00812A6B" w:rsidRPr="008F014A">
        <w:rPr>
          <w:sz w:val="22"/>
        </w:rPr>
        <w:t xml:space="preserve"> </w:t>
      </w:r>
      <w:proofErr w:type="spellStart"/>
      <w:r w:rsidR="00812A6B" w:rsidRPr="008F014A">
        <w:rPr>
          <w:sz w:val="22"/>
        </w:rPr>
        <w:t>негативне</w:t>
      </w:r>
      <w:proofErr w:type="spellEnd"/>
      <w:r w:rsidR="00812A6B" w:rsidRPr="008F014A">
        <w:rPr>
          <w:sz w:val="22"/>
        </w:rPr>
        <w:t xml:space="preserve"> </w:t>
      </w:r>
      <w:proofErr w:type="spellStart"/>
      <w:r w:rsidR="00812A6B" w:rsidRPr="008F014A">
        <w:rPr>
          <w:sz w:val="22"/>
        </w:rPr>
        <w:t>стопе</w:t>
      </w:r>
      <w:proofErr w:type="spellEnd"/>
      <w:r w:rsidR="00812A6B" w:rsidRPr="008F014A">
        <w:rPr>
          <w:sz w:val="22"/>
        </w:rPr>
        <w:t xml:space="preserve"> </w:t>
      </w:r>
      <w:proofErr w:type="spellStart"/>
      <w:r w:rsidR="00812A6B" w:rsidRPr="008F014A">
        <w:rPr>
          <w:sz w:val="22"/>
        </w:rPr>
        <w:t>привредног</w:t>
      </w:r>
      <w:proofErr w:type="spellEnd"/>
      <w:r w:rsidR="00812A6B" w:rsidRPr="008F014A">
        <w:rPr>
          <w:sz w:val="22"/>
        </w:rPr>
        <w:t xml:space="preserve"> </w:t>
      </w:r>
      <w:proofErr w:type="spellStart"/>
      <w:r w:rsidR="00812A6B" w:rsidRPr="008F014A">
        <w:rPr>
          <w:sz w:val="22"/>
        </w:rPr>
        <w:t>раста</w:t>
      </w:r>
      <w:proofErr w:type="spellEnd"/>
      <w:r w:rsidR="00812A6B" w:rsidRPr="008F014A">
        <w:rPr>
          <w:sz w:val="22"/>
        </w:rPr>
        <w:t xml:space="preserve">, </w:t>
      </w:r>
      <w:proofErr w:type="spellStart"/>
      <w:r w:rsidR="00812A6B" w:rsidRPr="008F014A">
        <w:rPr>
          <w:sz w:val="22"/>
        </w:rPr>
        <w:t>што</w:t>
      </w:r>
      <w:proofErr w:type="spellEnd"/>
      <w:r w:rsidR="00812A6B" w:rsidRPr="008F014A">
        <w:rPr>
          <w:sz w:val="22"/>
        </w:rPr>
        <w:t xml:space="preserve"> </w:t>
      </w:r>
      <w:proofErr w:type="spellStart"/>
      <w:r w:rsidR="00812A6B" w:rsidRPr="008F014A">
        <w:rPr>
          <w:sz w:val="22"/>
        </w:rPr>
        <w:t>се</w:t>
      </w:r>
      <w:proofErr w:type="spellEnd"/>
      <w:r w:rsidR="00812A6B" w:rsidRPr="008F014A">
        <w:rPr>
          <w:sz w:val="22"/>
        </w:rPr>
        <w:t xml:space="preserve"> у </w:t>
      </w:r>
      <w:proofErr w:type="spellStart"/>
      <w:r w:rsidR="00812A6B" w:rsidRPr="008F014A">
        <w:rPr>
          <w:sz w:val="22"/>
        </w:rPr>
        <w:t>великој</w:t>
      </w:r>
      <w:proofErr w:type="spellEnd"/>
      <w:r w:rsidR="00812A6B" w:rsidRPr="008F014A">
        <w:rPr>
          <w:sz w:val="22"/>
        </w:rPr>
        <w:t xml:space="preserve"> </w:t>
      </w:r>
      <w:proofErr w:type="spellStart"/>
      <w:r w:rsidR="00812A6B" w:rsidRPr="008F014A">
        <w:rPr>
          <w:sz w:val="22"/>
        </w:rPr>
        <w:t>мјери</w:t>
      </w:r>
      <w:proofErr w:type="spellEnd"/>
      <w:r w:rsidR="00812A6B" w:rsidRPr="008F014A">
        <w:rPr>
          <w:sz w:val="22"/>
        </w:rPr>
        <w:t xml:space="preserve"> </w:t>
      </w:r>
      <w:proofErr w:type="spellStart"/>
      <w:r w:rsidR="00812A6B" w:rsidRPr="008F014A">
        <w:rPr>
          <w:sz w:val="22"/>
        </w:rPr>
        <w:t>одражава</w:t>
      </w:r>
      <w:proofErr w:type="spellEnd"/>
      <w:r w:rsidR="00812A6B" w:rsidRPr="008F014A">
        <w:rPr>
          <w:sz w:val="22"/>
        </w:rPr>
        <w:t xml:space="preserve"> </w:t>
      </w:r>
      <w:proofErr w:type="spellStart"/>
      <w:r w:rsidR="00812A6B" w:rsidRPr="008F014A">
        <w:rPr>
          <w:sz w:val="22"/>
        </w:rPr>
        <w:t>на</w:t>
      </w:r>
      <w:proofErr w:type="spellEnd"/>
      <w:r w:rsidR="00812A6B" w:rsidRPr="008F014A">
        <w:rPr>
          <w:sz w:val="22"/>
        </w:rPr>
        <w:t xml:space="preserve"> </w:t>
      </w:r>
      <w:proofErr w:type="spellStart"/>
      <w:r w:rsidR="00812A6B" w:rsidRPr="008F014A">
        <w:rPr>
          <w:sz w:val="22"/>
        </w:rPr>
        <w:t>економију</w:t>
      </w:r>
      <w:proofErr w:type="spellEnd"/>
      <w:r w:rsidR="00812A6B" w:rsidRPr="008F014A">
        <w:rPr>
          <w:sz w:val="22"/>
        </w:rPr>
        <w:t xml:space="preserve"> </w:t>
      </w:r>
      <w:proofErr w:type="spellStart"/>
      <w:r w:rsidR="00812A6B" w:rsidRPr="008F014A">
        <w:rPr>
          <w:sz w:val="22"/>
        </w:rPr>
        <w:t>Републике</w:t>
      </w:r>
      <w:proofErr w:type="spellEnd"/>
      <w:r w:rsidR="00812A6B" w:rsidRPr="008F014A">
        <w:rPr>
          <w:sz w:val="22"/>
        </w:rPr>
        <w:t xml:space="preserve"> </w:t>
      </w:r>
      <w:proofErr w:type="spellStart"/>
      <w:r w:rsidR="00812A6B" w:rsidRPr="008F014A">
        <w:rPr>
          <w:sz w:val="22"/>
        </w:rPr>
        <w:t>Српск</w:t>
      </w:r>
      <w:r w:rsidR="00D028F1">
        <w:rPr>
          <w:sz w:val="22"/>
        </w:rPr>
        <w:t>е</w:t>
      </w:r>
      <w:proofErr w:type="spellEnd"/>
      <w:r w:rsidR="00D028F1">
        <w:rPr>
          <w:sz w:val="22"/>
        </w:rPr>
        <w:t>.</w:t>
      </w:r>
    </w:p>
    <w:p w14:paraId="46DD4223" w14:textId="77777777" w:rsidR="00812A6B" w:rsidRPr="008F014A" w:rsidRDefault="00812A6B" w:rsidP="00846C4E">
      <w:pPr>
        <w:spacing w:line="276" w:lineRule="auto"/>
        <w:jc w:val="both"/>
        <w:rPr>
          <w:sz w:val="22"/>
        </w:rPr>
      </w:pPr>
    </w:p>
    <w:p w14:paraId="313F1F11" w14:textId="77777777" w:rsidR="00846C4E" w:rsidRPr="008F014A" w:rsidRDefault="00DD62E6" w:rsidP="00846C4E">
      <w:pPr>
        <w:spacing w:line="276" w:lineRule="auto"/>
        <w:ind w:firstLine="708"/>
        <w:jc w:val="both"/>
        <w:rPr>
          <w:sz w:val="22"/>
          <w:lang w:val="sr-Cyrl-RS"/>
        </w:rPr>
      </w:pPr>
      <w:r w:rsidRPr="008F014A">
        <w:rPr>
          <w:sz w:val="22"/>
          <w:lang w:val="sr-Cyrl-RS"/>
        </w:rPr>
        <w:t xml:space="preserve">Након </w:t>
      </w:r>
      <w:proofErr w:type="spellStart"/>
      <w:r w:rsidRPr="008F014A">
        <w:rPr>
          <w:sz w:val="22"/>
        </w:rPr>
        <w:t>појаве</w:t>
      </w:r>
      <w:proofErr w:type="spellEnd"/>
      <w:r w:rsidR="00812A6B" w:rsidRPr="008F014A">
        <w:rPr>
          <w:sz w:val="22"/>
        </w:rPr>
        <w:t xml:space="preserve"> </w:t>
      </w:r>
      <w:proofErr w:type="spellStart"/>
      <w:r w:rsidR="00812A6B" w:rsidRPr="008F014A">
        <w:rPr>
          <w:sz w:val="22"/>
        </w:rPr>
        <w:t>корона</w:t>
      </w:r>
      <w:proofErr w:type="spellEnd"/>
      <w:r w:rsidR="00812A6B" w:rsidRPr="008F014A">
        <w:rPr>
          <w:sz w:val="22"/>
        </w:rPr>
        <w:t xml:space="preserve"> </w:t>
      </w:r>
      <w:proofErr w:type="spellStart"/>
      <w:r w:rsidR="00812A6B" w:rsidRPr="008F014A">
        <w:rPr>
          <w:sz w:val="22"/>
        </w:rPr>
        <w:t>вируса</w:t>
      </w:r>
      <w:proofErr w:type="spellEnd"/>
      <w:r w:rsidR="00812A6B" w:rsidRPr="008F014A">
        <w:rPr>
          <w:sz w:val="22"/>
        </w:rPr>
        <w:t>,</w:t>
      </w:r>
      <w:r w:rsidR="00BC7573" w:rsidRPr="008F014A">
        <w:rPr>
          <w:sz w:val="22"/>
        </w:rPr>
        <w:t xml:space="preserve"> </w:t>
      </w:r>
      <w:proofErr w:type="spellStart"/>
      <w:r w:rsidR="00BC7573" w:rsidRPr="008F014A">
        <w:rPr>
          <w:sz w:val="22"/>
        </w:rPr>
        <w:t>Влада</w:t>
      </w:r>
      <w:proofErr w:type="spellEnd"/>
      <w:r w:rsidR="00812A6B" w:rsidRPr="008F014A">
        <w:rPr>
          <w:sz w:val="22"/>
          <w:lang w:val="sr-Cyrl-RS"/>
        </w:rPr>
        <w:t xml:space="preserve"> РС </w:t>
      </w:r>
      <w:r w:rsidR="00BC7573" w:rsidRPr="008F014A">
        <w:rPr>
          <w:sz w:val="22"/>
        </w:rPr>
        <w:t xml:space="preserve"> </w:t>
      </w:r>
      <w:proofErr w:type="spellStart"/>
      <w:r w:rsidR="00BC7573" w:rsidRPr="008F014A">
        <w:rPr>
          <w:sz w:val="22"/>
        </w:rPr>
        <w:t>је</w:t>
      </w:r>
      <w:proofErr w:type="spellEnd"/>
      <w:r w:rsidR="00BC7573" w:rsidRPr="008F014A">
        <w:rPr>
          <w:sz w:val="22"/>
        </w:rPr>
        <w:t xml:space="preserve"> </w:t>
      </w:r>
      <w:proofErr w:type="spellStart"/>
      <w:r w:rsidR="00BC7573" w:rsidRPr="008F014A">
        <w:rPr>
          <w:sz w:val="22"/>
        </w:rPr>
        <w:t>спровела</w:t>
      </w:r>
      <w:proofErr w:type="spellEnd"/>
      <w:r w:rsidR="00BC7573" w:rsidRPr="008F014A">
        <w:rPr>
          <w:sz w:val="22"/>
        </w:rPr>
        <w:t xml:space="preserve"> </w:t>
      </w:r>
      <w:proofErr w:type="spellStart"/>
      <w:r w:rsidR="00BC7573" w:rsidRPr="008F014A">
        <w:rPr>
          <w:sz w:val="22"/>
        </w:rPr>
        <w:t>рестриктивне</w:t>
      </w:r>
      <w:proofErr w:type="spellEnd"/>
      <w:r w:rsidR="00BC7573" w:rsidRPr="008F014A">
        <w:rPr>
          <w:sz w:val="22"/>
        </w:rPr>
        <w:t xml:space="preserve"> </w:t>
      </w:r>
      <w:proofErr w:type="spellStart"/>
      <w:r w:rsidR="00BC7573" w:rsidRPr="008F014A">
        <w:rPr>
          <w:sz w:val="22"/>
        </w:rPr>
        <w:t>мјере</w:t>
      </w:r>
      <w:proofErr w:type="spellEnd"/>
      <w:r w:rsidR="00BC7573" w:rsidRPr="008F014A">
        <w:rPr>
          <w:sz w:val="22"/>
        </w:rPr>
        <w:t xml:space="preserve"> </w:t>
      </w:r>
      <w:proofErr w:type="spellStart"/>
      <w:r w:rsidR="00BC7573" w:rsidRPr="008F014A">
        <w:rPr>
          <w:sz w:val="22"/>
        </w:rPr>
        <w:t>ради</w:t>
      </w:r>
      <w:proofErr w:type="spellEnd"/>
      <w:r w:rsidR="00BC7573" w:rsidRPr="008F014A">
        <w:rPr>
          <w:sz w:val="22"/>
        </w:rPr>
        <w:t xml:space="preserve"> </w:t>
      </w:r>
      <w:proofErr w:type="spellStart"/>
      <w:r w:rsidR="00BC7573" w:rsidRPr="008F014A">
        <w:rPr>
          <w:sz w:val="22"/>
        </w:rPr>
        <w:t>очувања</w:t>
      </w:r>
      <w:proofErr w:type="spellEnd"/>
      <w:r w:rsidR="00BC7573" w:rsidRPr="008F014A">
        <w:rPr>
          <w:sz w:val="22"/>
        </w:rPr>
        <w:t xml:space="preserve"> </w:t>
      </w:r>
      <w:proofErr w:type="spellStart"/>
      <w:r w:rsidR="00BC7573" w:rsidRPr="008F014A">
        <w:rPr>
          <w:sz w:val="22"/>
        </w:rPr>
        <w:t>здравља</w:t>
      </w:r>
      <w:proofErr w:type="spellEnd"/>
      <w:r w:rsidR="00BC7573" w:rsidRPr="008F014A">
        <w:rPr>
          <w:sz w:val="22"/>
        </w:rPr>
        <w:t xml:space="preserve"> </w:t>
      </w:r>
      <w:proofErr w:type="spellStart"/>
      <w:r w:rsidR="00BC7573" w:rsidRPr="008F014A">
        <w:rPr>
          <w:sz w:val="22"/>
        </w:rPr>
        <w:t>становништва</w:t>
      </w:r>
      <w:proofErr w:type="spellEnd"/>
      <w:r w:rsidR="00BC7573" w:rsidRPr="008F014A">
        <w:rPr>
          <w:sz w:val="22"/>
        </w:rPr>
        <w:t xml:space="preserve"> и </w:t>
      </w:r>
      <w:proofErr w:type="spellStart"/>
      <w:r w:rsidR="00BC7573" w:rsidRPr="008F014A">
        <w:rPr>
          <w:sz w:val="22"/>
        </w:rPr>
        <w:t>здравственог</w:t>
      </w:r>
      <w:proofErr w:type="spellEnd"/>
      <w:r w:rsidR="00BC7573" w:rsidRPr="008F014A">
        <w:rPr>
          <w:sz w:val="22"/>
        </w:rPr>
        <w:t xml:space="preserve"> </w:t>
      </w:r>
      <w:proofErr w:type="spellStart"/>
      <w:r w:rsidR="00BC7573" w:rsidRPr="008F014A">
        <w:rPr>
          <w:sz w:val="22"/>
        </w:rPr>
        <w:t>система</w:t>
      </w:r>
      <w:proofErr w:type="spellEnd"/>
      <w:r w:rsidR="00BC7573" w:rsidRPr="008F014A">
        <w:rPr>
          <w:sz w:val="22"/>
        </w:rPr>
        <w:t xml:space="preserve"> (</w:t>
      </w:r>
      <w:proofErr w:type="spellStart"/>
      <w:r w:rsidR="00BC7573" w:rsidRPr="008F014A">
        <w:rPr>
          <w:sz w:val="22"/>
        </w:rPr>
        <w:t>затварања</w:t>
      </w:r>
      <w:proofErr w:type="spellEnd"/>
      <w:r w:rsidR="00BC7573" w:rsidRPr="008F014A">
        <w:rPr>
          <w:sz w:val="22"/>
        </w:rPr>
        <w:t xml:space="preserve"> </w:t>
      </w:r>
      <w:proofErr w:type="spellStart"/>
      <w:r w:rsidR="00BC7573" w:rsidRPr="008F014A">
        <w:rPr>
          <w:sz w:val="22"/>
        </w:rPr>
        <w:t>привредних</w:t>
      </w:r>
      <w:proofErr w:type="spellEnd"/>
      <w:r w:rsidR="00BC7573" w:rsidRPr="008F014A">
        <w:rPr>
          <w:sz w:val="22"/>
        </w:rPr>
        <w:t xml:space="preserve"> </w:t>
      </w:r>
      <w:proofErr w:type="spellStart"/>
      <w:r w:rsidR="00BC7573" w:rsidRPr="008F014A">
        <w:rPr>
          <w:sz w:val="22"/>
        </w:rPr>
        <w:t>субјеката</w:t>
      </w:r>
      <w:proofErr w:type="spellEnd"/>
      <w:r w:rsidR="00BC7573" w:rsidRPr="008F014A">
        <w:rPr>
          <w:sz w:val="22"/>
        </w:rPr>
        <w:t xml:space="preserve">, </w:t>
      </w:r>
      <w:proofErr w:type="spellStart"/>
      <w:r w:rsidR="00BC7573" w:rsidRPr="008F014A">
        <w:rPr>
          <w:sz w:val="22"/>
        </w:rPr>
        <w:t>обустављања</w:t>
      </w:r>
      <w:proofErr w:type="spellEnd"/>
      <w:r w:rsidR="00BC7573" w:rsidRPr="008F014A">
        <w:rPr>
          <w:sz w:val="22"/>
        </w:rPr>
        <w:t xml:space="preserve"> </w:t>
      </w:r>
      <w:proofErr w:type="spellStart"/>
      <w:r w:rsidR="00BC7573" w:rsidRPr="008F014A">
        <w:rPr>
          <w:sz w:val="22"/>
        </w:rPr>
        <w:t>комерцијалног</w:t>
      </w:r>
      <w:proofErr w:type="spellEnd"/>
      <w:r w:rsidR="00BC7573" w:rsidRPr="008F014A">
        <w:rPr>
          <w:sz w:val="22"/>
        </w:rPr>
        <w:t xml:space="preserve"> </w:t>
      </w:r>
      <w:proofErr w:type="spellStart"/>
      <w:r w:rsidR="00BC7573" w:rsidRPr="008F014A">
        <w:rPr>
          <w:sz w:val="22"/>
        </w:rPr>
        <w:t>саобраћаја</w:t>
      </w:r>
      <w:proofErr w:type="spellEnd"/>
      <w:r w:rsidR="00BC7573" w:rsidRPr="008F014A">
        <w:rPr>
          <w:sz w:val="22"/>
        </w:rPr>
        <w:t xml:space="preserve">, </w:t>
      </w:r>
      <w:proofErr w:type="spellStart"/>
      <w:r w:rsidR="00BC7573" w:rsidRPr="008F014A">
        <w:rPr>
          <w:sz w:val="22"/>
        </w:rPr>
        <w:t>забране</w:t>
      </w:r>
      <w:proofErr w:type="spellEnd"/>
      <w:r w:rsidR="00BC7573" w:rsidRPr="008F014A">
        <w:rPr>
          <w:sz w:val="22"/>
        </w:rPr>
        <w:t xml:space="preserve"> </w:t>
      </w:r>
      <w:proofErr w:type="spellStart"/>
      <w:r w:rsidR="00BC7573" w:rsidRPr="008F014A">
        <w:rPr>
          <w:sz w:val="22"/>
        </w:rPr>
        <w:t>јавног</w:t>
      </w:r>
      <w:proofErr w:type="spellEnd"/>
      <w:r w:rsidR="00BC7573" w:rsidRPr="008F014A">
        <w:rPr>
          <w:sz w:val="22"/>
        </w:rPr>
        <w:t xml:space="preserve"> </w:t>
      </w:r>
      <w:proofErr w:type="spellStart"/>
      <w:r w:rsidR="00BC7573" w:rsidRPr="008F014A">
        <w:rPr>
          <w:sz w:val="22"/>
        </w:rPr>
        <w:t>окупљања</w:t>
      </w:r>
      <w:proofErr w:type="spellEnd"/>
      <w:r w:rsidRPr="008F014A">
        <w:rPr>
          <w:sz w:val="22"/>
          <w:lang w:val="sr-Cyrl-RS"/>
        </w:rPr>
        <w:t xml:space="preserve"> и сл.</w:t>
      </w:r>
      <w:r w:rsidR="00BC7573" w:rsidRPr="008F014A">
        <w:rPr>
          <w:sz w:val="22"/>
        </w:rPr>
        <w:t xml:space="preserve">), </w:t>
      </w:r>
      <w:proofErr w:type="spellStart"/>
      <w:r w:rsidR="00BC7573" w:rsidRPr="008F014A">
        <w:rPr>
          <w:sz w:val="22"/>
        </w:rPr>
        <w:t>те</w:t>
      </w:r>
      <w:proofErr w:type="spellEnd"/>
      <w:r w:rsidR="00BC7573" w:rsidRPr="008F014A">
        <w:rPr>
          <w:sz w:val="22"/>
        </w:rPr>
        <w:t xml:space="preserve"> </w:t>
      </w:r>
      <w:proofErr w:type="spellStart"/>
      <w:r w:rsidR="00BC7573" w:rsidRPr="008F014A">
        <w:rPr>
          <w:sz w:val="22"/>
        </w:rPr>
        <w:t>истовремено</w:t>
      </w:r>
      <w:proofErr w:type="spellEnd"/>
      <w:r w:rsidR="00BC7573" w:rsidRPr="008F014A">
        <w:rPr>
          <w:sz w:val="22"/>
        </w:rPr>
        <w:t xml:space="preserve"> </w:t>
      </w:r>
      <w:proofErr w:type="spellStart"/>
      <w:r w:rsidR="00BC7573" w:rsidRPr="008F014A">
        <w:rPr>
          <w:sz w:val="22"/>
        </w:rPr>
        <w:t>припремила</w:t>
      </w:r>
      <w:proofErr w:type="spellEnd"/>
      <w:r w:rsidR="00BC7573" w:rsidRPr="008F014A">
        <w:rPr>
          <w:sz w:val="22"/>
        </w:rPr>
        <w:t xml:space="preserve"> </w:t>
      </w:r>
      <w:proofErr w:type="spellStart"/>
      <w:r w:rsidR="00BC7573" w:rsidRPr="008F014A">
        <w:rPr>
          <w:sz w:val="22"/>
        </w:rPr>
        <w:t>економске</w:t>
      </w:r>
      <w:proofErr w:type="spellEnd"/>
      <w:r w:rsidR="00BC7573" w:rsidRPr="008F014A">
        <w:rPr>
          <w:sz w:val="22"/>
        </w:rPr>
        <w:t xml:space="preserve"> </w:t>
      </w:r>
      <w:proofErr w:type="spellStart"/>
      <w:r w:rsidR="00BC7573" w:rsidRPr="008F014A">
        <w:rPr>
          <w:sz w:val="22"/>
        </w:rPr>
        <w:t>мјере</w:t>
      </w:r>
      <w:proofErr w:type="spellEnd"/>
      <w:r w:rsidR="00BC7573" w:rsidRPr="008F014A">
        <w:rPr>
          <w:sz w:val="22"/>
        </w:rPr>
        <w:t xml:space="preserve"> </w:t>
      </w:r>
      <w:proofErr w:type="spellStart"/>
      <w:r w:rsidR="00BC7573" w:rsidRPr="008F014A">
        <w:rPr>
          <w:sz w:val="22"/>
        </w:rPr>
        <w:t>за</w:t>
      </w:r>
      <w:proofErr w:type="spellEnd"/>
      <w:r w:rsidR="00BC7573" w:rsidRPr="008F014A">
        <w:rPr>
          <w:sz w:val="22"/>
        </w:rPr>
        <w:t xml:space="preserve"> </w:t>
      </w:r>
      <w:proofErr w:type="spellStart"/>
      <w:r w:rsidR="00BC7573" w:rsidRPr="008F014A">
        <w:rPr>
          <w:sz w:val="22"/>
        </w:rPr>
        <w:t>ублажавање</w:t>
      </w:r>
      <w:proofErr w:type="spellEnd"/>
      <w:r w:rsidR="00BC7573" w:rsidRPr="008F014A">
        <w:rPr>
          <w:sz w:val="22"/>
        </w:rPr>
        <w:t xml:space="preserve"> </w:t>
      </w:r>
      <w:proofErr w:type="spellStart"/>
      <w:r w:rsidR="00BC7573" w:rsidRPr="008F014A">
        <w:rPr>
          <w:sz w:val="22"/>
        </w:rPr>
        <w:t>негативних</w:t>
      </w:r>
      <w:proofErr w:type="spellEnd"/>
      <w:r w:rsidR="00BC7573" w:rsidRPr="008F014A">
        <w:rPr>
          <w:sz w:val="22"/>
        </w:rPr>
        <w:t xml:space="preserve"> </w:t>
      </w:r>
      <w:proofErr w:type="spellStart"/>
      <w:r w:rsidR="00BC7573" w:rsidRPr="008F014A">
        <w:rPr>
          <w:sz w:val="22"/>
        </w:rPr>
        <w:t>ефеката</w:t>
      </w:r>
      <w:proofErr w:type="spellEnd"/>
      <w:r w:rsidR="00BC7573" w:rsidRPr="008F014A">
        <w:rPr>
          <w:sz w:val="22"/>
        </w:rPr>
        <w:t xml:space="preserve"> </w:t>
      </w:r>
      <w:r w:rsidR="00114B7F">
        <w:rPr>
          <w:sz w:val="22"/>
          <w:lang w:val="sr-Cyrl-RS"/>
        </w:rPr>
        <w:t xml:space="preserve">предузетих </w:t>
      </w:r>
      <w:proofErr w:type="spellStart"/>
      <w:r w:rsidR="00BC7573" w:rsidRPr="008F014A">
        <w:rPr>
          <w:sz w:val="22"/>
        </w:rPr>
        <w:t>мјера</w:t>
      </w:r>
      <w:proofErr w:type="spellEnd"/>
      <w:r w:rsidR="00BC7573" w:rsidRPr="008F014A">
        <w:rPr>
          <w:sz w:val="22"/>
        </w:rPr>
        <w:t xml:space="preserve">. </w:t>
      </w:r>
      <w:r w:rsidR="00114B7F">
        <w:rPr>
          <w:sz w:val="22"/>
          <w:lang w:val="sr-Cyrl-RS"/>
        </w:rPr>
        <w:t>Након првог квартала 2020. године,  смањења је</w:t>
      </w:r>
      <w:r w:rsidR="00BC7573" w:rsidRPr="008F014A">
        <w:rPr>
          <w:sz w:val="22"/>
          <w:lang w:val="sr-Cyrl-RS"/>
        </w:rPr>
        <w:t xml:space="preserve"> до</w:t>
      </w:r>
      <w:r w:rsidRPr="008F014A">
        <w:rPr>
          <w:sz w:val="22"/>
          <w:lang w:val="sr-Cyrl-RS"/>
        </w:rPr>
        <w:t>маће тражње, те отежано пословање</w:t>
      </w:r>
      <w:r w:rsidR="00A1554B" w:rsidRPr="008F014A">
        <w:rPr>
          <w:sz w:val="22"/>
          <w:lang w:val="sr-Cyrl-RS"/>
        </w:rPr>
        <w:t>, највише</w:t>
      </w:r>
      <w:r w:rsidR="003A6214" w:rsidRPr="008F014A">
        <w:rPr>
          <w:sz w:val="22"/>
          <w:lang w:val="sr-Cyrl-RS"/>
        </w:rPr>
        <w:t xml:space="preserve"> у трговини на велико и мало, туризму и угоститељству,</w:t>
      </w:r>
      <w:r w:rsidRPr="008F014A">
        <w:rPr>
          <w:sz w:val="22"/>
          <w:lang w:val="sr-Cyrl-RS"/>
        </w:rPr>
        <w:t xml:space="preserve"> саобраћају,</w:t>
      </w:r>
      <w:r w:rsidR="00A1554B" w:rsidRPr="008F014A">
        <w:rPr>
          <w:sz w:val="22"/>
          <w:lang w:val="sr-Cyrl-RS"/>
        </w:rPr>
        <w:t xml:space="preserve"> а нешто мање у</w:t>
      </w:r>
      <w:r w:rsidR="003A6214" w:rsidRPr="008F014A">
        <w:rPr>
          <w:sz w:val="22"/>
          <w:lang w:val="sr-Cyrl-RS"/>
        </w:rPr>
        <w:t xml:space="preserve"> </w:t>
      </w:r>
      <w:r w:rsidR="00BC7573" w:rsidRPr="008F014A">
        <w:rPr>
          <w:sz w:val="22"/>
          <w:lang w:val="sr-Cyrl-RS"/>
        </w:rPr>
        <w:t xml:space="preserve">индустријској производњи, грађевинарству, </w:t>
      </w:r>
      <w:r w:rsidRPr="008F014A">
        <w:rPr>
          <w:sz w:val="22"/>
          <w:lang w:val="sr-Cyrl-RS"/>
        </w:rPr>
        <w:t xml:space="preserve">те </w:t>
      </w:r>
      <w:r w:rsidR="00BC7573" w:rsidRPr="008F014A">
        <w:rPr>
          <w:sz w:val="22"/>
          <w:lang w:val="sr-Cyrl-RS"/>
        </w:rPr>
        <w:t xml:space="preserve">осталим услужним </w:t>
      </w:r>
      <w:proofErr w:type="spellStart"/>
      <w:r w:rsidR="00BC7573" w:rsidRPr="008F014A">
        <w:rPr>
          <w:sz w:val="22"/>
          <w:lang w:val="sr-Cyrl-RS"/>
        </w:rPr>
        <w:t>дјел</w:t>
      </w:r>
      <w:r w:rsidR="00D97E5C">
        <w:rPr>
          <w:sz w:val="22"/>
          <w:lang w:val="sr-Cyrl-RS"/>
        </w:rPr>
        <w:t>а</w:t>
      </w:r>
      <w:r w:rsidR="00BC7573" w:rsidRPr="008F014A">
        <w:rPr>
          <w:sz w:val="22"/>
          <w:lang w:val="sr-Cyrl-RS"/>
        </w:rPr>
        <w:t>тностима</w:t>
      </w:r>
      <w:proofErr w:type="spellEnd"/>
      <w:r w:rsidR="00BC7573" w:rsidRPr="008F014A">
        <w:rPr>
          <w:sz w:val="22"/>
          <w:lang w:val="sr-Cyrl-RS"/>
        </w:rPr>
        <w:t xml:space="preserve">. </w:t>
      </w:r>
      <w:r w:rsidR="0030626C">
        <w:rPr>
          <w:sz w:val="22"/>
          <w:lang w:val="sr-Cyrl-RS"/>
        </w:rPr>
        <w:t xml:space="preserve">Након благог опоравка, нови талас </w:t>
      </w:r>
      <w:proofErr w:type="spellStart"/>
      <w:r w:rsidR="0030626C">
        <w:rPr>
          <w:sz w:val="22"/>
          <w:lang w:val="sr-Cyrl-RS"/>
        </w:rPr>
        <w:t>пандемије</w:t>
      </w:r>
      <w:proofErr w:type="spellEnd"/>
      <w:r w:rsidR="0030626C">
        <w:rPr>
          <w:sz w:val="22"/>
          <w:lang w:val="sr-Cyrl-RS"/>
        </w:rPr>
        <w:t xml:space="preserve"> од септембра ове годи</w:t>
      </w:r>
      <w:r w:rsidR="00114B7F">
        <w:rPr>
          <w:sz w:val="22"/>
          <w:lang w:val="sr-Cyrl-RS"/>
        </w:rPr>
        <w:t xml:space="preserve">не, поново привредне </w:t>
      </w:r>
      <w:proofErr w:type="spellStart"/>
      <w:r w:rsidR="00114B7F">
        <w:rPr>
          <w:sz w:val="22"/>
          <w:lang w:val="sr-Cyrl-RS"/>
        </w:rPr>
        <w:t>дјелатности</w:t>
      </w:r>
      <w:proofErr w:type="spellEnd"/>
      <w:r w:rsidR="0030626C">
        <w:rPr>
          <w:sz w:val="22"/>
          <w:lang w:val="sr-Cyrl-RS"/>
        </w:rPr>
        <w:t xml:space="preserve"> доводи у изузетно тежак положај. У вези са тим, биће потребно мобилисати финансијска средстава и пружити и друге облике помоћи, како са локалног тако и са републичког </w:t>
      </w:r>
      <w:proofErr w:type="spellStart"/>
      <w:r w:rsidR="0030626C">
        <w:rPr>
          <w:sz w:val="22"/>
          <w:lang w:val="sr-Cyrl-RS"/>
        </w:rPr>
        <w:t>нивао</w:t>
      </w:r>
      <w:proofErr w:type="spellEnd"/>
      <w:r w:rsidR="0030626C">
        <w:rPr>
          <w:sz w:val="22"/>
          <w:lang w:val="sr-Cyrl-RS"/>
        </w:rPr>
        <w:t xml:space="preserve">. </w:t>
      </w:r>
      <w:r w:rsidR="00BC7573" w:rsidRPr="008F014A">
        <w:rPr>
          <w:sz w:val="22"/>
          <w:lang w:val="sr-Cyrl-RS"/>
        </w:rPr>
        <w:t xml:space="preserve">С друге стране, очекује се раст, </w:t>
      </w:r>
      <w:r w:rsidR="00266B4F" w:rsidRPr="008F014A">
        <w:rPr>
          <w:sz w:val="22"/>
          <w:lang w:val="sr-Cyrl-RS"/>
        </w:rPr>
        <w:t xml:space="preserve">због </w:t>
      </w:r>
      <w:r w:rsidR="00BC7573" w:rsidRPr="008F014A">
        <w:rPr>
          <w:sz w:val="22"/>
          <w:lang w:val="sr-Cyrl-RS"/>
        </w:rPr>
        <w:t xml:space="preserve">већих улагања, у </w:t>
      </w:r>
      <w:proofErr w:type="spellStart"/>
      <w:r w:rsidR="00BC7573" w:rsidRPr="008F014A">
        <w:rPr>
          <w:sz w:val="22"/>
          <w:lang w:val="sr-Cyrl-RS"/>
        </w:rPr>
        <w:t>дјелатностима</w:t>
      </w:r>
      <w:proofErr w:type="spellEnd"/>
      <w:r w:rsidR="00BC7573" w:rsidRPr="008F014A">
        <w:rPr>
          <w:sz w:val="22"/>
          <w:lang w:val="sr-Cyrl-RS"/>
        </w:rPr>
        <w:t xml:space="preserve">: јавној управи, </w:t>
      </w:r>
      <w:proofErr w:type="spellStart"/>
      <w:r w:rsidR="00BC7573" w:rsidRPr="008F014A">
        <w:rPr>
          <w:sz w:val="22"/>
        </w:rPr>
        <w:t>обавезно</w:t>
      </w:r>
      <w:proofErr w:type="spellEnd"/>
      <w:r w:rsidR="00BC7573" w:rsidRPr="008F014A">
        <w:rPr>
          <w:sz w:val="22"/>
          <w:lang w:val="sr-Cyrl-RS"/>
        </w:rPr>
        <w:t>м</w:t>
      </w:r>
      <w:r w:rsidR="00BC7573" w:rsidRPr="008F014A">
        <w:rPr>
          <w:sz w:val="22"/>
        </w:rPr>
        <w:t xml:space="preserve"> </w:t>
      </w:r>
      <w:proofErr w:type="spellStart"/>
      <w:r w:rsidR="00BC7573" w:rsidRPr="008F014A">
        <w:rPr>
          <w:sz w:val="22"/>
        </w:rPr>
        <w:t>социјално</w:t>
      </w:r>
      <w:proofErr w:type="spellEnd"/>
      <w:r w:rsidR="00BC7573" w:rsidRPr="008F014A">
        <w:rPr>
          <w:sz w:val="22"/>
          <w:lang w:val="sr-Cyrl-RS"/>
        </w:rPr>
        <w:t>м</w:t>
      </w:r>
      <w:r w:rsidR="00BC7573" w:rsidRPr="008F014A">
        <w:rPr>
          <w:sz w:val="22"/>
        </w:rPr>
        <w:t xml:space="preserve"> </w:t>
      </w:r>
      <w:proofErr w:type="spellStart"/>
      <w:r w:rsidR="00BC7573" w:rsidRPr="008F014A">
        <w:rPr>
          <w:sz w:val="22"/>
        </w:rPr>
        <w:t>осигурању</w:t>
      </w:r>
      <w:proofErr w:type="spellEnd"/>
      <w:r w:rsidR="00BC7573" w:rsidRPr="008F014A">
        <w:rPr>
          <w:sz w:val="22"/>
        </w:rPr>
        <w:t xml:space="preserve">, </w:t>
      </w:r>
      <w:proofErr w:type="spellStart"/>
      <w:r w:rsidR="00BC7573" w:rsidRPr="008F014A">
        <w:rPr>
          <w:sz w:val="22"/>
        </w:rPr>
        <w:t>образовању</w:t>
      </w:r>
      <w:proofErr w:type="spellEnd"/>
      <w:r w:rsidR="00BC7573" w:rsidRPr="008F014A">
        <w:rPr>
          <w:sz w:val="22"/>
        </w:rPr>
        <w:t xml:space="preserve">, </w:t>
      </w:r>
      <w:proofErr w:type="spellStart"/>
      <w:r w:rsidR="00BC7573" w:rsidRPr="008F014A">
        <w:rPr>
          <w:sz w:val="22"/>
        </w:rPr>
        <w:t>дјелатности</w:t>
      </w:r>
      <w:proofErr w:type="spellEnd"/>
      <w:r w:rsidR="00BC7573" w:rsidRPr="008F014A">
        <w:rPr>
          <w:sz w:val="22"/>
          <w:lang w:val="sr-Cyrl-RS"/>
        </w:rPr>
        <w:t>ма</w:t>
      </w:r>
      <w:r w:rsidR="00BC7573" w:rsidRPr="008F014A">
        <w:rPr>
          <w:sz w:val="22"/>
        </w:rPr>
        <w:t xml:space="preserve"> </w:t>
      </w:r>
      <w:proofErr w:type="spellStart"/>
      <w:r w:rsidR="00BC7573" w:rsidRPr="008F014A">
        <w:rPr>
          <w:sz w:val="22"/>
        </w:rPr>
        <w:t>здравствене</w:t>
      </w:r>
      <w:proofErr w:type="spellEnd"/>
      <w:r w:rsidR="00BC7573" w:rsidRPr="008F014A">
        <w:rPr>
          <w:sz w:val="22"/>
        </w:rPr>
        <w:t xml:space="preserve"> </w:t>
      </w:r>
      <w:proofErr w:type="spellStart"/>
      <w:r w:rsidR="00BC7573" w:rsidRPr="008F014A">
        <w:rPr>
          <w:sz w:val="22"/>
        </w:rPr>
        <w:t>заштите</w:t>
      </w:r>
      <w:proofErr w:type="spellEnd"/>
      <w:r w:rsidR="00BC7573" w:rsidRPr="008F014A">
        <w:rPr>
          <w:sz w:val="22"/>
        </w:rPr>
        <w:t xml:space="preserve"> и </w:t>
      </w:r>
      <w:proofErr w:type="spellStart"/>
      <w:r w:rsidR="00BC7573" w:rsidRPr="008F014A">
        <w:rPr>
          <w:sz w:val="22"/>
        </w:rPr>
        <w:t>социјалног</w:t>
      </w:r>
      <w:proofErr w:type="spellEnd"/>
      <w:r w:rsidR="00BC7573" w:rsidRPr="008F014A">
        <w:rPr>
          <w:sz w:val="22"/>
        </w:rPr>
        <w:t xml:space="preserve"> </w:t>
      </w:r>
      <w:proofErr w:type="spellStart"/>
      <w:r w:rsidR="00BC7573" w:rsidRPr="008F014A">
        <w:rPr>
          <w:sz w:val="22"/>
        </w:rPr>
        <w:t>рада</w:t>
      </w:r>
      <w:proofErr w:type="spellEnd"/>
      <w:r w:rsidR="00BC7573" w:rsidRPr="008F014A">
        <w:rPr>
          <w:sz w:val="22"/>
        </w:rPr>
        <w:t xml:space="preserve">, </w:t>
      </w:r>
      <w:proofErr w:type="spellStart"/>
      <w:r w:rsidR="00BC7573" w:rsidRPr="008F014A">
        <w:rPr>
          <w:sz w:val="22"/>
        </w:rPr>
        <w:t>те</w:t>
      </w:r>
      <w:proofErr w:type="spellEnd"/>
      <w:r w:rsidR="00BC7573" w:rsidRPr="008F014A">
        <w:rPr>
          <w:sz w:val="22"/>
          <w:lang w:val="sr-Cyrl-RS"/>
        </w:rPr>
        <w:t xml:space="preserve"> области </w:t>
      </w:r>
      <w:proofErr w:type="spellStart"/>
      <w:r w:rsidR="00BC7573" w:rsidRPr="008F014A">
        <w:rPr>
          <w:sz w:val="22"/>
          <w:lang w:val="sr-Cyrl-RS"/>
        </w:rPr>
        <w:t>инфорамицја</w:t>
      </w:r>
      <w:proofErr w:type="spellEnd"/>
      <w:r w:rsidR="00BC7573" w:rsidRPr="008F014A">
        <w:rPr>
          <w:sz w:val="22"/>
          <w:lang w:val="sr-Cyrl-RS"/>
        </w:rPr>
        <w:t xml:space="preserve"> и комуникација</w:t>
      </w:r>
      <w:r w:rsidR="00BC7573" w:rsidRPr="008F014A">
        <w:rPr>
          <w:sz w:val="22"/>
        </w:rPr>
        <w:t xml:space="preserve">. </w:t>
      </w:r>
      <w:r w:rsidR="00114B7F">
        <w:rPr>
          <w:sz w:val="22"/>
          <w:lang w:val="sr-Cyrl-RS"/>
        </w:rPr>
        <w:t xml:space="preserve">Имајући у виду све наведено, </w:t>
      </w:r>
      <w:proofErr w:type="spellStart"/>
      <w:r w:rsidR="00BC7573" w:rsidRPr="008F014A">
        <w:rPr>
          <w:b/>
          <w:sz w:val="22"/>
        </w:rPr>
        <w:t>укупна</w:t>
      </w:r>
      <w:proofErr w:type="spellEnd"/>
      <w:r w:rsidR="00BC7573" w:rsidRPr="008F014A">
        <w:rPr>
          <w:b/>
          <w:sz w:val="22"/>
        </w:rPr>
        <w:t xml:space="preserve"> </w:t>
      </w:r>
      <w:proofErr w:type="spellStart"/>
      <w:r w:rsidR="00BC7573" w:rsidRPr="008F014A">
        <w:rPr>
          <w:b/>
          <w:sz w:val="22"/>
        </w:rPr>
        <w:lastRenderedPageBreak/>
        <w:t>реална</w:t>
      </w:r>
      <w:proofErr w:type="spellEnd"/>
      <w:r w:rsidR="00BC7573" w:rsidRPr="008F014A">
        <w:rPr>
          <w:b/>
          <w:sz w:val="22"/>
        </w:rPr>
        <w:t xml:space="preserve"> </w:t>
      </w:r>
      <w:proofErr w:type="spellStart"/>
      <w:r w:rsidR="00BC7573" w:rsidRPr="008F014A">
        <w:rPr>
          <w:b/>
          <w:sz w:val="22"/>
        </w:rPr>
        <w:t>стопа</w:t>
      </w:r>
      <w:proofErr w:type="spellEnd"/>
      <w:r w:rsidR="00BC7573" w:rsidRPr="008F014A">
        <w:rPr>
          <w:b/>
          <w:sz w:val="22"/>
        </w:rPr>
        <w:t xml:space="preserve"> </w:t>
      </w:r>
      <w:r w:rsidRPr="008F014A">
        <w:rPr>
          <w:b/>
          <w:sz w:val="22"/>
        </w:rPr>
        <w:t xml:space="preserve">БДП-а у 2020. </w:t>
      </w:r>
      <w:proofErr w:type="spellStart"/>
      <w:r w:rsidRPr="008F014A">
        <w:rPr>
          <w:b/>
          <w:sz w:val="22"/>
        </w:rPr>
        <w:t>години</w:t>
      </w:r>
      <w:proofErr w:type="spellEnd"/>
      <w:r w:rsidRPr="008F014A">
        <w:rPr>
          <w:b/>
          <w:sz w:val="22"/>
        </w:rPr>
        <w:t xml:space="preserve"> </w:t>
      </w:r>
      <w:proofErr w:type="spellStart"/>
      <w:r w:rsidRPr="008F014A">
        <w:rPr>
          <w:b/>
          <w:sz w:val="22"/>
        </w:rPr>
        <w:t>проц</w:t>
      </w:r>
      <w:r w:rsidR="00BC7573" w:rsidRPr="008F014A">
        <w:rPr>
          <w:b/>
          <w:sz w:val="22"/>
        </w:rPr>
        <w:t>јењује</w:t>
      </w:r>
      <w:proofErr w:type="spellEnd"/>
      <w:r w:rsidR="00BC7573" w:rsidRPr="008F014A">
        <w:rPr>
          <w:b/>
          <w:sz w:val="22"/>
        </w:rPr>
        <w:t xml:space="preserve"> </w:t>
      </w:r>
      <w:r w:rsidRPr="008F014A">
        <w:rPr>
          <w:b/>
          <w:sz w:val="22"/>
          <w:lang w:val="sr-Cyrl-RS"/>
        </w:rPr>
        <w:t xml:space="preserve">се </w:t>
      </w:r>
      <w:proofErr w:type="spellStart"/>
      <w:r w:rsidR="00BC7573" w:rsidRPr="008F014A">
        <w:rPr>
          <w:b/>
          <w:sz w:val="22"/>
        </w:rPr>
        <w:t>на</w:t>
      </w:r>
      <w:proofErr w:type="spellEnd"/>
      <w:r w:rsidR="00BC7573" w:rsidRPr="008F014A">
        <w:rPr>
          <w:b/>
          <w:sz w:val="22"/>
        </w:rPr>
        <w:t xml:space="preserve"> -</w:t>
      </w:r>
      <w:r w:rsidR="001D3DE0" w:rsidRPr="008F014A">
        <w:rPr>
          <w:b/>
          <w:sz w:val="22"/>
        </w:rPr>
        <w:t>3,3% (</w:t>
      </w:r>
      <w:proofErr w:type="spellStart"/>
      <w:r w:rsidR="001D3DE0" w:rsidRPr="008F014A">
        <w:rPr>
          <w:b/>
          <w:sz w:val="22"/>
        </w:rPr>
        <w:t>првобитно</w:t>
      </w:r>
      <w:proofErr w:type="spellEnd"/>
      <w:r w:rsidR="001D3DE0" w:rsidRPr="008F014A">
        <w:rPr>
          <w:b/>
          <w:sz w:val="22"/>
        </w:rPr>
        <w:t xml:space="preserve"> </w:t>
      </w:r>
      <w:proofErr w:type="spellStart"/>
      <w:r w:rsidR="001D3DE0" w:rsidRPr="008F014A">
        <w:rPr>
          <w:b/>
          <w:sz w:val="22"/>
        </w:rPr>
        <w:t>је</w:t>
      </w:r>
      <w:proofErr w:type="spellEnd"/>
      <w:r w:rsidR="001D3DE0" w:rsidRPr="008F014A">
        <w:rPr>
          <w:b/>
          <w:sz w:val="22"/>
        </w:rPr>
        <w:t xml:space="preserve"> </w:t>
      </w:r>
      <w:proofErr w:type="spellStart"/>
      <w:r w:rsidR="001D3DE0" w:rsidRPr="008F014A">
        <w:rPr>
          <w:b/>
          <w:sz w:val="22"/>
        </w:rPr>
        <w:t>било</w:t>
      </w:r>
      <w:proofErr w:type="spellEnd"/>
      <w:r w:rsidR="001D3DE0" w:rsidRPr="008F014A">
        <w:rPr>
          <w:b/>
          <w:sz w:val="22"/>
        </w:rPr>
        <w:t xml:space="preserve"> </w:t>
      </w:r>
      <w:proofErr w:type="spellStart"/>
      <w:r w:rsidR="001D3DE0" w:rsidRPr="008F014A">
        <w:rPr>
          <w:b/>
          <w:sz w:val="22"/>
        </w:rPr>
        <w:t>планиран</w:t>
      </w:r>
      <w:proofErr w:type="spellEnd"/>
      <w:r w:rsidR="001D3DE0" w:rsidRPr="008F014A">
        <w:rPr>
          <w:b/>
          <w:sz w:val="22"/>
        </w:rPr>
        <w:t xml:space="preserve">  </w:t>
      </w:r>
      <w:proofErr w:type="spellStart"/>
      <w:r w:rsidR="001D3DE0" w:rsidRPr="008F014A">
        <w:rPr>
          <w:b/>
          <w:sz w:val="22"/>
        </w:rPr>
        <w:t>раст</w:t>
      </w:r>
      <w:proofErr w:type="spellEnd"/>
      <w:r w:rsidR="001D3DE0" w:rsidRPr="008F014A">
        <w:rPr>
          <w:b/>
          <w:sz w:val="22"/>
        </w:rPr>
        <w:t xml:space="preserve"> </w:t>
      </w:r>
      <w:proofErr w:type="spellStart"/>
      <w:r w:rsidR="001D3DE0" w:rsidRPr="008F014A">
        <w:rPr>
          <w:b/>
          <w:sz w:val="22"/>
        </w:rPr>
        <w:t>од</w:t>
      </w:r>
      <w:proofErr w:type="spellEnd"/>
      <w:r w:rsidR="001D3DE0" w:rsidRPr="008F014A">
        <w:rPr>
          <w:b/>
          <w:sz w:val="22"/>
        </w:rPr>
        <w:t xml:space="preserve"> 3,7%). </w:t>
      </w:r>
      <w:r w:rsidR="00812A6B" w:rsidRPr="008F014A">
        <w:rPr>
          <w:sz w:val="22"/>
        </w:rPr>
        <w:t>У</w:t>
      </w:r>
      <w:r w:rsidR="00BC7573" w:rsidRPr="008F014A">
        <w:rPr>
          <w:sz w:val="22"/>
        </w:rPr>
        <w:t xml:space="preserve"> </w:t>
      </w:r>
      <w:proofErr w:type="spellStart"/>
      <w:r w:rsidR="00BC7573" w:rsidRPr="008F014A">
        <w:rPr>
          <w:sz w:val="22"/>
        </w:rPr>
        <w:t>периоду</w:t>
      </w:r>
      <w:proofErr w:type="spellEnd"/>
      <w:r w:rsidR="00BC7573" w:rsidRPr="008F014A">
        <w:rPr>
          <w:sz w:val="22"/>
        </w:rPr>
        <w:t xml:space="preserve"> 2021-2</w:t>
      </w:r>
      <w:r w:rsidR="00A1554B" w:rsidRPr="008F014A">
        <w:rPr>
          <w:sz w:val="22"/>
        </w:rPr>
        <w:t xml:space="preserve">023. </w:t>
      </w:r>
      <w:proofErr w:type="spellStart"/>
      <w:r w:rsidR="00A1554B" w:rsidRPr="008F014A">
        <w:rPr>
          <w:sz w:val="22"/>
        </w:rPr>
        <w:t>године</w:t>
      </w:r>
      <w:proofErr w:type="spellEnd"/>
      <w:r w:rsidR="00A1554B" w:rsidRPr="008F014A">
        <w:rPr>
          <w:sz w:val="22"/>
        </w:rPr>
        <w:t xml:space="preserve">, </w:t>
      </w:r>
      <w:proofErr w:type="spellStart"/>
      <w:r w:rsidR="00A1554B" w:rsidRPr="008F014A">
        <w:rPr>
          <w:sz w:val="22"/>
        </w:rPr>
        <w:t>очекује</w:t>
      </w:r>
      <w:proofErr w:type="spellEnd"/>
      <w:r w:rsidR="00A1554B" w:rsidRPr="008F014A">
        <w:rPr>
          <w:sz w:val="22"/>
        </w:rPr>
        <w:t xml:space="preserve"> </w:t>
      </w:r>
      <w:proofErr w:type="spellStart"/>
      <w:r w:rsidR="00A1554B" w:rsidRPr="008F014A">
        <w:rPr>
          <w:sz w:val="22"/>
        </w:rPr>
        <w:t>се</w:t>
      </w:r>
      <w:proofErr w:type="spellEnd"/>
      <w:r w:rsidR="00A1554B" w:rsidRPr="008F014A">
        <w:rPr>
          <w:sz w:val="22"/>
        </w:rPr>
        <w:t xml:space="preserve"> </w:t>
      </w:r>
      <w:proofErr w:type="spellStart"/>
      <w:r w:rsidR="00A1554B" w:rsidRPr="008F014A">
        <w:rPr>
          <w:sz w:val="22"/>
        </w:rPr>
        <w:t>раст</w:t>
      </w:r>
      <w:proofErr w:type="spellEnd"/>
      <w:r w:rsidR="00BC7573" w:rsidRPr="008F014A">
        <w:rPr>
          <w:sz w:val="22"/>
        </w:rPr>
        <w:t xml:space="preserve"> </w:t>
      </w:r>
      <w:proofErr w:type="spellStart"/>
      <w:r w:rsidR="00BC7573" w:rsidRPr="008F014A">
        <w:rPr>
          <w:sz w:val="22"/>
        </w:rPr>
        <w:t>привредне</w:t>
      </w:r>
      <w:proofErr w:type="spellEnd"/>
      <w:r w:rsidR="00BC7573" w:rsidRPr="008F014A">
        <w:rPr>
          <w:sz w:val="22"/>
        </w:rPr>
        <w:t xml:space="preserve"> </w:t>
      </w:r>
      <w:proofErr w:type="spellStart"/>
      <w:r w:rsidR="00BC7573" w:rsidRPr="008F014A">
        <w:rPr>
          <w:sz w:val="22"/>
        </w:rPr>
        <w:t>активности</w:t>
      </w:r>
      <w:proofErr w:type="spellEnd"/>
      <w:r w:rsidR="00BC7573" w:rsidRPr="008F014A">
        <w:rPr>
          <w:sz w:val="22"/>
        </w:rPr>
        <w:t xml:space="preserve">, </w:t>
      </w:r>
      <w:proofErr w:type="spellStart"/>
      <w:r w:rsidR="00BC7573" w:rsidRPr="008F014A">
        <w:rPr>
          <w:sz w:val="22"/>
        </w:rPr>
        <w:t>углавном</w:t>
      </w:r>
      <w:proofErr w:type="spellEnd"/>
      <w:r w:rsidR="00BC7573" w:rsidRPr="008F014A">
        <w:rPr>
          <w:sz w:val="22"/>
        </w:rPr>
        <w:t xml:space="preserve"> </w:t>
      </w:r>
      <w:proofErr w:type="spellStart"/>
      <w:r w:rsidR="00BC7573" w:rsidRPr="008F014A">
        <w:rPr>
          <w:sz w:val="22"/>
        </w:rPr>
        <w:t>по</w:t>
      </w:r>
      <w:proofErr w:type="spellEnd"/>
      <w:r w:rsidR="00BC7573" w:rsidRPr="008F014A">
        <w:rPr>
          <w:sz w:val="22"/>
        </w:rPr>
        <w:t xml:space="preserve"> </w:t>
      </w:r>
      <w:proofErr w:type="spellStart"/>
      <w:r w:rsidR="00BC7573" w:rsidRPr="008F014A">
        <w:rPr>
          <w:sz w:val="22"/>
        </w:rPr>
        <w:t>основу</w:t>
      </w:r>
      <w:proofErr w:type="spellEnd"/>
      <w:r w:rsidR="00BC7573" w:rsidRPr="008F014A">
        <w:rPr>
          <w:sz w:val="22"/>
        </w:rPr>
        <w:t xml:space="preserve"> </w:t>
      </w:r>
      <w:proofErr w:type="spellStart"/>
      <w:r w:rsidR="00BC7573" w:rsidRPr="008F014A">
        <w:rPr>
          <w:sz w:val="22"/>
        </w:rPr>
        <w:t>опоравка</w:t>
      </w:r>
      <w:proofErr w:type="spellEnd"/>
      <w:r w:rsidR="00BC7573" w:rsidRPr="008F014A">
        <w:rPr>
          <w:sz w:val="22"/>
        </w:rPr>
        <w:t xml:space="preserve"> </w:t>
      </w:r>
      <w:proofErr w:type="spellStart"/>
      <w:r w:rsidR="00BC7573" w:rsidRPr="008F014A">
        <w:rPr>
          <w:sz w:val="22"/>
        </w:rPr>
        <w:t>потрошње</w:t>
      </w:r>
      <w:proofErr w:type="spellEnd"/>
      <w:r w:rsidR="00BC7573" w:rsidRPr="008F014A">
        <w:rPr>
          <w:sz w:val="22"/>
        </w:rPr>
        <w:t xml:space="preserve"> и </w:t>
      </w:r>
      <w:proofErr w:type="spellStart"/>
      <w:r w:rsidR="00BC7573" w:rsidRPr="008F014A">
        <w:rPr>
          <w:sz w:val="22"/>
        </w:rPr>
        <w:t>и</w:t>
      </w:r>
      <w:r w:rsidR="00D75F02" w:rsidRPr="008F014A">
        <w:rPr>
          <w:sz w:val="22"/>
        </w:rPr>
        <w:t>нвестиција</w:t>
      </w:r>
      <w:proofErr w:type="spellEnd"/>
      <w:r w:rsidR="00D75F02" w:rsidRPr="008F014A">
        <w:rPr>
          <w:sz w:val="22"/>
        </w:rPr>
        <w:t xml:space="preserve">, </w:t>
      </w:r>
      <w:proofErr w:type="spellStart"/>
      <w:r w:rsidR="00D75F02" w:rsidRPr="008F014A">
        <w:rPr>
          <w:sz w:val="22"/>
        </w:rPr>
        <w:t>па</w:t>
      </w:r>
      <w:proofErr w:type="spellEnd"/>
      <w:r w:rsidR="00D75F02" w:rsidRPr="008F014A">
        <w:rPr>
          <w:sz w:val="22"/>
        </w:rPr>
        <w:t xml:space="preserve"> </w:t>
      </w:r>
      <w:proofErr w:type="spellStart"/>
      <w:r w:rsidR="00D75F02" w:rsidRPr="008F014A">
        <w:rPr>
          <w:sz w:val="22"/>
        </w:rPr>
        <w:t>су</w:t>
      </w:r>
      <w:proofErr w:type="spellEnd"/>
      <w:r w:rsidR="00BC7573" w:rsidRPr="008F014A">
        <w:rPr>
          <w:sz w:val="22"/>
        </w:rPr>
        <w:t xml:space="preserve"> </w:t>
      </w:r>
      <w:proofErr w:type="spellStart"/>
      <w:r w:rsidR="00BC7573" w:rsidRPr="008F014A">
        <w:rPr>
          <w:sz w:val="22"/>
        </w:rPr>
        <w:t>пројектова</w:t>
      </w:r>
      <w:r w:rsidR="00812A6B" w:rsidRPr="008F014A">
        <w:rPr>
          <w:sz w:val="22"/>
        </w:rPr>
        <w:t>не</w:t>
      </w:r>
      <w:proofErr w:type="spellEnd"/>
      <w:r w:rsidR="00812A6B" w:rsidRPr="008F014A">
        <w:rPr>
          <w:sz w:val="22"/>
        </w:rPr>
        <w:t xml:space="preserve"> </w:t>
      </w:r>
      <w:proofErr w:type="spellStart"/>
      <w:r w:rsidR="00812A6B" w:rsidRPr="008F014A">
        <w:rPr>
          <w:sz w:val="22"/>
        </w:rPr>
        <w:t>стопе</w:t>
      </w:r>
      <w:proofErr w:type="spellEnd"/>
      <w:r w:rsidR="00812A6B" w:rsidRPr="008F014A">
        <w:rPr>
          <w:sz w:val="22"/>
        </w:rPr>
        <w:t xml:space="preserve"> </w:t>
      </w:r>
      <w:proofErr w:type="spellStart"/>
      <w:r w:rsidR="00812A6B" w:rsidRPr="008F014A">
        <w:rPr>
          <w:sz w:val="22"/>
        </w:rPr>
        <w:t>привредног</w:t>
      </w:r>
      <w:proofErr w:type="spellEnd"/>
      <w:r w:rsidR="00812A6B" w:rsidRPr="008F014A">
        <w:rPr>
          <w:sz w:val="22"/>
        </w:rPr>
        <w:t xml:space="preserve"> </w:t>
      </w:r>
      <w:proofErr w:type="spellStart"/>
      <w:r w:rsidR="00812A6B" w:rsidRPr="008F014A">
        <w:rPr>
          <w:sz w:val="22"/>
        </w:rPr>
        <w:t>раста</w:t>
      </w:r>
      <w:proofErr w:type="spellEnd"/>
      <w:r w:rsidR="00812A6B" w:rsidRPr="008F014A">
        <w:rPr>
          <w:sz w:val="22"/>
        </w:rPr>
        <w:t xml:space="preserve"> </w:t>
      </w:r>
      <w:proofErr w:type="spellStart"/>
      <w:r w:rsidR="00812A6B" w:rsidRPr="008F014A">
        <w:rPr>
          <w:sz w:val="22"/>
        </w:rPr>
        <w:t>од</w:t>
      </w:r>
      <w:proofErr w:type="spellEnd"/>
      <w:r w:rsidR="00812A6B" w:rsidRPr="008F014A">
        <w:rPr>
          <w:sz w:val="22"/>
        </w:rPr>
        <w:t xml:space="preserve"> </w:t>
      </w:r>
      <w:r w:rsidR="00BC7573" w:rsidRPr="008F014A">
        <w:rPr>
          <w:sz w:val="22"/>
        </w:rPr>
        <w:t xml:space="preserve"> 2,9%, 3,6% и 3,2%, </w:t>
      </w:r>
      <w:proofErr w:type="spellStart"/>
      <w:r w:rsidR="00BC7573" w:rsidRPr="008F014A">
        <w:rPr>
          <w:sz w:val="22"/>
        </w:rPr>
        <w:t>респективно</w:t>
      </w:r>
      <w:proofErr w:type="spellEnd"/>
      <w:r w:rsidR="00BC7573" w:rsidRPr="008F014A">
        <w:rPr>
          <w:sz w:val="22"/>
        </w:rPr>
        <w:t>.</w:t>
      </w:r>
      <w:bookmarkStart w:id="8" w:name="bookmark47"/>
      <w:r w:rsidR="00846C4E" w:rsidRPr="008F014A">
        <w:rPr>
          <w:sz w:val="22"/>
          <w:lang w:val="sr-Cyrl-RS"/>
        </w:rPr>
        <w:t xml:space="preserve"> </w:t>
      </w:r>
      <w:proofErr w:type="spellStart"/>
      <w:r w:rsidR="00846C4E" w:rsidRPr="008F014A">
        <w:rPr>
          <w:sz w:val="22"/>
          <w:lang w:val="sr-Cyrl-RS"/>
        </w:rPr>
        <w:t>Неизвјесност</w:t>
      </w:r>
      <w:proofErr w:type="spellEnd"/>
      <w:r w:rsidR="00846C4E" w:rsidRPr="008F014A">
        <w:rPr>
          <w:sz w:val="22"/>
          <w:lang w:val="sr-Cyrl-RS"/>
        </w:rPr>
        <w:t xml:space="preserve"> остварења свих  пројекција већа је од </w:t>
      </w:r>
      <w:proofErr w:type="spellStart"/>
      <w:r w:rsidR="00846C4E" w:rsidRPr="008F014A">
        <w:rPr>
          <w:sz w:val="22"/>
          <w:lang w:val="sr-Cyrl-RS"/>
        </w:rPr>
        <w:t>уобичајне</w:t>
      </w:r>
      <w:proofErr w:type="spellEnd"/>
      <w:r w:rsidR="00846C4E" w:rsidRPr="008F014A">
        <w:rPr>
          <w:sz w:val="22"/>
          <w:lang w:val="sr-Cyrl-RS"/>
        </w:rPr>
        <w:t>.</w:t>
      </w:r>
    </w:p>
    <w:p w14:paraId="5D97ADA9" w14:textId="77777777" w:rsidR="00BC7573" w:rsidRPr="008F014A" w:rsidRDefault="00D75F02" w:rsidP="00D75F02">
      <w:pPr>
        <w:spacing w:line="276" w:lineRule="auto"/>
        <w:jc w:val="both"/>
        <w:rPr>
          <w:sz w:val="22"/>
        </w:rPr>
      </w:pPr>
      <w:r w:rsidRPr="008F014A">
        <w:rPr>
          <w:sz w:val="22"/>
        </w:rPr>
        <w:tab/>
      </w:r>
      <w:bookmarkEnd w:id="8"/>
    </w:p>
    <w:p w14:paraId="1EEE081C" w14:textId="77777777" w:rsidR="00014DE1" w:rsidRPr="008F014A" w:rsidRDefault="00C43C49" w:rsidP="00B0353B">
      <w:pPr>
        <w:spacing w:line="276" w:lineRule="auto"/>
        <w:ind w:firstLine="709"/>
        <w:jc w:val="both"/>
        <w:rPr>
          <w:sz w:val="22"/>
        </w:rPr>
      </w:pPr>
      <w:proofErr w:type="spellStart"/>
      <w:r w:rsidRPr="008F014A">
        <w:rPr>
          <w:sz w:val="22"/>
        </w:rPr>
        <w:t>Према</w:t>
      </w:r>
      <w:proofErr w:type="spellEnd"/>
      <w:r w:rsidRPr="008F014A">
        <w:rPr>
          <w:sz w:val="22"/>
        </w:rPr>
        <w:t xml:space="preserve"> </w:t>
      </w:r>
      <w:proofErr w:type="spellStart"/>
      <w:r w:rsidRPr="008F014A">
        <w:rPr>
          <w:sz w:val="22"/>
        </w:rPr>
        <w:t>студији</w:t>
      </w:r>
      <w:proofErr w:type="spellEnd"/>
      <w:r w:rsidRPr="008F014A">
        <w:rPr>
          <w:sz w:val="22"/>
        </w:rPr>
        <w:t xml:space="preserve"> ОЕСD-а </w:t>
      </w:r>
      <w:proofErr w:type="spellStart"/>
      <w:r w:rsidRPr="008F014A">
        <w:rPr>
          <w:sz w:val="22"/>
        </w:rPr>
        <w:t>из</w:t>
      </w:r>
      <w:proofErr w:type="spellEnd"/>
      <w:r w:rsidRPr="008F014A">
        <w:rPr>
          <w:sz w:val="22"/>
        </w:rPr>
        <w:t xml:space="preserve"> </w:t>
      </w:r>
      <w:proofErr w:type="spellStart"/>
      <w:r w:rsidRPr="008F014A">
        <w:rPr>
          <w:sz w:val="22"/>
        </w:rPr>
        <w:t>маја</w:t>
      </w:r>
      <w:proofErr w:type="spellEnd"/>
      <w:r w:rsidRPr="008F014A">
        <w:rPr>
          <w:sz w:val="22"/>
        </w:rPr>
        <w:t xml:space="preserve"> 2020. </w:t>
      </w:r>
      <w:proofErr w:type="spellStart"/>
      <w:r w:rsidRPr="008F014A">
        <w:rPr>
          <w:sz w:val="22"/>
        </w:rPr>
        <w:t>године</w:t>
      </w:r>
      <w:proofErr w:type="spellEnd"/>
      <w:r w:rsidRPr="008F014A">
        <w:rPr>
          <w:sz w:val="22"/>
        </w:rPr>
        <w:t xml:space="preserve"> „</w:t>
      </w:r>
      <w:proofErr w:type="spellStart"/>
      <w:r w:rsidRPr="008F014A">
        <w:rPr>
          <w:sz w:val="22"/>
        </w:rPr>
        <w:t>Токови</w:t>
      </w:r>
      <w:proofErr w:type="spellEnd"/>
      <w:r w:rsidRPr="008F014A">
        <w:rPr>
          <w:sz w:val="22"/>
        </w:rPr>
        <w:t xml:space="preserve"> </w:t>
      </w:r>
      <w:proofErr w:type="spellStart"/>
      <w:r w:rsidRPr="008F014A">
        <w:rPr>
          <w:sz w:val="22"/>
        </w:rPr>
        <w:t>директних</w:t>
      </w:r>
      <w:proofErr w:type="spellEnd"/>
      <w:r w:rsidRPr="008F014A">
        <w:rPr>
          <w:sz w:val="22"/>
        </w:rPr>
        <w:t xml:space="preserve"> </w:t>
      </w:r>
      <w:proofErr w:type="spellStart"/>
      <w:r w:rsidRPr="008F014A">
        <w:rPr>
          <w:sz w:val="22"/>
        </w:rPr>
        <w:t>страних</w:t>
      </w:r>
      <w:proofErr w:type="spellEnd"/>
      <w:r w:rsidRPr="008F014A">
        <w:rPr>
          <w:sz w:val="22"/>
        </w:rPr>
        <w:t xml:space="preserve"> </w:t>
      </w:r>
      <w:proofErr w:type="spellStart"/>
      <w:r w:rsidRPr="008F014A">
        <w:rPr>
          <w:sz w:val="22"/>
        </w:rPr>
        <w:t>улагања</w:t>
      </w:r>
      <w:proofErr w:type="spellEnd"/>
      <w:r w:rsidRPr="008F014A">
        <w:rPr>
          <w:sz w:val="22"/>
        </w:rPr>
        <w:t xml:space="preserve"> у </w:t>
      </w:r>
      <w:proofErr w:type="spellStart"/>
      <w:r w:rsidRPr="008F014A">
        <w:rPr>
          <w:sz w:val="22"/>
        </w:rPr>
        <w:t>вријеме</w:t>
      </w:r>
      <w:proofErr w:type="spellEnd"/>
      <w:r w:rsidRPr="008F014A">
        <w:rPr>
          <w:sz w:val="22"/>
        </w:rPr>
        <w:t xml:space="preserve"> СОVID- 19", </w:t>
      </w:r>
      <w:proofErr w:type="spellStart"/>
      <w:r w:rsidRPr="008F014A">
        <w:rPr>
          <w:sz w:val="22"/>
        </w:rPr>
        <w:t>пројектује</w:t>
      </w:r>
      <w:proofErr w:type="spellEnd"/>
      <w:r w:rsidRPr="008F014A">
        <w:rPr>
          <w:sz w:val="22"/>
        </w:rPr>
        <w:t xml:space="preserve"> </w:t>
      </w:r>
      <w:proofErr w:type="spellStart"/>
      <w:r w:rsidRPr="008F014A">
        <w:rPr>
          <w:sz w:val="22"/>
        </w:rPr>
        <w:t>се</w:t>
      </w:r>
      <w:proofErr w:type="spellEnd"/>
      <w:r w:rsidRPr="008F014A">
        <w:rPr>
          <w:sz w:val="22"/>
        </w:rPr>
        <w:t xml:space="preserve"> </w:t>
      </w:r>
      <w:proofErr w:type="spellStart"/>
      <w:r w:rsidRPr="008F014A">
        <w:rPr>
          <w:sz w:val="22"/>
        </w:rPr>
        <w:t>пад</w:t>
      </w:r>
      <w:proofErr w:type="spellEnd"/>
      <w:r w:rsidRPr="008F014A">
        <w:rPr>
          <w:sz w:val="22"/>
        </w:rPr>
        <w:t xml:space="preserve"> </w:t>
      </w:r>
      <w:proofErr w:type="spellStart"/>
      <w:r w:rsidRPr="008F014A">
        <w:rPr>
          <w:sz w:val="22"/>
        </w:rPr>
        <w:t>директних</w:t>
      </w:r>
      <w:proofErr w:type="spellEnd"/>
      <w:r w:rsidRPr="008F014A">
        <w:rPr>
          <w:sz w:val="22"/>
        </w:rPr>
        <w:t xml:space="preserve"> </w:t>
      </w:r>
      <w:proofErr w:type="spellStart"/>
      <w:r w:rsidRPr="008F014A">
        <w:rPr>
          <w:sz w:val="22"/>
        </w:rPr>
        <w:t>страних</w:t>
      </w:r>
      <w:proofErr w:type="spellEnd"/>
      <w:r w:rsidRPr="008F014A">
        <w:rPr>
          <w:sz w:val="22"/>
        </w:rPr>
        <w:t xml:space="preserve"> </w:t>
      </w:r>
      <w:proofErr w:type="spellStart"/>
      <w:r w:rsidRPr="008F014A">
        <w:rPr>
          <w:sz w:val="22"/>
        </w:rPr>
        <w:t>улагања</w:t>
      </w:r>
      <w:proofErr w:type="spellEnd"/>
      <w:r w:rsidRPr="008F014A">
        <w:rPr>
          <w:sz w:val="22"/>
        </w:rPr>
        <w:t xml:space="preserve"> у 2020. </w:t>
      </w:r>
      <w:proofErr w:type="spellStart"/>
      <w:r w:rsidRPr="008F014A">
        <w:rPr>
          <w:sz w:val="22"/>
        </w:rPr>
        <w:t>години</w:t>
      </w:r>
      <w:proofErr w:type="spellEnd"/>
      <w:r w:rsidRPr="008F014A">
        <w:rPr>
          <w:sz w:val="22"/>
        </w:rPr>
        <w:t xml:space="preserve"> </w:t>
      </w:r>
      <w:proofErr w:type="spellStart"/>
      <w:r w:rsidRPr="008F014A">
        <w:rPr>
          <w:sz w:val="22"/>
        </w:rPr>
        <w:t>за</w:t>
      </w:r>
      <w:proofErr w:type="spellEnd"/>
      <w:r w:rsidRPr="008F014A">
        <w:rPr>
          <w:sz w:val="22"/>
        </w:rPr>
        <w:t xml:space="preserve"> </w:t>
      </w:r>
      <w:proofErr w:type="spellStart"/>
      <w:r w:rsidRPr="008F014A">
        <w:rPr>
          <w:sz w:val="22"/>
        </w:rPr>
        <w:t>више</w:t>
      </w:r>
      <w:proofErr w:type="spellEnd"/>
      <w:r w:rsidRPr="008F014A">
        <w:rPr>
          <w:sz w:val="22"/>
        </w:rPr>
        <w:t xml:space="preserve"> </w:t>
      </w:r>
      <w:proofErr w:type="spellStart"/>
      <w:r w:rsidRPr="008F014A">
        <w:rPr>
          <w:sz w:val="22"/>
        </w:rPr>
        <w:t>од</w:t>
      </w:r>
      <w:proofErr w:type="spellEnd"/>
      <w:r w:rsidRPr="008F014A">
        <w:rPr>
          <w:sz w:val="22"/>
        </w:rPr>
        <w:t xml:space="preserve"> 30% и </w:t>
      </w:r>
      <w:proofErr w:type="spellStart"/>
      <w:r w:rsidRPr="008F014A">
        <w:rPr>
          <w:sz w:val="22"/>
        </w:rPr>
        <w:t>то</w:t>
      </w:r>
      <w:proofErr w:type="spellEnd"/>
      <w:r w:rsidRPr="008F014A">
        <w:rPr>
          <w:sz w:val="22"/>
        </w:rPr>
        <w:t xml:space="preserve"> у </w:t>
      </w:r>
      <w:proofErr w:type="spellStart"/>
      <w:r w:rsidRPr="008F014A">
        <w:rPr>
          <w:sz w:val="22"/>
        </w:rPr>
        <w:t>случају</w:t>
      </w:r>
      <w:proofErr w:type="spellEnd"/>
      <w:r w:rsidRPr="008F014A">
        <w:rPr>
          <w:sz w:val="22"/>
        </w:rPr>
        <w:t xml:space="preserve"> </w:t>
      </w:r>
      <w:proofErr w:type="spellStart"/>
      <w:r w:rsidRPr="008F014A">
        <w:rPr>
          <w:sz w:val="22"/>
        </w:rPr>
        <w:t>оптимистичног</w:t>
      </w:r>
      <w:proofErr w:type="spellEnd"/>
      <w:r w:rsidRPr="008F014A">
        <w:rPr>
          <w:sz w:val="22"/>
        </w:rPr>
        <w:t xml:space="preserve"> </w:t>
      </w:r>
      <w:proofErr w:type="spellStart"/>
      <w:r w:rsidRPr="008F014A">
        <w:rPr>
          <w:sz w:val="22"/>
        </w:rPr>
        <w:t>сценарија</w:t>
      </w:r>
      <w:proofErr w:type="spellEnd"/>
      <w:r w:rsidRPr="008F014A">
        <w:rPr>
          <w:sz w:val="22"/>
        </w:rPr>
        <w:t xml:space="preserve">. </w:t>
      </w:r>
      <w:proofErr w:type="spellStart"/>
      <w:r w:rsidRPr="008F014A">
        <w:rPr>
          <w:sz w:val="22"/>
        </w:rPr>
        <w:t>За</w:t>
      </w:r>
      <w:proofErr w:type="spellEnd"/>
      <w:r w:rsidRPr="008F014A">
        <w:rPr>
          <w:sz w:val="22"/>
        </w:rPr>
        <w:t xml:space="preserve"> </w:t>
      </w:r>
      <w:proofErr w:type="spellStart"/>
      <w:r w:rsidRPr="008F014A">
        <w:rPr>
          <w:sz w:val="22"/>
        </w:rPr>
        <w:t>земље</w:t>
      </w:r>
      <w:proofErr w:type="spellEnd"/>
      <w:r w:rsidRPr="008F014A">
        <w:rPr>
          <w:sz w:val="22"/>
        </w:rPr>
        <w:t xml:space="preserve"> у </w:t>
      </w:r>
      <w:proofErr w:type="spellStart"/>
      <w:r w:rsidRPr="008F014A">
        <w:rPr>
          <w:sz w:val="22"/>
        </w:rPr>
        <w:t>развоју</w:t>
      </w:r>
      <w:proofErr w:type="spellEnd"/>
      <w:r w:rsidR="0074222B">
        <w:rPr>
          <w:sz w:val="22"/>
          <w:lang w:val="sr-Cyrl-RS"/>
        </w:rPr>
        <w:t xml:space="preserve">, </w:t>
      </w:r>
      <w:proofErr w:type="spellStart"/>
      <w:r w:rsidR="0074222B">
        <w:rPr>
          <w:sz w:val="22"/>
          <w:lang w:val="sr-Cyrl-RS"/>
        </w:rPr>
        <w:t>процјењује</w:t>
      </w:r>
      <w:proofErr w:type="spellEnd"/>
      <w:r w:rsidR="0074222B">
        <w:rPr>
          <w:sz w:val="22"/>
          <w:lang w:val="sr-Cyrl-RS"/>
        </w:rPr>
        <w:t xml:space="preserve"> се и</w:t>
      </w:r>
      <w:r w:rsidR="00D11A75">
        <w:rPr>
          <w:sz w:val="22"/>
        </w:rPr>
        <w:t xml:space="preserve"> </w:t>
      </w:r>
      <w:proofErr w:type="spellStart"/>
      <w:r w:rsidR="00D11A75">
        <w:rPr>
          <w:sz w:val="22"/>
        </w:rPr>
        <w:t>већи</w:t>
      </w:r>
      <w:proofErr w:type="spellEnd"/>
      <w:r w:rsidR="00D11A75">
        <w:rPr>
          <w:sz w:val="22"/>
        </w:rPr>
        <w:t xml:space="preserve"> </w:t>
      </w:r>
      <w:proofErr w:type="spellStart"/>
      <w:r w:rsidR="00D11A75">
        <w:rPr>
          <w:sz w:val="22"/>
        </w:rPr>
        <w:t>пад</w:t>
      </w:r>
      <w:proofErr w:type="spellEnd"/>
      <w:r w:rsidR="00D11A75">
        <w:rPr>
          <w:sz w:val="22"/>
        </w:rPr>
        <w:t xml:space="preserve"> </w:t>
      </w:r>
      <w:proofErr w:type="spellStart"/>
      <w:r w:rsidR="00D11A75">
        <w:rPr>
          <w:sz w:val="22"/>
        </w:rPr>
        <w:t>страних</w:t>
      </w:r>
      <w:proofErr w:type="spellEnd"/>
      <w:r w:rsidR="00D11A75">
        <w:rPr>
          <w:sz w:val="22"/>
        </w:rPr>
        <w:t xml:space="preserve"> </w:t>
      </w:r>
      <w:proofErr w:type="spellStart"/>
      <w:r w:rsidR="00D11A75">
        <w:rPr>
          <w:sz w:val="22"/>
        </w:rPr>
        <w:t>улагања</w:t>
      </w:r>
      <w:proofErr w:type="spellEnd"/>
      <w:r w:rsidR="00D11A75">
        <w:rPr>
          <w:sz w:val="22"/>
        </w:rPr>
        <w:t xml:space="preserve">, с </w:t>
      </w:r>
      <w:proofErr w:type="spellStart"/>
      <w:r w:rsidR="00D11A75">
        <w:rPr>
          <w:sz w:val="22"/>
        </w:rPr>
        <w:t>о</w:t>
      </w:r>
      <w:r w:rsidRPr="008F014A">
        <w:rPr>
          <w:sz w:val="22"/>
        </w:rPr>
        <w:t>б</w:t>
      </w:r>
      <w:proofErr w:type="spellEnd"/>
      <w:r w:rsidR="00D11A75">
        <w:rPr>
          <w:sz w:val="22"/>
          <w:lang w:val="sr-Cyrl-RS"/>
        </w:rPr>
        <w:t>з</w:t>
      </w:r>
      <w:proofErr w:type="spellStart"/>
      <w:r w:rsidRPr="008F014A">
        <w:rPr>
          <w:sz w:val="22"/>
        </w:rPr>
        <w:t>иром</w:t>
      </w:r>
      <w:proofErr w:type="spellEnd"/>
      <w:r w:rsidRPr="008F014A">
        <w:rPr>
          <w:sz w:val="22"/>
        </w:rPr>
        <w:t xml:space="preserve"> </w:t>
      </w:r>
      <w:proofErr w:type="spellStart"/>
      <w:r w:rsidRPr="008F014A">
        <w:rPr>
          <w:sz w:val="22"/>
        </w:rPr>
        <w:t>да</w:t>
      </w:r>
      <w:proofErr w:type="spellEnd"/>
      <w:r w:rsidRPr="008F014A">
        <w:rPr>
          <w:sz w:val="22"/>
        </w:rPr>
        <w:t xml:space="preserve"> у </w:t>
      </w:r>
      <w:proofErr w:type="spellStart"/>
      <w:r w:rsidRPr="008F014A">
        <w:rPr>
          <w:sz w:val="22"/>
        </w:rPr>
        <w:t>износу</w:t>
      </w:r>
      <w:proofErr w:type="spellEnd"/>
      <w:r w:rsidRPr="008F014A">
        <w:rPr>
          <w:sz w:val="22"/>
        </w:rPr>
        <w:t xml:space="preserve"> </w:t>
      </w:r>
      <w:proofErr w:type="spellStart"/>
      <w:r w:rsidRPr="008F014A">
        <w:rPr>
          <w:sz w:val="22"/>
        </w:rPr>
        <w:t>страних</w:t>
      </w:r>
      <w:proofErr w:type="spellEnd"/>
      <w:r w:rsidRPr="008F014A">
        <w:rPr>
          <w:sz w:val="22"/>
        </w:rPr>
        <w:t xml:space="preserve"> </w:t>
      </w:r>
      <w:proofErr w:type="spellStart"/>
      <w:r w:rsidRPr="008F014A">
        <w:rPr>
          <w:sz w:val="22"/>
        </w:rPr>
        <w:t>улагања</w:t>
      </w:r>
      <w:proofErr w:type="spellEnd"/>
      <w:r w:rsidRPr="008F014A">
        <w:rPr>
          <w:sz w:val="22"/>
        </w:rPr>
        <w:t xml:space="preserve"> </w:t>
      </w:r>
      <w:proofErr w:type="spellStart"/>
      <w:r w:rsidRPr="008F014A">
        <w:rPr>
          <w:sz w:val="22"/>
        </w:rPr>
        <w:t>значајније</w:t>
      </w:r>
      <w:proofErr w:type="spellEnd"/>
      <w:r w:rsidRPr="008F014A">
        <w:rPr>
          <w:sz w:val="22"/>
        </w:rPr>
        <w:t xml:space="preserve"> </w:t>
      </w:r>
      <w:proofErr w:type="spellStart"/>
      <w:r w:rsidRPr="008F014A">
        <w:rPr>
          <w:sz w:val="22"/>
        </w:rPr>
        <w:t>учествује</w:t>
      </w:r>
      <w:proofErr w:type="spellEnd"/>
      <w:r w:rsidRPr="008F014A">
        <w:rPr>
          <w:sz w:val="22"/>
        </w:rPr>
        <w:t xml:space="preserve"> </w:t>
      </w:r>
      <w:proofErr w:type="spellStart"/>
      <w:r w:rsidRPr="008F014A">
        <w:rPr>
          <w:sz w:val="22"/>
        </w:rPr>
        <w:t>прерађивачки</w:t>
      </w:r>
      <w:proofErr w:type="spellEnd"/>
      <w:r w:rsidRPr="008F014A">
        <w:rPr>
          <w:sz w:val="22"/>
        </w:rPr>
        <w:t xml:space="preserve"> </w:t>
      </w:r>
      <w:proofErr w:type="spellStart"/>
      <w:r w:rsidRPr="008F014A">
        <w:rPr>
          <w:sz w:val="22"/>
        </w:rPr>
        <w:t>сектор</w:t>
      </w:r>
      <w:proofErr w:type="spellEnd"/>
      <w:r w:rsidRPr="008F014A">
        <w:rPr>
          <w:sz w:val="22"/>
        </w:rPr>
        <w:t xml:space="preserve"> и </w:t>
      </w:r>
      <w:proofErr w:type="spellStart"/>
      <w:r w:rsidRPr="008F014A">
        <w:rPr>
          <w:sz w:val="22"/>
        </w:rPr>
        <w:t>примарне</w:t>
      </w:r>
      <w:proofErr w:type="spellEnd"/>
      <w:r w:rsidRPr="008F014A">
        <w:rPr>
          <w:sz w:val="22"/>
        </w:rPr>
        <w:t xml:space="preserve"> </w:t>
      </w:r>
      <w:proofErr w:type="spellStart"/>
      <w:r w:rsidRPr="008F014A">
        <w:rPr>
          <w:sz w:val="22"/>
        </w:rPr>
        <w:t>гране</w:t>
      </w:r>
      <w:proofErr w:type="spellEnd"/>
      <w:r w:rsidRPr="008F014A">
        <w:rPr>
          <w:sz w:val="22"/>
        </w:rPr>
        <w:t xml:space="preserve"> </w:t>
      </w:r>
      <w:proofErr w:type="spellStart"/>
      <w:r w:rsidRPr="008F014A">
        <w:rPr>
          <w:sz w:val="22"/>
        </w:rPr>
        <w:t>индустрије</w:t>
      </w:r>
      <w:proofErr w:type="spellEnd"/>
      <w:r w:rsidRPr="008F014A">
        <w:rPr>
          <w:sz w:val="22"/>
        </w:rPr>
        <w:t xml:space="preserve">, </w:t>
      </w:r>
      <w:proofErr w:type="spellStart"/>
      <w:r w:rsidRPr="008F014A">
        <w:rPr>
          <w:sz w:val="22"/>
        </w:rPr>
        <w:t>које</w:t>
      </w:r>
      <w:proofErr w:type="spellEnd"/>
      <w:r w:rsidRPr="008F014A">
        <w:rPr>
          <w:sz w:val="22"/>
        </w:rPr>
        <w:t xml:space="preserve"> </w:t>
      </w:r>
      <w:proofErr w:type="spellStart"/>
      <w:r w:rsidRPr="008F014A">
        <w:rPr>
          <w:sz w:val="22"/>
        </w:rPr>
        <w:t>су</w:t>
      </w:r>
      <w:proofErr w:type="spellEnd"/>
      <w:r w:rsidRPr="008F014A">
        <w:rPr>
          <w:sz w:val="22"/>
        </w:rPr>
        <w:t xml:space="preserve"> </w:t>
      </w:r>
      <w:r w:rsidR="00D11A75">
        <w:rPr>
          <w:sz w:val="22"/>
          <w:lang w:val="sr-Cyrl-RS"/>
        </w:rPr>
        <w:t>више</w:t>
      </w:r>
      <w:r w:rsidR="00D11A75">
        <w:rPr>
          <w:sz w:val="22"/>
        </w:rPr>
        <w:t xml:space="preserve"> </w:t>
      </w:r>
      <w:proofErr w:type="spellStart"/>
      <w:r w:rsidR="00D11A75">
        <w:rPr>
          <w:sz w:val="22"/>
        </w:rPr>
        <w:t>погођени</w:t>
      </w:r>
      <w:proofErr w:type="spellEnd"/>
      <w:r w:rsidRPr="008F014A">
        <w:rPr>
          <w:sz w:val="22"/>
        </w:rPr>
        <w:t xml:space="preserve"> </w:t>
      </w:r>
      <w:proofErr w:type="spellStart"/>
      <w:r w:rsidRPr="008F014A">
        <w:rPr>
          <w:sz w:val="22"/>
        </w:rPr>
        <w:t>пандемијом</w:t>
      </w:r>
      <w:proofErr w:type="spellEnd"/>
      <w:r w:rsidRPr="008F014A">
        <w:rPr>
          <w:sz w:val="22"/>
        </w:rPr>
        <w:t xml:space="preserve">. У </w:t>
      </w:r>
      <w:proofErr w:type="spellStart"/>
      <w:r w:rsidRPr="008F014A">
        <w:rPr>
          <w:sz w:val="22"/>
        </w:rPr>
        <w:t>случају</w:t>
      </w:r>
      <w:proofErr w:type="spellEnd"/>
      <w:r w:rsidRPr="008F014A">
        <w:rPr>
          <w:sz w:val="22"/>
        </w:rPr>
        <w:t xml:space="preserve"> </w:t>
      </w:r>
      <w:proofErr w:type="spellStart"/>
      <w:r w:rsidRPr="008F014A">
        <w:rPr>
          <w:sz w:val="22"/>
        </w:rPr>
        <w:t>оптимистичног</w:t>
      </w:r>
      <w:proofErr w:type="spellEnd"/>
      <w:r w:rsidRPr="008F014A">
        <w:rPr>
          <w:sz w:val="22"/>
        </w:rPr>
        <w:t xml:space="preserve"> </w:t>
      </w:r>
      <w:proofErr w:type="spellStart"/>
      <w:r w:rsidRPr="008F014A">
        <w:rPr>
          <w:sz w:val="22"/>
        </w:rPr>
        <w:t>сценарија</w:t>
      </w:r>
      <w:proofErr w:type="spellEnd"/>
      <w:r w:rsidRPr="008F014A">
        <w:rPr>
          <w:sz w:val="22"/>
        </w:rPr>
        <w:t xml:space="preserve"> </w:t>
      </w:r>
      <w:proofErr w:type="spellStart"/>
      <w:r w:rsidRPr="008F014A">
        <w:rPr>
          <w:sz w:val="22"/>
        </w:rPr>
        <w:t>очекује</w:t>
      </w:r>
      <w:proofErr w:type="spellEnd"/>
      <w:r w:rsidRPr="008F014A">
        <w:rPr>
          <w:sz w:val="22"/>
        </w:rPr>
        <w:t xml:space="preserve"> </w:t>
      </w:r>
      <w:proofErr w:type="spellStart"/>
      <w:r w:rsidRPr="008F014A">
        <w:rPr>
          <w:sz w:val="22"/>
        </w:rPr>
        <w:t>се</w:t>
      </w:r>
      <w:proofErr w:type="spellEnd"/>
      <w:r w:rsidRPr="008F014A">
        <w:rPr>
          <w:sz w:val="22"/>
        </w:rPr>
        <w:t xml:space="preserve"> </w:t>
      </w:r>
      <w:proofErr w:type="spellStart"/>
      <w:r w:rsidRPr="008F014A">
        <w:rPr>
          <w:sz w:val="22"/>
        </w:rPr>
        <w:t>да</w:t>
      </w:r>
      <w:proofErr w:type="spellEnd"/>
      <w:r w:rsidRPr="008F014A">
        <w:rPr>
          <w:sz w:val="22"/>
        </w:rPr>
        <w:t xml:space="preserve"> </w:t>
      </w:r>
      <w:proofErr w:type="spellStart"/>
      <w:r w:rsidRPr="008F014A">
        <w:rPr>
          <w:sz w:val="22"/>
        </w:rPr>
        <w:t>ће</w:t>
      </w:r>
      <w:proofErr w:type="spellEnd"/>
      <w:r w:rsidRPr="008F014A">
        <w:rPr>
          <w:sz w:val="22"/>
        </w:rPr>
        <w:t xml:space="preserve"> у </w:t>
      </w:r>
      <w:proofErr w:type="spellStart"/>
      <w:r w:rsidRPr="008F014A">
        <w:rPr>
          <w:sz w:val="22"/>
        </w:rPr>
        <w:t>другој</w:t>
      </w:r>
      <w:proofErr w:type="spellEnd"/>
      <w:r w:rsidRPr="008F014A">
        <w:rPr>
          <w:sz w:val="22"/>
        </w:rPr>
        <w:t xml:space="preserve"> </w:t>
      </w:r>
      <w:proofErr w:type="spellStart"/>
      <w:r w:rsidRPr="008F014A">
        <w:rPr>
          <w:sz w:val="22"/>
        </w:rPr>
        <w:t>половини</w:t>
      </w:r>
      <w:proofErr w:type="spellEnd"/>
      <w:r w:rsidRPr="008F014A">
        <w:rPr>
          <w:sz w:val="22"/>
        </w:rPr>
        <w:t xml:space="preserve"> 2021. </w:t>
      </w:r>
      <w:proofErr w:type="spellStart"/>
      <w:r w:rsidRPr="008F014A">
        <w:rPr>
          <w:sz w:val="22"/>
        </w:rPr>
        <w:t>године</w:t>
      </w:r>
      <w:proofErr w:type="spellEnd"/>
      <w:r w:rsidRPr="008F014A">
        <w:rPr>
          <w:sz w:val="22"/>
        </w:rPr>
        <w:t xml:space="preserve"> </w:t>
      </w:r>
      <w:proofErr w:type="spellStart"/>
      <w:r w:rsidRPr="008F014A">
        <w:rPr>
          <w:sz w:val="22"/>
        </w:rPr>
        <w:t>доћи</w:t>
      </w:r>
      <w:proofErr w:type="spellEnd"/>
      <w:r w:rsidRPr="008F014A">
        <w:rPr>
          <w:sz w:val="22"/>
        </w:rPr>
        <w:t xml:space="preserve"> </w:t>
      </w:r>
      <w:proofErr w:type="spellStart"/>
      <w:r w:rsidRPr="008F014A">
        <w:rPr>
          <w:sz w:val="22"/>
        </w:rPr>
        <w:t>до</w:t>
      </w:r>
      <w:proofErr w:type="spellEnd"/>
      <w:r w:rsidRPr="008F014A">
        <w:rPr>
          <w:sz w:val="22"/>
        </w:rPr>
        <w:t xml:space="preserve"> </w:t>
      </w:r>
      <w:proofErr w:type="spellStart"/>
      <w:r w:rsidRPr="008F014A">
        <w:rPr>
          <w:sz w:val="22"/>
        </w:rPr>
        <w:t>раста</w:t>
      </w:r>
      <w:proofErr w:type="spellEnd"/>
      <w:r w:rsidRPr="008F014A">
        <w:rPr>
          <w:sz w:val="22"/>
        </w:rPr>
        <w:t xml:space="preserve"> </w:t>
      </w:r>
      <w:proofErr w:type="spellStart"/>
      <w:r w:rsidRPr="008F014A">
        <w:rPr>
          <w:sz w:val="22"/>
        </w:rPr>
        <w:t>страних</w:t>
      </w:r>
      <w:proofErr w:type="spellEnd"/>
      <w:r w:rsidRPr="008F014A">
        <w:rPr>
          <w:sz w:val="22"/>
        </w:rPr>
        <w:t xml:space="preserve"> </w:t>
      </w:r>
      <w:proofErr w:type="spellStart"/>
      <w:r w:rsidRPr="008F014A">
        <w:rPr>
          <w:sz w:val="22"/>
        </w:rPr>
        <w:t>улагања</w:t>
      </w:r>
      <w:proofErr w:type="spellEnd"/>
      <w:r w:rsidRPr="008F014A">
        <w:rPr>
          <w:sz w:val="22"/>
        </w:rPr>
        <w:t xml:space="preserve"> и </w:t>
      </w:r>
      <w:proofErr w:type="spellStart"/>
      <w:r w:rsidRPr="008F014A">
        <w:rPr>
          <w:sz w:val="22"/>
        </w:rPr>
        <w:t>да</w:t>
      </w:r>
      <w:proofErr w:type="spellEnd"/>
      <w:r w:rsidRPr="008F014A">
        <w:rPr>
          <w:sz w:val="22"/>
        </w:rPr>
        <w:t xml:space="preserve"> </w:t>
      </w:r>
      <w:proofErr w:type="spellStart"/>
      <w:r w:rsidRPr="008F014A">
        <w:rPr>
          <w:sz w:val="22"/>
        </w:rPr>
        <w:t>ће</w:t>
      </w:r>
      <w:proofErr w:type="spellEnd"/>
      <w:r w:rsidRPr="008F014A">
        <w:rPr>
          <w:sz w:val="22"/>
        </w:rPr>
        <w:t xml:space="preserve"> </w:t>
      </w:r>
      <w:proofErr w:type="spellStart"/>
      <w:r w:rsidRPr="008F014A">
        <w:rPr>
          <w:sz w:val="22"/>
        </w:rPr>
        <w:t>се</w:t>
      </w:r>
      <w:proofErr w:type="spellEnd"/>
      <w:r w:rsidRPr="008F014A">
        <w:rPr>
          <w:sz w:val="22"/>
        </w:rPr>
        <w:t xml:space="preserve"> </w:t>
      </w:r>
      <w:proofErr w:type="spellStart"/>
      <w:r w:rsidRPr="008F014A">
        <w:rPr>
          <w:sz w:val="22"/>
        </w:rPr>
        <w:t>достићи</w:t>
      </w:r>
      <w:proofErr w:type="spellEnd"/>
      <w:r w:rsidRPr="008F014A">
        <w:rPr>
          <w:sz w:val="22"/>
        </w:rPr>
        <w:t xml:space="preserve"> </w:t>
      </w:r>
      <w:proofErr w:type="spellStart"/>
      <w:r w:rsidRPr="008F014A">
        <w:rPr>
          <w:sz w:val="22"/>
        </w:rPr>
        <w:t>предкризни</w:t>
      </w:r>
      <w:proofErr w:type="spellEnd"/>
      <w:r w:rsidRPr="008F014A">
        <w:rPr>
          <w:sz w:val="22"/>
        </w:rPr>
        <w:t xml:space="preserve"> </w:t>
      </w:r>
      <w:proofErr w:type="spellStart"/>
      <w:r w:rsidRPr="008F014A">
        <w:rPr>
          <w:sz w:val="22"/>
        </w:rPr>
        <w:t>период</w:t>
      </w:r>
      <w:proofErr w:type="spellEnd"/>
      <w:r w:rsidRPr="008F014A">
        <w:rPr>
          <w:sz w:val="22"/>
        </w:rPr>
        <w:t xml:space="preserve"> </w:t>
      </w:r>
      <w:proofErr w:type="spellStart"/>
      <w:r w:rsidRPr="008F014A">
        <w:rPr>
          <w:sz w:val="22"/>
        </w:rPr>
        <w:t>крајем</w:t>
      </w:r>
      <w:proofErr w:type="spellEnd"/>
      <w:r w:rsidRPr="008F014A">
        <w:rPr>
          <w:sz w:val="22"/>
        </w:rPr>
        <w:t xml:space="preserve"> 2021. </w:t>
      </w:r>
      <w:proofErr w:type="spellStart"/>
      <w:r w:rsidRPr="008F014A">
        <w:rPr>
          <w:sz w:val="22"/>
        </w:rPr>
        <w:t>године</w:t>
      </w:r>
      <w:proofErr w:type="spellEnd"/>
      <w:r w:rsidRPr="008F014A">
        <w:rPr>
          <w:sz w:val="22"/>
        </w:rPr>
        <w:t>.</w:t>
      </w:r>
    </w:p>
    <w:p w14:paraId="2CB9DA3D" w14:textId="77777777" w:rsidR="00846C4E" w:rsidRPr="008F014A" w:rsidRDefault="00846C4E" w:rsidP="00D75F02">
      <w:pPr>
        <w:spacing w:line="276" w:lineRule="auto"/>
        <w:jc w:val="both"/>
        <w:rPr>
          <w:sz w:val="22"/>
          <w:u w:val="single"/>
          <w:lang w:val="bs-Cyrl-BA"/>
        </w:rPr>
      </w:pPr>
    </w:p>
    <w:p w14:paraId="70F6153F" w14:textId="77777777" w:rsidR="00837AAD" w:rsidRPr="008F014A" w:rsidRDefault="00085857" w:rsidP="00652B74">
      <w:pPr>
        <w:pStyle w:val="Heading1"/>
        <w:spacing w:line="276" w:lineRule="auto"/>
        <w:jc w:val="both"/>
        <w:rPr>
          <w:sz w:val="22"/>
          <w:lang w:val="sr-Cyrl-RS"/>
        </w:rPr>
      </w:pPr>
      <w:bookmarkStart w:id="9" w:name="_Toc59550009"/>
      <w:r w:rsidRPr="008F014A">
        <w:rPr>
          <w:sz w:val="22"/>
        </w:rPr>
        <w:t>2.4</w:t>
      </w:r>
      <w:r w:rsidR="007244AC" w:rsidRPr="008F014A">
        <w:rPr>
          <w:sz w:val="22"/>
        </w:rPr>
        <w:t xml:space="preserve">. </w:t>
      </w:r>
      <w:r w:rsidR="00414A00" w:rsidRPr="008F014A">
        <w:rPr>
          <w:sz w:val="22"/>
          <w:lang w:val="sr-Cyrl-RS"/>
        </w:rPr>
        <w:t>Основе п</w:t>
      </w:r>
      <w:proofErr w:type="spellStart"/>
      <w:r w:rsidR="00A55A0A" w:rsidRPr="008F014A">
        <w:rPr>
          <w:sz w:val="22"/>
        </w:rPr>
        <w:t>ројекциј</w:t>
      </w:r>
      <w:proofErr w:type="spellEnd"/>
      <w:r w:rsidR="009B7EAB" w:rsidRPr="008F014A">
        <w:rPr>
          <w:sz w:val="22"/>
          <w:lang w:val="sr-Cyrl-RS"/>
        </w:rPr>
        <w:t xml:space="preserve">а </w:t>
      </w:r>
      <w:r w:rsidR="009B7EAB" w:rsidRPr="008F014A">
        <w:rPr>
          <w:sz w:val="22"/>
        </w:rPr>
        <w:t xml:space="preserve"> јавних прихода за јединице локалне самоуправе </w:t>
      </w:r>
      <w:r w:rsidR="009B7EAB" w:rsidRPr="008F014A">
        <w:rPr>
          <w:sz w:val="22"/>
          <w:lang w:val="sr-Cyrl-RS"/>
        </w:rPr>
        <w:t>у РС</w:t>
      </w:r>
      <w:r w:rsidR="00001D4E" w:rsidRPr="008F014A">
        <w:rPr>
          <w:sz w:val="22"/>
        </w:rPr>
        <w:t xml:space="preserve"> за период </w:t>
      </w:r>
      <w:r w:rsidR="0064553E" w:rsidRPr="008F014A">
        <w:rPr>
          <w:sz w:val="22"/>
        </w:rPr>
        <w:t>2021</w:t>
      </w:r>
      <w:r w:rsidR="00B719E0" w:rsidRPr="008F014A">
        <w:rPr>
          <w:sz w:val="22"/>
        </w:rPr>
        <w:t>-</w:t>
      </w:r>
      <w:r w:rsidR="0064553E" w:rsidRPr="008F014A">
        <w:rPr>
          <w:sz w:val="22"/>
        </w:rPr>
        <w:t>2023</w:t>
      </w:r>
      <w:r w:rsidR="00001D4E" w:rsidRPr="008F014A">
        <w:rPr>
          <w:sz w:val="22"/>
        </w:rPr>
        <w:t>. година</w:t>
      </w:r>
      <w:bookmarkEnd w:id="9"/>
    </w:p>
    <w:p w14:paraId="2B9A0FD8" w14:textId="77777777" w:rsidR="0030626C" w:rsidRDefault="0030626C" w:rsidP="0030626C">
      <w:pPr>
        <w:spacing w:line="276" w:lineRule="auto"/>
        <w:ind w:firstLine="709"/>
        <w:jc w:val="both"/>
        <w:rPr>
          <w:sz w:val="22"/>
          <w:lang w:val="sr-Cyrl-CS"/>
        </w:rPr>
      </w:pPr>
    </w:p>
    <w:p w14:paraId="505E91FB" w14:textId="77777777" w:rsidR="00423962" w:rsidRPr="003504E4" w:rsidRDefault="00ED4E1B" w:rsidP="003504E4">
      <w:pPr>
        <w:widowControl w:val="0"/>
        <w:autoSpaceDE w:val="0"/>
        <w:autoSpaceDN w:val="0"/>
        <w:adjustRightInd w:val="0"/>
        <w:spacing w:line="276" w:lineRule="auto"/>
        <w:ind w:firstLine="709"/>
        <w:jc w:val="both"/>
        <w:rPr>
          <w:sz w:val="22"/>
          <w:lang w:val="sr-Cyrl-RS"/>
        </w:rPr>
      </w:pPr>
      <w:r w:rsidRPr="008F014A">
        <w:rPr>
          <w:sz w:val="22"/>
          <w:lang w:val="sr-Cyrl-CS"/>
        </w:rPr>
        <w:t xml:space="preserve">У наредном </w:t>
      </w:r>
      <w:proofErr w:type="spellStart"/>
      <w:r w:rsidRPr="008F014A">
        <w:rPr>
          <w:sz w:val="22"/>
          <w:lang w:val="sr-Cyrl-CS"/>
        </w:rPr>
        <w:t>прег</w:t>
      </w:r>
      <w:r w:rsidR="009B7EAB" w:rsidRPr="008F014A">
        <w:rPr>
          <w:sz w:val="22"/>
          <w:lang w:val="sr-Cyrl-CS"/>
        </w:rPr>
        <w:t>л</w:t>
      </w:r>
      <w:proofErr w:type="spellEnd"/>
      <w:r w:rsidRPr="008F014A">
        <w:rPr>
          <w:sz w:val="22"/>
          <w:lang w:val="sr-Latn-BA"/>
        </w:rPr>
        <w:t>e</w:t>
      </w:r>
      <w:proofErr w:type="spellStart"/>
      <w:r w:rsidR="009B7EAB" w:rsidRPr="008F014A">
        <w:rPr>
          <w:sz w:val="22"/>
          <w:lang w:val="sr-Cyrl-CS"/>
        </w:rPr>
        <w:t>ду</w:t>
      </w:r>
      <w:proofErr w:type="spellEnd"/>
      <w:r w:rsidR="00E756A3" w:rsidRPr="008F014A">
        <w:rPr>
          <w:sz w:val="22"/>
          <w:lang w:val="sr-Cyrl-CS"/>
        </w:rPr>
        <w:t xml:space="preserve"> дају се упоредни подаци прих</w:t>
      </w:r>
      <w:r w:rsidR="009B7EAB" w:rsidRPr="008F014A">
        <w:rPr>
          <w:sz w:val="22"/>
          <w:lang w:val="sr-Cyrl-CS"/>
        </w:rPr>
        <w:t>ода јединица локалне самоуправе за период 2019.-2023. година</w:t>
      </w:r>
      <w:r w:rsidRPr="008F014A">
        <w:rPr>
          <w:sz w:val="22"/>
          <w:lang w:val="sr-Cyrl-CS"/>
        </w:rPr>
        <w:t xml:space="preserve"> </w:t>
      </w:r>
      <w:r w:rsidR="00BC31BA" w:rsidRPr="008F014A">
        <w:rPr>
          <w:sz w:val="22"/>
          <w:lang w:val="sr-Cyrl-CS"/>
        </w:rPr>
        <w:t xml:space="preserve">на бази Документа оквирног буџета РС за период 2021- 2023. године, који је био доступан на сајту Министарства финансија од 31.07. 2020. године. </w:t>
      </w:r>
      <w:r w:rsidR="00831D15" w:rsidRPr="00A82B11">
        <w:rPr>
          <w:sz w:val="22"/>
          <w:lang w:val="sr-Cyrl-RS"/>
        </w:rPr>
        <w:t xml:space="preserve">У вези са подацима за 2020. годину, треба имати у виду да су преузети из </w:t>
      </w:r>
      <w:r w:rsidR="00577984">
        <w:rPr>
          <w:sz w:val="22"/>
          <w:lang w:val="sr-Cyrl-RS"/>
        </w:rPr>
        <w:t>ДОБ-а</w:t>
      </w:r>
      <w:r w:rsidR="00831D15" w:rsidRPr="00A82B11">
        <w:rPr>
          <w:sz w:val="22"/>
          <w:lang w:val="sr-Cyrl-RS"/>
        </w:rPr>
        <w:t xml:space="preserve">, који је припремљен у </w:t>
      </w:r>
      <w:proofErr w:type="spellStart"/>
      <w:r w:rsidR="00831D15" w:rsidRPr="00A82B11">
        <w:rPr>
          <w:sz w:val="22"/>
          <w:lang w:val="sr-Cyrl-RS"/>
        </w:rPr>
        <w:t>мјесецу</w:t>
      </w:r>
      <w:proofErr w:type="spellEnd"/>
      <w:r w:rsidR="00831D15" w:rsidRPr="00A82B11">
        <w:rPr>
          <w:sz w:val="22"/>
          <w:lang w:val="sr-Cyrl-RS"/>
        </w:rPr>
        <w:t xml:space="preserve"> јуну 2020. године, и у коме тада нису били укључени сви негативни ефекти </w:t>
      </w:r>
      <w:proofErr w:type="spellStart"/>
      <w:r w:rsidR="00831D15" w:rsidRPr="00A82B11">
        <w:rPr>
          <w:sz w:val="22"/>
          <w:lang w:val="sr-Cyrl-RS"/>
        </w:rPr>
        <w:t>пандемије</w:t>
      </w:r>
      <w:proofErr w:type="spellEnd"/>
      <w:r w:rsidR="00831D15" w:rsidRPr="00A82B11">
        <w:rPr>
          <w:sz w:val="22"/>
          <w:lang w:val="sr-Cyrl-RS"/>
        </w:rPr>
        <w:t xml:space="preserve"> </w:t>
      </w:r>
      <w:r w:rsidR="00831D15">
        <w:rPr>
          <w:sz w:val="22"/>
          <w:lang w:val="en-US"/>
        </w:rPr>
        <w:t>COVID-19</w:t>
      </w:r>
      <w:r w:rsidR="00831D15" w:rsidRPr="00A82B11">
        <w:rPr>
          <w:sz w:val="22"/>
          <w:lang w:val="sr-Cyrl-RS"/>
        </w:rPr>
        <w:t xml:space="preserve"> на буџетске приходе. До израде ове анализе нисмо били у могућности доћи до ажурираних података и </w:t>
      </w:r>
      <w:proofErr w:type="spellStart"/>
      <w:r w:rsidR="00831D15" w:rsidRPr="00A82B11">
        <w:rPr>
          <w:sz w:val="22"/>
          <w:lang w:val="sr-Cyrl-RS"/>
        </w:rPr>
        <w:t>процјене</w:t>
      </w:r>
      <w:proofErr w:type="spellEnd"/>
      <w:r w:rsidR="00831D15" w:rsidRPr="00A82B11">
        <w:rPr>
          <w:sz w:val="22"/>
          <w:lang w:val="sr-Cyrl-RS"/>
        </w:rPr>
        <w:t xml:space="preserve"> извршења прихода за ову годину, у складу са актуелним тенденцијама.</w:t>
      </w:r>
    </w:p>
    <w:p w14:paraId="57133315" w14:textId="77777777" w:rsidR="008F014A" w:rsidRDefault="008F014A" w:rsidP="00E11C70">
      <w:pPr>
        <w:jc w:val="both"/>
        <w:rPr>
          <w:b/>
          <w:bCs/>
          <w:color w:val="365F91"/>
        </w:rPr>
      </w:pPr>
    </w:p>
    <w:p w14:paraId="169B91DC" w14:textId="77777777" w:rsidR="00672C6A" w:rsidRDefault="00BD4EE0" w:rsidP="00E11C70">
      <w:pPr>
        <w:jc w:val="both"/>
        <w:rPr>
          <w:b/>
          <w:bCs/>
          <w:color w:val="548DD4" w:themeColor="text2" w:themeTint="99"/>
          <w:sz w:val="20"/>
        </w:rPr>
      </w:pPr>
      <w:proofErr w:type="spellStart"/>
      <w:r w:rsidRPr="00EB31C1">
        <w:rPr>
          <w:b/>
          <w:bCs/>
          <w:color w:val="548DD4" w:themeColor="text2" w:themeTint="99"/>
          <w:sz w:val="20"/>
        </w:rPr>
        <w:t>Табела</w:t>
      </w:r>
      <w:proofErr w:type="spellEnd"/>
      <w:r w:rsidRPr="00EB31C1">
        <w:rPr>
          <w:b/>
          <w:bCs/>
          <w:color w:val="548DD4" w:themeColor="text2" w:themeTint="99"/>
          <w:sz w:val="20"/>
        </w:rPr>
        <w:t xml:space="preserve"> 4</w:t>
      </w:r>
      <w:r w:rsidR="00A677A0" w:rsidRPr="00EB31C1">
        <w:rPr>
          <w:b/>
          <w:bCs/>
          <w:color w:val="548DD4" w:themeColor="text2" w:themeTint="99"/>
          <w:sz w:val="20"/>
        </w:rPr>
        <w:t>:</w:t>
      </w:r>
      <w:r w:rsidR="00D10AE4" w:rsidRPr="00EB31C1">
        <w:rPr>
          <w:b/>
          <w:bCs/>
          <w:color w:val="548DD4" w:themeColor="text2" w:themeTint="99"/>
          <w:sz w:val="20"/>
        </w:rPr>
        <w:t xml:space="preserve"> </w:t>
      </w:r>
      <w:r w:rsidR="00850B55" w:rsidRPr="00EB31C1">
        <w:rPr>
          <w:b/>
          <w:bCs/>
          <w:color w:val="548DD4" w:themeColor="text2" w:themeTint="99"/>
          <w:sz w:val="20"/>
          <w:lang w:val="sr-Cyrl-BA"/>
        </w:rPr>
        <w:t>Реализација 2019</w:t>
      </w:r>
      <w:r w:rsidR="00A677A0" w:rsidRPr="00EB31C1">
        <w:rPr>
          <w:b/>
          <w:bCs/>
          <w:color w:val="548DD4" w:themeColor="text2" w:themeTint="99"/>
          <w:sz w:val="20"/>
          <w:lang w:val="sr-Cyrl-BA"/>
        </w:rPr>
        <w:t xml:space="preserve">, </w:t>
      </w:r>
      <w:r w:rsidR="00C328EA" w:rsidRPr="00EB31C1">
        <w:rPr>
          <w:b/>
          <w:bCs/>
          <w:color w:val="548DD4" w:themeColor="text2" w:themeTint="99"/>
          <w:sz w:val="20"/>
          <w:lang w:val="sr-Cyrl-BA"/>
        </w:rPr>
        <w:t xml:space="preserve">план </w:t>
      </w:r>
      <w:r w:rsidR="00833C1B" w:rsidRPr="00EB31C1">
        <w:rPr>
          <w:b/>
          <w:bCs/>
          <w:color w:val="548DD4" w:themeColor="text2" w:themeTint="99"/>
          <w:sz w:val="20"/>
          <w:lang w:val="sr-Cyrl-BA"/>
        </w:rPr>
        <w:t>2020</w:t>
      </w:r>
      <w:r w:rsidR="008279F6" w:rsidRPr="00EB31C1">
        <w:rPr>
          <w:b/>
          <w:bCs/>
          <w:color w:val="548DD4" w:themeColor="text2" w:themeTint="99"/>
          <w:sz w:val="20"/>
          <w:lang w:val="sr-Cyrl-BA"/>
        </w:rPr>
        <w:t>. и п</w:t>
      </w:r>
      <w:proofErr w:type="spellStart"/>
      <w:r w:rsidR="00D10AE4" w:rsidRPr="00EB31C1">
        <w:rPr>
          <w:b/>
          <w:bCs/>
          <w:color w:val="548DD4" w:themeColor="text2" w:themeTint="99"/>
          <w:sz w:val="20"/>
        </w:rPr>
        <w:t>ројекција</w:t>
      </w:r>
      <w:proofErr w:type="spellEnd"/>
      <w:r w:rsidR="00D10AE4" w:rsidRPr="00EB31C1">
        <w:rPr>
          <w:b/>
          <w:bCs/>
          <w:color w:val="548DD4" w:themeColor="text2" w:themeTint="99"/>
          <w:sz w:val="20"/>
        </w:rPr>
        <w:t xml:space="preserve"> </w:t>
      </w:r>
      <w:proofErr w:type="spellStart"/>
      <w:r w:rsidR="00D10AE4" w:rsidRPr="00EB31C1">
        <w:rPr>
          <w:b/>
          <w:bCs/>
          <w:color w:val="548DD4" w:themeColor="text2" w:themeTint="99"/>
          <w:sz w:val="20"/>
        </w:rPr>
        <w:t>прихода</w:t>
      </w:r>
      <w:proofErr w:type="spellEnd"/>
      <w:r w:rsidR="00D10AE4" w:rsidRPr="00EB31C1">
        <w:rPr>
          <w:b/>
          <w:bCs/>
          <w:color w:val="548DD4" w:themeColor="text2" w:themeTint="99"/>
          <w:sz w:val="20"/>
        </w:rPr>
        <w:t xml:space="preserve"> </w:t>
      </w:r>
      <w:proofErr w:type="spellStart"/>
      <w:r w:rsidR="00D10AE4" w:rsidRPr="00EB31C1">
        <w:rPr>
          <w:b/>
          <w:bCs/>
          <w:color w:val="548DD4" w:themeColor="text2" w:themeTint="99"/>
          <w:sz w:val="20"/>
        </w:rPr>
        <w:t>јединица</w:t>
      </w:r>
      <w:proofErr w:type="spellEnd"/>
      <w:r w:rsidR="00D10AE4" w:rsidRPr="00EB31C1">
        <w:rPr>
          <w:b/>
          <w:bCs/>
          <w:color w:val="548DD4" w:themeColor="text2" w:themeTint="99"/>
          <w:sz w:val="20"/>
        </w:rPr>
        <w:t xml:space="preserve"> </w:t>
      </w:r>
      <w:proofErr w:type="spellStart"/>
      <w:r w:rsidR="00D10AE4" w:rsidRPr="00EB31C1">
        <w:rPr>
          <w:b/>
          <w:bCs/>
          <w:color w:val="548DD4" w:themeColor="text2" w:themeTint="99"/>
          <w:sz w:val="20"/>
        </w:rPr>
        <w:t>л</w:t>
      </w:r>
      <w:r w:rsidR="00C328EA" w:rsidRPr="00EB31C1">
        <w:rPr>
          <w:b/>
          <w:bCs/>
          <w:color w:val="548DD4" w:themeColor="text2" w:themeTint="99"/>
          <w:sz w:val="20"/>
        </w:rPr>
        <w:t>окалне</w:t>
      </w:r>
      <w:proofErr w:type="spellEnd"/>
      <w:r w:rsidR="00672C6A">
        <w:rPr>
          <w:b/>
          <w:bCs/>
          <w:color w:val="548DD4" w:themeColor="text2" w:themeTint="99"/>
          <w:sz w:val="20"/>
          <w:lang w:val="sr-Cyrl-RS"/>
        </w:rPr>
        <w:t xml:space="preserve"> </w:t>
      </w:r>
      <w:proofErr w:type="spellStart"/>
      <w:r w:rsidR="00C328EA" w:rsidRPr="00EB31C1">
        <w:rPr>
          <w:b/>
          <w:bCs/>
          <w:color w:val="548DD4" w:themeColor="text2" w:themeTint="99"/>
          <w:sz w:val="20"/>
        </w:rPr>
        <w:t>самоуправе</w:t>
      </w:r>
      <w:proofErr w:type="spellEnd"/>
      <w:r w:rsidR="00C328EA" w:rsidRPr="00EB31C1">
        <w:rPr>
          <w:b/>
          <w:bCs/>
          <w:color w:val="548DD4" w:themeColor="text2" w:themeTint="99"/>
          <w:sz w:val="20"/>
        </w:rPr>
        <w:t xml:space="preserve"> </w:t>
      </w:r>
    </w:p>
    <w:p w14:paraId="6937679B" w14:textId="77777777" w:rsidR="00D10AE4" w:rsidRPr="00EB31C1" w:rsidRDefault="00C328EA" w:rsidP="00E11C70">
      <w:pPr>
        <w:jc w:val="both"/>
        <w:rPr>
          <w:b/>
          <w:bCs/>
          <w:color w:val="548DD4" w:themeColor="text2" w:themeTint="99"/>
          <w:sz w:val="20"/>
          <w:lang w:val="sr-Cyrl-RS"/>
        </w:rPr>
      </w:pPr>
      <w:r w:rsidRPr="00EB31C1">
        <w:rPr>
          <w:b/>
          <w:bCs/>
          <w:color w:val="548DD4" w:themeColor="text2" w:themeTint="99"/>
          <w:sz w:val="20"/>
        </w:rPr>
        <w:t xml:space="preserve">у </w:t>
      </w:r>
      <w:proofErr w:type="spellStart"/>
      <w:r w:rsidRPr="00EB31C1">
        <w:rPr>
          <w:b/>
          <w:bCs/>
          <w:color w:val="548DD4" w:themeColor="text2" w:themeTint="99"/>
          <w:sz w:val="20"/>
        </w:rPr>
        <w:t>периоду</w:t>
      </w:r>
      <w:proofErr w:type="spellEnd"/>
      <w:r w:rsidRPr="00EB31C1">
        <w:rPr>
          <w:b/>
          <w:bCs/>
          <w:color w:val="548DD4" w:themeColor="text2" w:themeTint="99"/>
          <w:sz w:val="20"/>
        </w:rPr>
        <w:t xml:space="preserve"> </w:t>
      </w:r>
      <w:r w:rsidR="0064553E" w:rsidRPr="00EB31C1">
        <w:rPr>
          <w:b/>
          <w:bCs/>
          <w:color w:val="548DD4" w:themeColor="text2" w:themeTint="99"/>
          <w:sz w:val="20"/>
        </w:rPr>
        <w:t>2021</w:t>
      </w:r>
      <w:r w:rsidR="0044368A" w:rsidRPr="00EB31C1">
        <w:rPr>
          <w:b/>
          <w:bCs/>
          <w:color w:val="548DD4" w:themeColor="text2" w:themeTint="99"/>
          <w:sz w:val="20"/>
        </w:rPr>
        <w:t>-</w:t>
      </w:r>
      <w:r w:rsidR="0064553E" w:rsidRPr="00EB31C1">
        <w:rPr>
          <w:b/>
          <w:bCs/>
          <w:color w:val="548DD4" w:themeColor="text2" w:themeTint="99"/>
          <w:sz w:val="20"/>
        </w:rPr>
        <w:t>2023</w:t>
      </w:r>
      <w:r w:rsidR="00D10AE4" w:rsidRPr="00EB31C1">
        <w:rPr>
          <w:b/>
          <w:bCs/>
          <w:color w:val="548DD4" w:themeColor="text2" w:themeTint="99"/>
          <w:sz w:val="20"/>
        </w:rPr>
        <w:t xml:space="preserve">. </w:t>
      </w:r>
      <w:proofErr w:type="spellStart"/>
      <w:r w:rsidR="00D10AE4" w:rsidRPr="00EB31C1">
        <w:rPr>
          <w:b/>
          <w:bCs/>
          <w:color w:val="548DD4" w:themeColor="text2" w:themeTint="99"/>
          <w:sz w:val="20"/>
        </w:rPr>
        <w:t>годинa</w:t>
      </w:r>
      <w:proofErr w:type="spellEnd"/>
      <w:r w:rsidR="00D10AE4" w:rsidRPr="00EB31C1">
        <w:rPr>
          <w:b/>
          <w:bCs/>
          <w:color w:val="548DD4" w:themeColor="text2" w:themeTint="99"/>
          <w:sz w:val="20"/>
        </w:rPr>
        <w:t xml:space="preserve"> </w:t>
      </w:r>
      <w:r w:rsidR="00BD4EE0" w:rsidRPr="00EB31C1">
        <w:rPr>
          <w:b/>
          <w:bCs/>
          <w:color w:val="548DD4" w:themeColor="text2" w:themeTint="99"/>
          <w:sz w:val="20"/>
          <w:lang w:val="sr-Cyrl-RS"/>
        </w:rPr>
        <w:t xml:space="preserve">                                                    </w:t>
      </w:r>
      <w:r w:rsidR="008F014A" w:rsidRPr="00EB31C1">
        <w:rPr>
          <w:b/>
          <w:bCs/>
          <w:color w:val="548DD4" w:themeColor="text2" w:themeTint="99"/>
          <w:sz w:val="20"/>
          <w:lang w:val="sr-Cyrl-RS"/>
        </w:rPr>
        <w:t xml:space="preserve">                                       </w:t>
      </w:r>
      <w:r w:rsidR="00672C6A">
        <w:rPr>
          <w:b/>
          <w:bCs/>
          <w:color w:val="548DD4" w:themeColor="text2" w:themeTint="99"/>
          <w:sz w:val="20"/>
          <w:lang w:val="sr-Cyrl-RS"/>
        </w:rPr>
        <w:t xml:space="preserve">                      </w:t>
      </w:r>
      <w:r w:rsidR="008F014A" w:rsidRPr="00EB31C1">
        <w:rPr>
          <w:b/>
          <w:bCs/>
          <w:color w:val="548DD4" w:themeColor="text2" w:themeTint="99"/>
          <w:sz w:val="20"/>
          <w:lang w:val="sr-Cyrl-RS"/>
        </w:rPr>
        <w:t xml:space="preserve">         </w:t>
      </w:r>
      <w:r w:rsidR="00BD4EE0" w:rsidRPr="00EB31C1">
        <w:rPr>
          <w:b/>
          <w:bCs/>
          <w:color w:val="548DD4" w:themeColor="text2" w:themeTint="99"/>
          <w:sz w:val="20"/>
          <w:lang w:val="sr-Cyrl-RS"/>
        </w:rPr>
        <w:t xml:space="preserve">    </w:t>
      </w:r>
      <w:r w:rsidR="00D10AE4" w:rsidRPr="00EB31C1">
        <w:rPr>
          <w:b/>
          <w:bCs/>
          <w:color w:val="548DD4" w:themeColor="text2" w:themeTint="99"/>
          <w:sz w:val="20"/>
        </w:rPr>
        <w:t xml:space="preserve">(у </w:t>
      </w:r>
      <w:proofErr w:type="spellStart"/>
      <w:r w:rsidR="00D10AE4" w:rsidRPr="00EB31C1">
        <w:rPr>
          <w:b/>
          <w:bCs/>
          <w:color w:val="548DD4" w:themeColor="text2" w:themeTint="99"/>
          <w:sz w:val="20"/>
        </w:rPr>
        <w:t>мил</w:t>
      </w:r>
      <w:proofErr w:type="spellEnd"/>
      <w:r w:rsidR="00D10AE4" w:rsidRPr="00EB31C1">
        <w:rPr>
          <w:b/>
          <w:bCs/>
          <w:color w:val="548DD4" w:themeColor="text2" w:themeTint="99"/>
          <w:sz w:val="20"/>
        </w:rPr>
        <w:t>. КМ)</w:t>
      </w:r>
    </w:p>
    <w:tbl>
      <w:tblPr>
        <w:tblOverlap w:val="never"/>
        <w:tblW w:w="10060" w:type="dxa"/>
        <w:tblLayout w:type="fixed"/>
        <w:tblCellMar>
          <w:left w:w="10" w:type="dxa"/>
          <w:right w:w="10" w:type="dxa"/>
        </w:tblCellMar>
        <w:tblLook w:val="0080" w:firstRow="0" w:lastRow="0" w:firstColumn="1" w:lastColumn="0" w:noHBand="0" w:noVBand="0"/>
      </w:tblPr>
      <w:tblGrid>
        <w:gridCol w:w="3554"/>
        <w:gridCol w:w="977"/>
        <w:gridCol w:w="993"/>
        <w:gridCol w:w="850"/>
        <w:gridCol w:w="851"/>
        <w:gridCol w:w="992"/>
        <w:gridCol w:w="992"/>
        <w:gridCol w:w="851"/>
      </w:tblGrid>
      <w:tr w:rsidR="007F742E" w:rsidRPr="008F014A" w14:paraId="49868314" w14:textId="77777777" w:rsidTr="007F742E">
        <w:trPr>
          <w:trHeight w:val="526"/>
        </w:trPr>
        <w:tc>
          <w:tcPr>
            <w:tcW w:w="3554" w:type="dxa"/>
            <w:vMerge w:val="restart"/>
            <w:tcBorders>
              <w:top w:val="single" w:sz="4" w:space="0" w:color="auto"/>
              <w:left w:val="single" w:sz="4" w:space="0" w:color="auto"/>
            </w:tcBorders>
            <w:shd w:val="clear" w:color="auto" w:fill="B8CCE4" w:themeFill="accent1" w:themeFillTint="66"/>
            <w:vAlign w:val="center"/>
          </w:tcPr>
          <w:p w14:paraId="0D8E987A" w14:textId="77777777" w:rsidR="007F742E" w:rsidRPr="00F66D0A" w:rsidRDefault="007F742E" w:rsidP="00F66D0A">
            <w:pPr>
              <w:jc w:val="center"/>
              <w:rPr>
                <w:sz w:val="20"/>
                <w:szCs w:val="20"/>
              </w:rPr>
            </w:pPr>
            <w:r w:rsidRPr="00F66D0A">
              <w:rPr>
                <w:sz w:val="20"/>
                <w:szCs w:val="20"/>
              </w:rPr>
              <w:t>ОПИС</w:t>
            </w:r>
          </w:p>
        </w:tc>
        <w:tc>
          <w:tcPr>
            <w:tcW w:w="977" w:type="dxa"/>
            <w:tcBorders>
              <w:top w:val="single" w:sz="4" w:space="0" w:color="auto"/>
              <w:left w:val="single" w:sz="4" w:space="0" w:color="auto"/>
              <w:right w:val="single" w:sz="4" w:space="0" w:color="auto"/>
            </w:tcBorders>
            <w:shd w:val="clear" w:color="auto" w:fill="B8CCE4" w:themeFill="accent1" w:themeFillTint="66"/>
          </w:tcPr>
          <w:p w14:paraId="327C3AC4" w14:textId="77777777" w:rsidR="007F742E" w:rsidRPr="00F66D0A" w:rsidRDefault="007F742E" w:rsidP="00F66D0A">
            <w:pPr>
              <w:jc w:val="center"/>
              <w:rPr>
                <w:sz w:val="20"/>
                <w:szCs w:val="20"/>
              </w:rPr>
            </w:pPr>
          </w:p>
          <w:p w14:paraId="62E73EC1" w14:textId="77777777" w:rsidR="007F742E" w:rsidRPr="00F66D0A" w:rsidRDefault="007F742E" w:rsidP="00F66D0A">
            <w:pPr>
              <w:jc w:val="center"/>
              <w:rPr>
                <w:sz w:val="20"/>
                <w:szCs w:val="20"/>
              </w:rPr>
            </w:pPr>
            <w:proofErr w:type="spellStart"/>
            <w:r w:rsidRPr="00F66D0A">
              <w:rPr>
                <w:sz w:val="20"/>
                <w:szCs w:val="20"/>
              </w:rPr>
              <w:t>Реализ</w:t>
            </w:r>
            <w:proofErr w:type="spellEnd"/>
            <w:r w:rsidRPr="00F66D0A">
              <w:rPr>
                <w:sz w:val="20"/>
                <w:szCs w:val="20"/>
              </w:rPr>
              <w:t>.</w:t>
            </w:r>
          </w:p>
        </w:tc>
        <w:tc>
          <w:tcPr>
            <w:tcW w:w="993" w:type="dxa"/>
            <w:tcBorders>
              <w:top w:val="single" w:sz="4" w:space="0" w:color="auto"/>
              <w:left w:val="single" w:sz="4" w:space="0" w:color="auto"/>
            </w:tcBorders>
            <w:shd w:val="clear" w:color="auto" w:fill="B8CCE4" w:themeFill="accent1" w:themeFillTint="66"/>
          </w:tcPr>
          <w:p w14:paraId="5C5F4BE0" w14:textId="77777777" w:rsidR="007F742E" w:rsidRPr="00F66D0A" w:rsidRDefault="007F742E" w:rsidP="00F66D0A">
            <w:pPr>
              <w:jc w:val="center"/>
              <w:rPr>
                <w:sz w:val="20"/>
                <w:szCs w:val="20"/>
              </w:rPr>
            </w:pPr>
          </w:p>
          <w:p w14:paraId="4EEEC171" w14:textId="77777777" w:rsidR="007F742E" w:rsidRPr="00F66D0A" w:rsidRDefault="007F742E" w:rsidP="00F66D0A">
            <w:pPr>
              <w:jc w:val="center"/>
              <w:rPr>
                <w:sz w:val="20"/>
                <w:szCs w:val="20"/>
              </w:rPr>
            </w:pPr>
            <w:proofErr w:type="spellStart"/>
            <w:r w:rsidRPr="00F66D0A">
              <w:rPr>
                <w:sz w:val="20"/>
                <w:szCs w:val="20"/>
              </w:rPr>
              <w:t>План</w:t>
            </w:r>
            <w:proofErr w:type="spellEnd"/>
          </w:p>
        </w:tc>
        <w:tc>
          <w:tcPr>
            <w:tcW w:w="2693" w:type="dxa"/>
            <w:gridSpan w:val="3"/>
            <w:tcBorders>
              <w:top w:val="single" w:sz="4" w:space="0" w:color="auto"/>
              <w:left w:val="single" w:sz="4" w:space="0" w:color="auto"/>
              <w:right w:val="single" w:sz="4" w:space="0" w:color="auto"/>
            </w:tcBorders>
            <w:shd w:val="clear" w:color="auto" w:fill="B8CCE4" w:themeFill="accent1" w:themeFillTint="66"/>
          </w:tcPr>
          <w:p w14:paraId="387FE990" w14:textId="77777777" w:rsidR="007F742E" w:rsidRPr="00F66D0A" w:rsidRDefault="007F742E" w:rsidP="00F66D0A">
            <w:pPr>
              <w:jc w:val="center"/>
              <w:rPr>
                <w:sz w:val="20"/>
                <w:szCs w:val="20"/>
              </w:rPr>
            </w:pPr>
          </w:p>
          <w:p w14:paraId="1E30072A" w14:textId="77777777" w:rsidR="007F742E" w:rsidRPr="00F66D0A" w:rsidRDefault="007F742E" w:rsidP="00F66D0A">
            <w:pPr>
              <w:jc w:val="center"/>
              <w:rPr>
                <w:sz w:val="20"/>
                <w:szCs w:val="20"/>
              </w:rPr>
            </w:pPr>
            <w:proofErr w:type="spellStart"/>
            <w:r w:rsidRPr="00F66D0A">
              <w:rPr>
                <w:sz w:val="20"/>
                <w:szCs w:val="20"/>
              </w:rPr>
              <w:t>Пројекција</w:t>
            </w:r>
            <w:proofErr w:type="spellEnd"/>
          </w:p>
        </w:tc>
        <w:tc>
          <w:tcPr>
            <w:tcW w:w="992" w:type="dxa"/>
            <w:tcBorders>
              <w:top w:val="single" w:sz="4" w:space="0" w:color="auto"/>
              <w:left w:val="single" w:sz="4" w:space="0" w:color="auto"/>
              <w:right w:val="single" w:sz="4" w:space="0" w:color="auto"/>
            </w:tcBorders>
            <w:shd w:val="clear" w:color="auto" w:fill="B8CCE4" w:themeFill="accent1" w:themeFillTint="66"/>
          </w:tcPr>
          <w:p w14:paraId="338FA588" w14:textId="77777777" w:rsidR="007F742E" w:rsidRPr="00F66D0A" w:rsidRDefault="007F742E" w:rsidP="00F66D0A">
            <w:pPr>
              <w:jc w:val="center"/>
              <w:rPr>
                <w:sz w:val="20"/>
                <w:szCs w:val="20"/>
              </w:rPr>
            </w:pPr>
            <w:proofErr w:type="spellStart"/>
            <w:r w:rsidRPr="00F66D0A">
              <w:rPr>
                <w:sz w:val="20"/>
                <w:szCs w:val="20"/>
              </w:rPr>
              <w:t>Пројекц</w:t>
            </w:r>
            <w:proofErr w:type="spellEnd"/>
            <w:r w:rsidRPr="00F66D0A">
              <w:rPr>
                <w:sz w:val="20"/>
                <w:szCs w:val="20"/>
              </w:rPr>
              <w:t>. 2021/</w:t>
            </w:r>
          </w:p>
          <w:p w14:paraId="28CE32FE" w14:textId="77777777" w:rsidR="007F742E" w:rsidRPr="00F66D0A" w:rsidRDefault="007F742E" w:rsidP="00F66D0A">
            <w:pPr>
              <w:jc w:val="center"/>
              <w:rPr>
                <w:sz w:val="20"/>
                <w:szCs w:val="20"/>
              </w:rPr>
            </w:pPr>
            <w:proofErr w:type="spellStart"/>
            <w:r w:rsidRPr="00F66D0A">
              <w:rPr>
                <w:sz w:val="20"/>
                <w:szCs w:val="20"/>
              </w:rPr>
              <w:t>План</w:t>
            </w:r>
            <w:proofErr w:type="spellEnd"/>
            <w:r w:rsidRPr="00F66D0A">
              <w:rPr>
                <w:sz w:val="20"/>
                <w:szCs w:val="20"/>
              </w:rPr>
              <w:t xml:space="preserve"> 2020</w:t>
            </w:r>
          </w:p>
        </w:tc>
        <w:tc>
          <w:tcPr>
            <w:tcW w:w="851" w:type="dxa"/>
            <w:tcBorders>
              <w:top w:val="single" w:sz="4" w:space="0" w:color="auto"/>
              <w:left w:val="single" w:sz="4" w:space="0" w:color="auto"/>
              <w:right w:val="single" w:sz="4" w:space="0" w:color="auto"/>
            </w:tcBorders>
            <w:shd w:val="clear" w:color="auto" w:fill="B8CCE4" w:themeFill="accent1" w:themeFillTint="66"/>
          </w:tcPr>
          <w:p w14:paraId="0986F2EC" w14:textId="77777777" w:rsidR="007F742E" w:rsidRPr="00F66D0A" w:rsidRDefault="007F742E" w:rsidP="00F66D0A">
            <w:pPr>
              <w:jc w:val="center"/>
              <w:rPr>
                <w:sz w:val="20"/>
                <w:szCs w:val="20"/>
              </w:rPr>
            </w:pPr>
            <w:r w:rsidRPr="00F66D0A">
              <w:rPr>
                <w:sz w:val="20"/>
                <w:szCs w:val="20"/>
              </w:rPr>
              <w:t>Пројекц.2021/</w:t>
            </w:r>
          </w:p>
          <w:p w14:paraId="19220780" w14:textId="77777777" w:rsidR="007F742E" w:rsidRPr="00F66D0A" w:rsidRDefault="007F742E" w:rsidP="00F66D0A">
            <w:pPr>
              <w:jc w:val="center"/>
              <w:rPr>
                <w:sz w:val="20"/>
                <w:szCs w:val="20"/>
              </w:rPr>
            </w:pPr>
            <w:r w:rsidRPr="00F66D0A">
              <w:rPr>
                <w:sz w:val="20"/>
                <w:szCs w:val="20"/>
              </w:rPr>
              <w:t>Изв.2019</w:t>
            </w:r>
          </w:p>
        </w:tc>
      </w:tr>
      <w:tr w:rsidR="007F742E" w:rsidRPr="008F014A" w14:paraId="4F48EB32" w14:textId="77777777" w:rsidTr="007F742E">
        <w:trPr>
          <w:trHeight w:val="263"/>
        </w:trPr>
        <w:tc>
          <w:tcPr>
            <w:tcW w:w="3554" w:type="dxa"/>
            <w:vMerge/>
            <w:tcBorders>
              <w:left w:val="single" w:sz="4" w:space="0" w:color="auto"/>
              <w:bottom w:val="single" w:sz="4" w:space="0" w:color="auto"/>
            </w:tcBorders>
            <w:shd w:val="clear" w:color="auto" w:fill="B8CCE4" w:themeFill="accent1" w:themeFillTint="66"/>
          </w:tcPr>
          <w:p w14:paraId="485F7E57" w14:textId="77777777" w:rsidR="007F742E" w:rsidRPr="00F66D0A" w:rsidRDefault="007F742E" w:rsidP="00F66D0A">
            <w:pPr>
              <w:rPr>
                <w:sz w:val="20"/>
                <w:szCs w:val="20"/>
              </w:rPr>
            </w:pPr>
          </w:p>
        </w:tc>
        <w:tc>
          <w:tcPr>
            <w:tcW w:w="977" w:type="dxa"/>
            <w:tcBorders>
              <w:top w:val="single" w:sz="4" w:space="0" w:color="auto"/>
              <w:left w:val="single" w:sz="4" w:space="0" w:color="auto"/>
              <w:bottom w:val="single" w:sz="4" w:space="0" w:color="auto"/>
            </w:tcBorders>
            <w:shd w:val="clear" w:color="auto" w:fill="B8CCE4" w:themeFill="accent1" w:themeFillTint="66"/>
          </w:tcPr>
          <w:p w14:paraId="127EB4E9" w14:textId="77777777" w:rsidR="007F742E" w:rsidRPr="00F66D0A" w:rsidRDefault="007F742E" w:rsidP="00F66D0A">
            <w:pPr>
              <w:jc w:val="center"/>
              <w:rPr>
                <w:sz w:val="20"/>
                <w:szCs w:val="20"/>
              </w:rPr>
            </w:pPr>
            <w:r w:rsidRPr="00F66D0A">
              <w:rPr>
                <w:sz w:val="20"/>
                <w:szCs w:val="20"/>
              </w:rPr>
              <w:t>2019.</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EF184D" w14:textId="77777777" w:rsidR="007F742E" w:rsidRPr="00F66D0A" w:rsidRDefault="007F742E" w:rsidP="00F66D0A">
            <w:pPr>
              <w:jc w:val="center"/>
              <w:rPr>
                <w:sz w:val="20"/>
                <w:szCs w:val="20"/>
              </w:rPr>
            </w:pPr>
            <w:r w:rsidRPr="00F66D0A">
              <w:rPr>
                <w:sz w:val="20"/>
                <w:szCs w:val="20"/>
              </w:rPr>
              <w:t>2020.</w:t>
            </w:r>
          </w:p>
        </w:tc>
        <w:tc>
          <w:tcPr>
            <w:tcW w:w="850" w:type="dxa"/>
            <w:tcBorders>
              <w:top w:val="single" w:sz="4" w:space="0" w:color="auto"/>
              <w:left w:val="single" w:sz="4" w:space="0" w:color="auto"/>
              <w:bottom w:val="single" w:sz="4" w:space="0" w:color="auto"/>
            </w:tcBorders>
            <w:shd w:val="clear" w:color="auto" w:fill="B8CCE4" w:themeFill="accent1" w:themeFillTint="66"/>
          </w:tcPr>
          <w:p w14:paraId="6C840AA7" w14:textId="77777777" w:rsidR="007F742E" w:rsidRPr="00F66D0A" w:rsidRDefault="007F742E" w:rsidP="00F66D0A">
            <w:pPr>
              <w:jc w:val="center"/>
              <w:rPr>
                <w:sz w:val="20"/>
                <w:szCs w:val="20"/>
              </w:rPr>
            </w:pPr>
            <w:r w:rsidRPr="00F66D0A">
              <w:rPr>
                <w:sz w:val="20"/>
                <w:szCs w:val="20"/>
              </w:rPr>
              <w:t>2021.</w:t>
            </w:r>
          </w:p>
        </w:tc>
        <w:tc>
          <w:tcPr>
            <w:tcW w:w="851" w:type="dxa"/>
            <w:tcBorders>
              <w:top w:val="single" w:sz="4" w:space="0" w:color="auto"/>
              <w:left w:val="single" w:sz="4" w:space="0" w:color="auto"/>
              <w:bottom w:val="single" w:sz="4" w:space="0" w:color="auto"/>
            </w:tcBorders>
            <w:shd w:val="clear" w:color="auto" w:fill="B8CCE4" w:themeFill="accent1" w:themeFillTint="66"/>
          </w:tcPr>
          <w:p w14:paraId="209989DA" w14:textId="77777777" w:rsidR="007F742E" w:rsidRPr="00F66D0A" w:rsidRDefault="007F742E" w:rsidP="00F66D0A">
            <w:pPr>
              <w:jc w:val="center"/>
              <w:rPr>
                <w:sz w:val="20"/>
                <w:szCs w:val="20"/>
              </w:rPr>
            </w:pPr>
            <w:r w:rsidRPr="00F66D0A">
              <w:rPr>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4A3A4D" w14:textId="77777777" w:rsidR="007F742E" w:rsidRPr="00F66D0A" w:rsidRDefault="007F742E" w:rsidP="00F66D0A">
            <w:pPr>
              <w:jc w:val="center"/>
              <w:rPr>
                <w:sz w:val="20"/>
                <w:szCs w:val="20"/>
              </w:rPr>
            </w:pPr>
            <w:r w:rsidRPr="00F66D0A">
              <w:rPr>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AB6819" w14:textId="77777777" w:rsidR="007F742E" w:rsidRPr="00F66D0A" w:rsidRDefault="007F742E" w:rsidP="00F66D0A">
            <w:pPr>
              <w:jc w:val="center"/>
              <w:rPr>
                <w:sz w:val="20"/>
                <w:szCs w:val="20"/>
              </w:rPr>
            </w:pPr>
            <w:proofErr w:type="spellStart"/>
            <w:r w:rsidRPr="00F66D0A">
              <w:rPr>
                <w:sz w:val="20"/>
                <w:szCs w:val="20"/>
              </w:rPr>
              <w:t>Инд</w:t>
            </w:r>
            <w:proofErr w:type="spellEnd"/>
            <w:r w:rsidRPr="00F66D0A">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C575E7" w14:textId="77777777" w:rsidR="007F742E" w:rsidRPr="00F66D0A" w:rsidRDefault="007F742E" w:rsidP="00F66D0A">
            <w:pPr>
              <w:jc w:val="center"/>
              <w:rPr>
                <w:sz w:val="20"/>
                <w:szCs w:val="20"/>
              </w:rPr>
            </w:pPr>
            <w:proofErr w:type="spellStart"/>
            <w:r w:rsidRPr="00F66D0A">
              <w:rPr>
                <w:sz w:val="20"/>
                <w:szCs w:val="20"/>
              </w:rPr>
              <w:t>Инд</w:t>
            </w:r>
            <w:proofErr w:type="spellEnd"/>
            <w:r w:rsidRPr="00F66D0A">
              <w:rPr>
                <w:sz w:val="20"/>
                <w:szCs w:val="20"/>
              </w:rPr>
              <w:t>.</w:t>
            </w:r>
          </w:p>
        </w:tc>
      </w:tr>
      <w:tr w:rsidR="007F742E" w:rsidRPr="00A82B11" w14:paraId="5408DD82" w14:textId="77777777" w:rsidTr="007F742E">
        <w:trPr>
          <w:trHeight w:val="115"/>
        </w:trPr>
        <w:tc>
          <w:tcPr>
            <w:tcW w:w="3554" w:type="dxa"/>
            <w:tcBorders>
              <w:top w:val="single" w:sz="4" w:space="0" w:color="auto"/>
              <w:left w:val="single" w:sz="4" w:space="0" w:color="auto"/>
            </w:tcBorders>
            <w:shd w:val="clear" w:color="auto" w:fill="FFFFFF"/>
          </w:tcPr>
          <w:p w14:paraId="3B73B38F" w14:textId="77777777" w:rsidR="007F742E" w:rsidRPr="00F66D0A" w:rsidRDefault="007F742E" w:rsidP="00F66D0A">
            <w:pPr>
              <w:rPr>
                <w:sz w:val="20"/>
                <w:szCs w:val="20"/>
              </w:rPr>
            </w:pPr>
            <w:r w:rsidRPr="00F66D0A">
              <w:rPr>
                <w:rFonts w:eastAsiaTheme="majorEastAsia"/>
                <w:sz w:val="20"/>
                <w:szCs w:val="20"/>
              </w:rPr>
              <w:t>П Р И Х О Д И (I+II+III+IV)</w:t>
            </w:r>
          </w:p>
        </w:tc>
        <w:tc>
          <w:tcPr>
            <w:tcW w:w="977" w:type="dxa"/>
            <w:tcBorders>
              <w:top w:val="single" w:sz="4" w:space="0" w:color="auto"/>
              <w:left w:val="single" w:sz="4" w:space="0" w:color="auto"/>
            </w:tcBorders>
            <w:shd w:val="clear" w:color="auto" w:fill="auto"/>
            <w:vAlign w:val="center"/>
          </w:tcPr>
          <w:p w14:paraId="60BC38FC" w14:textId="77777777" w:rsidR="007F742E" w:rsidRPr="00F66D0A" w:rsidRDefault="007F742E" w:rsidP="00F66D0A">
            <w:pPr>
              <w:jc w:val="center"/>
              <w:rPr>
                <w:rFonts w:eastAsiaTheme="majorEastAsia"/>
                <w:sz w:val="20"/>
                <w:szCs w:val="20"/>
              </w:rPr>
            </w:pPr>
            <w:r w:rsidRPr="00F66D0A">
              <w:rPr>
                <w:rFonts w:eastAsiaTheme="majorEastAsia"/>
                <w:sz w:val="20"/>
                <w:szCs w:val="20"/>
              </w:rPr>
              <w:t>704,6</w:t>
            </w:r>
          </w:p>
        </w:tc>
        <w:tc>
          <w:tcPr>
            <w:tcW w:w="993" w:type="dxa"/>
            <w:tcBorders>
              <w:top w:val="single" w:sz="4" w:space="0" w:color="auto"/>
              <w:left w:val="single" w:sz="4" w:space="0" w:color="auto"/>
              <w:right w:val="single" w:sz="4" w:space="0" w:color="auto"/>
            </w:tcBorders>
            <w:shd w:val="clear" w:color="auto" w:fill="FFFFFF"/>
            <w:vAlign w:val="center"/>
          </w:tcPr>
          <w:p w14:paraId="2FE2F2B1" w14:textId="77777777" w:rsidR="007F742E" w:rsidRPr="00F66D0A" w:rsidRDefault="007F742E" w:rsidP="00F66D0A">
            <w:pPr>
              <w:jc w:val="center"/>
              <w:rPr>
                <w:rFonts w:eastAsiaTheme="majorEastAsia"/>
                <w:sz w:val="20"/>
                <w:szCs w:val="20"/>
              </w:rPr>
            </w:pPr>
            <w:r w:rsidRPr="00F66D0A">
              <w:rPr>
                <w:rFonts w:eastAsiaTheme="majorEastAsia"/>
                <w:sz w:val="20"/>
                <w:szCs w:val="20"/>
              </w:rPr>
              <w:t>770,1</w:t>
            </w:r>
          </w:p>
        </w:tc>
        <w:tc>
          <w:tcPr>
            <w:tcW w:w="850" w:type="dxa"/>
            <w:tcBorders>
              <w:top w:val="single" w:sz="4" w:space="0" w:color="auto"/>
              <w:left w:val="single" w:sz="4" w:space="0" w:color="auto"/>
            </w:tcBorders>
            <w:shd w:val="clear" w:color="auto" w:fill="FFFFFF"/>
          </w:tcPr>
          <w:p w14:paraId="30852D4B" w14:textId="77777777" w:rsidR="007F742E" w:rsidRPr="00F66D0A" w:rsidRDefault="007F742E" w:rsidP="00F66D0A">
            <w:pPr>
              <w:jc w:val="center"/>
              <w:rPr>
                <w:rFonts w:eastAsiaTheme="majorEastAsia"/>
                <w:sz w:val="20"/>
                <w:szCs w:val="20"/>
              </w:rPr>
            </w:pPr>
            <w:r w:rsidRPr="00F66D0A">
              <w:rPr>
                <w:rFonts w:eastAsiaTheme="majorEastAsia"/>
                <w:sz w:val="20"/>
                <w:szCs w:val="20"/>
              </w:rPr>
              <w:t>694,0</w:t>
            </w:r>
          </w:p>
        </w:tc>
        <w:tc>
          <w:tcPr>
            <w:tcW w:w="851" w:type="dxa"/>
            <w:tcBorders>
              <w:top w:val="single" w:sz="4" w:space="0" w:color="auto"/>
              <w:left w:val="single" w:sz="4" w:space="0" w:color="auto"/>
            </w:tcBorders>
            <w:shd w:val="clear" w:color="auto" w:fill="FFFFFF"/>
          </w:tcPr>
          <w:p w14:paraId="00276A8B" w14:textId="77777777" w:rsidR="007F742E" w:rsidRPr="00F66D0A" w:rsidRDefault="007F742E" w:rsidP="00F66D0A">
            <w:pPr>
              <w:jc w:val="center"/>
              <w:rPr>
                <w:rFonts w:eastAsiaTheme="majorEastAsia"/>
                <w:sz w:val="20"/>
                <w:szCs w:val="20"/>
              </w:rPr>
            </w:pPr>
            <w:r w:rsidRPr="00F66D0A">
              <w:rPr>
                <w:rFonts w:eastAsiaTheme="majorEastAsia"/>
                <w:sz w:val="20"/>
                <w:szCs w:val="20"/>
              </w:rPr>
              <w:t>710,4</w:t>
            </w:r>
          </w:p>
        </w:tc>
        <w:tc>
          <w:tcPr>
            <w:tcW w:w="992" w:type="dxa"/>
            <w:tcBorders>
              <w:top w:val="single" w:sz="4" w:space="0" w:color="auto"/>
              <w:left w:val="single" w:sz="4" w:space="0" w:color="auto"/>
              <w:right w:val="single" w:sz="4" w:space="0" w:color="auto"/>
            </w:tcBorders>
            <w:shd w:val="clear" w:color="auto" w:fill="FFFFFF"/>
          </w:tcPr>
          <w:p w14:paraId="032F173D" w14:textId="77777777" w:rsidR="007F742E" w:rsidRPr="00F66D0A" w:rsidRDefault="007F742E" w:rsidP="00F66D0A">
            <w:pPr>
              <w:jc w:val="center"/>
              <w:rPr>
                <w:rFonts w:eastAsiaTheme="majorEastAsia"/>
                <w:sz w:val="20"/>
                <w:szCs w:val="20"/>
              </w:rPr>
            </w:pPr>
            <w:r w:rsidRPr="00F66D0A">
              <w:rPr>
                <w:rFonts w:eastAsiaTheme="majorEastAsia"/>
                <w:sz w:val="20"/>
                <w:szCs w:val="20"/>
              </w:rPr>
              <w:t>703,5</w:t>
            </w:r>
          </w:p>
        </w:tc>
        <w:tc>
          <w:tcPr>
            <w:tcW w:w="992" w:type="dxa"/>
            <w:tcBorders>
              <w:top w:val="single" w:sz="4" w:space="0" w:color="auto"/>
              <w:left w:val="single" w:sz="4" w:space="0" w:color="auto"/>
              <w:right w:val="single" w:sz="4" w:space="0" w:color="auto"/>
            </w:tcBorders>
            <w:shd w:val="clear" w:color="auto" w:fill="FFFFFF"/>
            <w:vAlign w:val="center"/>
          </w:tcPr>
          <w:p w14:paraId="409B303D" w14:textId="77777777" w:rsidR="007F742E" w:rsidRPr="00F66D0A" w:rsidRDefault="007F742E" w:rsidP="00F66D0A">
            <w:pPr>
              <w:jc w:val="center"/>
              <w:rPr>
                <w:sz w:val="20"/>
                <w:szCs w:val="20"/>
              </w:rPr>
            </w:pPr>
            <w:r w:rsidRPr="00F66D0A">
              <w:rPr>
                <w:sz w:val="20"/>
                <w:szCs w:val="20"/>
              </w:rPr>
              <w:t>90,1</w:t>
            </w:r>
          </w:p>
        </w:tc>
        <w:tc>
          <w:tcPr>
            <w:tcW w:w="851" w:type="dxa"/>
            <w:tcBorders>
              <w:top w:val="single" w:sz="4" w:space="0" w:color="auto"/>
              <w:left w:val="single" w:sz="4" w:space="0" w:color="auto"/>
              <w:right w:val="single" w:sz="4" w:space="0" w:color="auto"/>
            </w:tcBorders>
            <w:shd w:val="clear" w:color="auto" w:fill="FFFFFF"/>
            <w:vAlign w:val="center"/>
          </w:tcPr>
          <w:p w14:paraId="1C967B67" w14:textId="77777777" w:rsidR="007F742E" w:rsidRPr="00F66D0A" w:rsidRDefault="007F742E" w:rsidP="00F66D0A">
            <w:pPr>
              <w:jc w:val="center"/>
              <w:rPr>
                <w:sz w:val="20"/>
                <w:szCs w:val="20"/>
              </w:rPr>
            </w:pPr>
            <w:r w:rsidRPr="00F66D0A">
              <w:rPr>
                <w:sz w:val="20"/>
                <w:szCs w:val="20"/>
              </w:rPr>
              <w:t>98,5</w:t>
            </w:r>
          </w:p>
        </w:tc>
      </w:tr>
      <w:tr w:rsidR="007F742E" w:rsidRPr="00A82B11" w14:paraId="1A04E763" w14:textId="77777777" w:rsidTr="007F742E">
        <w:trPr>
          <w:trHeight w:val="175"/>
        </w:trPr>
        <w:tc>
          <w:tcPr>
            <w:tcW w:w="3554" w:type="dxa"/>
            <w:tcBorders>
              <w:top w:val="single" w:sz="4" w:space="0" w:color="auto"/>
              <w:left w:val="single" w:sz="4" w:space="0" w:color="auto"/>
            </w:tcBorders>
            <w:shd w:val="clear" w:color="auto" w:fill="FFFFFF"/>
          </w:tcPr>
          <w:p w14:paraId="73269BD1" w14:textId="77777777" w:rsidR="007F742E" w:rsidRPr="00F66D0A" w:rsidRDefault="007F742E" w:rsidP="00F66D0A">
            <w:pPr>
              <w:rPr>
                <w:sz w:val="20"/>
                <w:szCs w:val="20"/>
              </w:rPr>
            </w:pPr>
            <w:r w:rsidRPr="00F66D0A">
              <w:rPr>
                <w:rFonts w:eastAsiaTheme="majorEastAsia"/>
                <w:sz w:val="20"/>
                <w:szCs w:val="20"/>
              </w:rPr>
              <w:t xml:space="preserve">I </w:t>
            </w:r>
            <w:proofErr w:type="spellStart"/>
            <w:r w:rsidRPr="00F66D0A">
              <w:rPr>
                <w:rFonts w:eastAsiaTheme="majorEastAsia"/>
                <w:sz w:val="20"/>
                <w:szCs w:val="20"/>
              </w:rPr>
              <w:t>Порески</w:t>
            </w:r>
            <w:proofErr w:type="spellEnd"/>
            <w:r w:rsidRPr="00F66D0A">
              <w:rPr>
                <w:rFonts w:eastAsiaTheme="majorEastAsia"/>
                <w:sz w:val="20"/>
                <w:szCs w:val="20"/>
              </w:rPr>
              <w:t xml:space="preserve"> </w:t>
            </w:r>
            <w:proofErr w:type="spellStart"/>
            <w:r w:rsidRPr="00F66D0A">
              <w:rPr>
                <w:rFonts w:eastAsiaTheme="majorEastAsia"/>
                <w:sz w:val="20"/>
                <w:szCs w:val="20"/>
              </w:rPr>
              <w:t>приходи</w:t>
            </w:r>
            <w:proofErr w:type="spellEnd"/>
          </w:p>
        </w:tc>
        <w:tc>
          <w:tcPr>
            <w:tcW w:w="977" w:type="dxa"/>
            <w:tcBorders>
              <w:top w:val="single" w:sz="4" w:space="0" w:color="auto"/>
              <w:left w:val="single" w:sz="4" w:space="0" w:color="auto"/>
            </w:tcBorders>
            <w:shd w:val="clear" w:color="auto" w:fill="auto"/>
            <w:vAlign w:val="center"/>
          </w:tcPr>
          <w:p w14:paraId="2B3487BB" w14:textId="77777777" w:rsidR="007F742E" w:rsidRPr="00F66D0A" w:rsidRDefault="007F742E" w:rsidP="00F66D0A">
            <w:pPr>
              <w:jc w:val="center"/>
              <w:rPr>
                <w:rFonts w:eastAsiaTheme="majorEastAsia"/>
                <w:sz w:val="20"/>
                <w:szCs w:val="20"/>
              </w:rPr>
            </w:pPr>
            <w:r w:rsidRPr="00F66D0A">
              <w:rPr>
                <w:rFonts w:eastAsiaTheme="majorEastAsia"/>
                <w:sz w:val="20"/>
                <w:szCs w:val="20"/>
              </w:rPr>
              <w:t>430,5</w:t>
            </w:r>
          </w:p>
        </w:tc>
        <w:tc>
          <w:tcPr>
            <w:tcW w:w="993" w:type="dxa"/>
            <w:tcBorders>
              <w:top w:val="single" w:sz="4" w:space="0" w:color="auto"/>
              <w:left w:val="single" w:sz="4" w:space="0" w:color="auto"/>
              <w:right w:val="single" w:sz="4" w:space="0" w:color="auto"/>
            </w:tcBorders>
            <w:shd w:val="clear" w:color="auto" w:fill="FFFFFF"/>
            <w:vAlign w:val="center"/>
          </w:tcPr>
          <w:p w14:paraId="1947CC81" w14:textId="77777777" w:rsidR="007F742E" w:rsidRPr="00F66D0A" w:rsidRDefault="007F742E" w:rsidP="00F66D0A">
            <w:pPr>
              <w:jc w:val="center"/>
              <w:rPr>
                <w:rFonts w:eastAsiaTheme="majorEastAsia"/>
                <w:sz w:val="20"/>
                <w:szCs w:val="20"/>
              </w:rPr>
            </w:pPr>
            <w:r w:rsidRPr="00F66D0A">
              <w:rPr>
                <w:rFonts w:eastAsiaTheme="majorEastAsia"/>
                <w:sz w:val="20"/>
                <w:szCs w:val="20"/>
              </w:rPr>
              <w:t>452,6</w:t>
            </w:r>
          </w:p>
        </w:tc>
        <w:tc>
          <w:tcPr>
            <w:tcW w:w="850" w:type="dxa"/>
            <w:tcBorders>
              <w:top w:val="single" w:sz="4" w:space="0" w:color="auto"/>
              <w:left w:val="single" w:sz="4" w:space="0" w:color="auto"/>
            </w:tcBorders>
            <w:shd w:val="clear" w:color="auto" w:fill="FFFFFF"/>
          </w:tcPr>
          <w:p w14:paraId="727D33D9" w14:textId="77777777" w:rsidR="007F742E" w:rsidRPr="00F66D0A" w:rsidRDefault="007F742E" w:rsidP="00F66D0A">
            <w:pPr>
              <w:jc w:val="center"/>
              <w:rPr>
                <w:rFonts w:eastAsiaTheme="majorEastAsia"/>
                <w:sz w:val="20"/>
                <w:szCs w:val="20"/>
              </w:rPr>
            </w:pPr>
            <w:r w:rsidRPr="00F66D0A">
              <w:rPr>
                <w:rFonts w:eastAsiaTheme="majorEastAsia"/>
                <w:sz w:val="20"/>
                <w:szCs w:val="20"/>
              </w:rPr>
              <w:t>440,2</w:t>
            </w:r>
          </w:p>
        </w:tc>
        <w:tc>
          <w:tcPr>
            <w:tcW w:w="851" w:type="dxa"/>
            <w:tcBorders>
              <w:top w:val="single" w:sz="4" w:space="0" w:color="auto"/>
              <w:left w:val="single" w:sz="4" w:space="0" w:color="auto"/>
            </w:tcBorders>
            <w:shd w:val="clear" w:color="auto" w:fill="FFFFFF"/>
          </w:tcPr>
          <w:p w14:paraId="483AF482" w14:textId="77777777" w:rsidR="007F742E" w:rsidRPr="00F66D0A" w:rsidRDefault="007F742E" w:rsidP="00F66D0A">
            <w:pPr>
              <w:jc w:val="center"/>
              <w:rPr>
                <w:rFonts w:eastAsiaTheme="majorEastAsia"/>
                <w:sz w:val="20"/>
                <w:szCs w:val="20"/>
              </w:rPr>
            </w:pPr>
            <w:r w:rsidRPr="00F66D0A">
              <w:rPr>
                <w:rFonts w:eastAsiaTheme="majorEastAsia"/>
                <w:sz w:val="20"/>
                <w:szCs w:val="20"/>
              </w:rPr>
              <w:t>455,4</w:t>
            </w:r>
          </w:p>
        </w:tc>
        <w:tc>
          <w:tcPr>
            <w:tcW w:w="992" w:type="dxa"/>
            <w:tcBorders>
              <w:top w:val="single" w:sz="4" w:space="0" w:color="auto"/>
              <w:left w:val="single" w:sz="4" w:space="0" w:color="auto"/>
              <w:right w:val="single" w:sz="4" w:space="0" w:color="auto"/>
            </w:tcBorders>
            <w:shd w:val="clear" w:color="auto" w:fill="FFFFFF"/>
          </w:tcPr>
          <w:p w14:paraId="18C2EFA1" w14:textId="77777777" w:rsidR="007F742E" w:rsidRPr="00F66D0A" w:rsidRDefault="007F742E" w:rsidP="00F66D0A">
            <w:pPr>
              <w:jc w:val="center"/>
              <w:rPr>
                <w:rFonts w:eastAsiaTheme="majorEastAsia"/>
                <w:sz w:val="20"/>
                <w:szCs w:val="20"/>
              </w:rPr>
            </w:pPr>
            <w:r w:rsidRPr="00F66D0A">
              <w:rPr>
                <w:rFonts w:eastAsiaTheme="majorEastAsia"/>
                <w:sz w:val="20"/>
                <w:szCs w:val="20"/>
              </w:rPr>
              <w:t>444,7</w:t>
            </w:r>
          </w:p>
        </w:tc>
        <w:tc>
          <w:tcPr>
            <w:tcW w:w="992" w:type="dxa"/>
            <w:tcBorders>
              <w:top w:val="single" w:sz="4" w:space="0" w:color="auto"/>
              <w:left w:val="single" w:sz="4" w:space="0" w:color="auto"/>
              <w:right w:val="single" w:sz="4" w:space="0" w:color="auto"/>
            </w:tcBorders>
            <w:shd w:val="clear" w:color="auto" w:fill="FFFFFF"/>
            <w:vAlign w:val="center"/>
          </w:tcPr>
          <w:p w14:paraId="096FA325" w14:textId="77777777" w:rsidR="007F742E" w:rsidRPr="00F66D0A" w:rsidRDefault="007F742E" w:rsidP="00F66D0A">
            <w:pPr>
              <w:jc w:val="center"/>
              <w:rPr>
                <w:sz w:val="20"/>
                <w:szCs w:val="20"/>
              </w:rPr>
            </w:pPr>
            <w:r w:rsidRPr="00F66D0A">
              <w:rPr>
                <w:sz w:val="20"/>
                <w:szCs w:val="20"/>
              </w:rPr>
              <w:t>97,3</w:t>
            </w:r>
          </w:p>
        </w:tc>
        <w:tc>
          <w:tcPr>
            <w:tcW w:w="851" w:type="dxa"/>
            <w:tcBorders>
              <w:top w:val="single" w:sz="4" w:space="0" w:color="auto"/>
              <w:left w:val="single" w:sz="4" w:space="0" w:color="auto"/>
              <w:right w:val="single" w:sz="4" w:space="0" w:color="auto"/>
            </w:tcBorders>
            <w:shd w:val="clear" w:color="auto" w:fill="FFFFFF"/>
            <w:vAlign w:val="center"/>
          </w:tcPr>
          <w:p w14:paraId="1AD28A00" w14:textId="77777777" w:rsidR="007F742E" w:rsidRPr="00F66D0A" w:rsidRDefault="007F742E" w:rsidP="00F66D0A">
            <w:pPr>
              <w:jc w:val="center"/>
              <w:rPr>
                <w:sz w:val="20"/>
                <w:szCs w:val="20"/>
              </w:rPr>
            </w:pPr>
            <w:r w:rsidRPr="00F66D0A">
              <w:rPr>
                <w:sz w:val="20"/>
                <w:szCs w:val="20"/>
              </w:rPr>
              <w:t>102,3</w:t>
            </w:r>
          </w:p>
        </w:tc>
      </w:tr>
      <w:tr w:rsidR="007F742E" w:rsidRPr="00A82B11" w14:paraId="759329C6" w14:textId="77777777" w:rsidTr="007F742E">
        <w:trPr>
          <w:trHeight w:val="235"/>
        </w:trPr>
        <w:tc>
          <w:tcPr>
            <w:tcW w:w="3554" w:type="dxa"/>
            <w:tcBorders>
              <w:top w:val="single" w:sz="4" w:space="0" w:color="auto"/>
              <w:left w:val="single" w:sz="4" w:space="0" w:color="auto"/>
              <w:bottom w:val="single" w:sz="4" w:space="0" w:color="auto"/>
            </w:tcBorders>
            <w:shd w:val="clear" w:color="auto" w:fill="FFFFFF"/>
          </w:tcPr>
          <w:p w14:paraId="492D7C15" w14:textId="77777777" w:rsidR="007F742E" w:rsidRPr="00F66D0A" w:rsidRDefault="007F742E" w:rsidP="00F66D0A">
            <w:pPr>
              <w:rPr>
                <w:sz w:val="20"/>
                <w:szCs w:val="20"/>
              </w:rPr>
            </w:pPr>
            <w:r w:rsidRPr="00F66D0A">
              <w:rPr>
                <w:rFonts w:eastAsiaTheme="majorEastAsia"/>
                <w:sz w:val="20"/>
                <w:szCs w:val="20"/>
              </w:rPr>
              <w:t xml:space="preserve">1. </w:t>
            </w:r>
            <w:proofErr w:type="spellStart"/>
            <w:r w:rsidRPr="00F66D0A">
              <w:rPr>
                <w:rFonts w:eastAsiaTheme="majorEastAsia"/>
                <w:sz w:val="20"/>
                <w:szCs w:val="20"/>
              </w:rPr>
              <w:t>Приходи</w:t>
            </w:r>
            <w:proofErr w:type="spellEnd"/>
            <w:r w:rsidRPr="00F66D0A">
              <w:rPr>
                <w:rFonts w:eastAsiaTheme="majorEastAsia"/>
                <w:sz w:val="20"/>
                <w:szCs w:val="20"/>
              </w:rPr>
              <w:t xml:space="preserve"> </w:t>
            </w:r>
            <w:proofErr w:type="spellStart"/>
            <w:r w:rsidRPr="00F66D0A">
              <w:rPr>
                <w:rFonts w:eastAsiaTheme="majorEastAsia"/>
                <w:sz w:val="20"/>
                <w:szCs w:val="20"/>
              </w:rPr>
              <w:t>од</w:t>
            </w:r>
            <w:proofErr w:type="spellEnd"/>
            <w:r w:rsidRPr="00F66D0A">
              <w:rPr>
                <w:rFonts w:eastAsiaTheme="majorEastAsia"/>
                <w:sz w:val="20"/>
                <w:szCs w:val="20"/>
              </w:rPr>
              <w:t xml:space="preserve"> </w:t>
            </w:r>
            <w:proofErr w:type="spellStart"/>
            <w:r w:rsidRPr="00F66D0A">
              <w:rPr>
                <w:rFonts w:eastAsiaTheme="majorEastAsia"/>
                <w:sz w:val="20"/>
                <w:szCs w:val="20"/>
              </w:rPr>
              <w:t>индиректних</w:t>
            </w:r>
            <w:proofErr w:type="spellEnd"/>
            <w:r w:rsidRPr="00F66D0A">
              <w:rPr>
                <w:rFonts w:eastAsiaTheme="majorEastAsia"/>
                <w:sz w:val="20"/>
                <w:szCs w:val="20"/>
              </w:rPr>
              <w:t xml:space="preserve"> </w:t>
            </w:r>
            <w:proofErr w:type="spellStart"/>
            <w:r w:rsidRPr="00F66D0A">
              <w:rPr>
                <w:rFonts w:eastAsiaTheme="majorEastAsia"/>
                <w:sz w:val="20"/>
                <w:szCs w:val="20"/>
              </w:rPr>
              <w:t>пореза</w:t>
            </w:r>
            <w:proofErr w:type="spellEnd"/>
          </w:p>
        </w:tc>
        <w:tc>
          <w:tcPr>
            <w:tcW w:w="977" w:type="dxa"/>
            <w:tcBorders>
              <w:top w:val="single" w:sz="4" w:space="0" w:color="auto"/>
              <w:left w:val="single" w:sz="4" w:space="0" w:color="auto"/>
              <w:bottom w:val="single" w:sz="4" w:space="0" w:color="auto"/>
            </w:tcBorders>
            <w:shd w:val="clear" w:color="auto" w:fill="auto"/>
            <w:vAlign w:val="center"/>
          </w:tcPr>
          <w:p w14:paraId="70FE1787" w14:textId="77777777" w:rsidR="007F742E" w:rsidRPr="00F66D0A" w:rsidRDefault="007F742E" w:rsidP="00F66D0A">
            <w:pPr>
              <w:jc w:val="center"/>
              <w:rPr>
                <w:rFonts w:eastAsiaTheme="majorEastAsia"/>
                <w:sz w:val="20"/>
                <w:szCs w:val="20"/>
              </w:rPr>
            </w:pPr>
            <w:r w:rsidRPr="00F66D0A">
              <w:rPr>
                <w:rFonts w:eastAsiaTheme="majorEastAsia"/>
                <w:sz w:val="20"/>
                <w:szCs w:val="20"/>
              </w:rPr>
              <w:t>351,6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D99771" w14:textId="77777777" w:rsidR="007F742E" w:rsidRPr="00F66D0A" w:rsidRDefault="007F742E" w:rsidP="00F66D0A">
            <w:pPr>
              <w:jc w:val="center"/>
              <w:rPr>
                <w:rFonts w:eastAsiaTheme="majorEastAsia"/>
                <w:sz w:val="20"/>
                <w:szCs w:val="20"/>
              </w:rPr>
            </w:pPr>
            <w:r w:rsidRPr="00F66D0A">
              <w:rPr>
                <w:rFonts w:eastAsiaTheme="majorEastAsia"/>
                <w:sz w:val="20"/>
                <w:szCs w:val="20"/>
              </w:rPr>
              <w:t>367,7</w:t>
            </w:r>
          </w:p>
        </w:tc>
        <w:tc>
          <w:tcPr>
            <w:tcW w:w="850" w:type="dxa"/>
            <w:tcBorders>
              <w:top w:val="single" w:sz="4" w:space="0" w:color="auto"/>
              <w:left w:val="single" w:sz="4" w:space="0" w:color="auto"/>
              <w:bottom w:val="single" w:sz="4" w:space="0" w:color="auto"/>
            </w:tcBorders>
            <w:shd w:val="clear" w:color="auto" w:fill="FFFFFF"/>
          </w:tcPr>
          <w:p w14:paraId="5C93BE90" w14:textId="77777777" w:rsidR="007F742E" w:rsidRPr="00F66D0A" w:rsidRDefault="007F742E" w:rsidP="00F66D0A">
            <w:pPr>
              <w:jc w:val="center"/>
              <w:rPr>
                <w:rFonts w:eastAsiaTheme="majorEastAsia"/>
                <w:sz w:val="20"/>
                <w:szCs w:val="20"/>
              </w:rPr>
            </w:pPr>
            <w:r w:rsidRPr="00F66D0A">
              <w:rPr>
                <w:rFonts w:eastAsiaTheme="majorEastAsia"/>
                <w:sz w:val="20"/>
                <w:szCs w:val="20"/>
              </w:rPr>
              <w:t>363,8</w:t>
            </w:r>
          </w:p>
        </w:tc>
        <w:tc>
          <w:tcPr>
            <w:tcW w:w="851" w:type="dxa"/>
            <w:tcBorders>
              <w:top w:val="single" w:sz="4" w:space="0" w:color="auto"/>
              <w:left w:val="single" w:sz="4" w:space="0" w:color="auto"/>
              <w:bottom w:val="single" w:sz="4" w:space="0" w:color="auto"/>
            </w:tcBorders>
            <w:shd w:val="clear" w:color="auto" w:fill="FFFFFF"/>
          </w:tcPr>
          <w:p w14:paraId="2B028576" w14:textId="77777777" w:rsidR="007F742E" w:rsidRPr="00F66D0A" w:rsidRDefault="007F742E" w:rsidP="00F66D0A">
            <w:pPr>
              <w:jc w:val="center"/>
              <w:rPr>
                <w:rFonts w:eastAsiaTheme="majorEastAsia"/>
                <w:sz w:val="20"/>
                <w:szCs w:val="20"/>
              </w:rPr>
            </w:pPr>
            <w:r w:rsidRPr="00F66D0A">
              <w:rPr>
                <w:rFonts w:eastAsiaTheme="majorEastAsia"/>
                <w:sz w:val="20"/>
                <w:szCs w:val="20"/>
              </w:rPr>
              <w:t>376,6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C6CFF8" w14:textId="77777777" w:rsidR="007F742E" w:rsidRPr="00F66D0A" w:rsidRDefault="007F742E" w:rsidP="00F66D0A">
            <w:pPr>
              <w:jc w:val="center"/>
              <w:rPr>
                <w:rFonts w:eastAsiaTheme="majorEastAsia"/>
                <w:sz w:val="20"/>
                <w:szCs w:val="20"/>
              </w:rPr>
            </w:pPr>
            <w:r w:rsidRPr="00F66D0A">
              <w:rPr>
                <w:rFonts w:eastAsiaTheme="majorEastAsia"/>
                <w:sz w:val="20"/>
                <w:szCs w:val="20"/>
              </w:rPr>
              <w:t>363,3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25173D" w14:textId="77777777" w:rsidR="007F742E" w:rsidRPr="00F66D0A" w:rsidRDefault="007F742E" w:rsidP="00F66D0A">
            <w:pPr>
              <w:jc w:val="center"/>
              <w:rPr>
                <w:sz w:val="20"/>
                <w:szCs w:val="20"/>
              </w:rPr>
            </w:pPr>
            <w:r w:rsidRPr="00F66D0A">
              <w:rPr>
                <w:sz w:val="20"/>
                <w:szCs w:val="20"/>
              </w:rPr>
              <w:t>98,9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F95734" w14:textId="77777777" w:rsidR="007F742E" w:rsidRPr="00F66D0A" w:rsidRDefault="007F742E" w:rsidP="00F66D0A">
            <w:pPr>
              <w:jc w:val="center"/>
              <w:rPr>
                <w:sz w:val="20"/>
                <w:szCs w:val="20"/>
              </w:rPr>
            </w:pPr>
            <w:r w:rsidRPr="00F66D0A">
              <w:rPr>
                <w:sz w:val="20"/>
                <w:szCs w:val="20"/>
              </w:rPr>
              <w:t>103,5</w:t>
            </w:r>
          </w:p>
        </w:tc>
      </w:tr>
      <w:tr w:rsidR="007F742E" w:rsidRPr="00A82B11" w14:paraId="71A3209C" w14:textId="77777777" w:rsidTr="007F742E">
        <w:trPr>
          <w:trHeight w:val="281"/>
        </w:trPr>
        <w:tc>
          <w:tcPr>
            <w:tcW w:w="3554" w:type="dxa"/>
            <w:tcBorders>
              <w:top w:val="single" w:sz="4" w:space="0" w:color="auto"/>
              <w:left w:val="single" w:sz="4" w:space="0" w:color="auto"/>
              <w:bottom w:val="single" w:sz="4" w:space="0" w:color="auto"/>
            </w:tcBorders>
            <w:shd w:val="clear" w:color="auto" w:fill="FFFFFF"/>
          </w:tcPr>
          <w:p w14:paraId="29B68080" w14:textId="77777777" w:rsidR="007F742E" w:rsidRPr="00F66D0A" w:rsidRDefault="007F742E" w:rsidP="00F66D0A">
            <w:pPr>
              <w:rPr>
                <w:rFonts w:eastAsiaTheme="majorEastAsia"/>
                <w:sz w:val="20"/>
                <w:szCs w:val="20"/>
              </w:rPr>
            </w:pPr>
            <w:r w:rsidRPr="00F66D0A">
              <w:rPr>
                <w:rFonts w:eastAsiaTheme="majorEastAsia"/>
                <w:sz w:val="20"/>
                <w:szCs w:val="20"/>
              </w:rPr>
              <w:t xml:space="preserve">2. </w:t>
            </w:r>
            <w:proofErr w:type="spellStart"/>
            <w:r w:rsidRPr="00F66D0A">
              <w:rPr>
                <w:rFonts w:eastAsiaTheme="majorEastAsia"/>
                <w:sz w:val="20"/>
                <w:szCs w:val="20"/>
              </w:rPr>
              <w:t>Порези</w:t>
            </w:r>
            <w:proofErr w:type="spellEnd"/>
            <w:r w:rsidRPr="00F66D0A">
              <w:rPr>
                <w:rFonts w:eastAsiaTheme="majorEastAsia"/>
                <w:sz w:val="20"/>
                <w:szCs w:val="20"/>
              </w:rPr>
              <w:t xml:space="preserve"> </w:t>
            </w:r>
            <w:proofErr w:type="spellStart"/>
            <w:r w:rsidRPr="00F66D0A">
              <w:rPr>
                <w:rFonts w:eastAsiaTheme="majorEastAsia"/>
                <w:sz w:val="20"/>
                <w:szCs w:val="20"/>
              </w:rPr>
              <w:t>на</w:t>
            </w:r>
            <w:proofErr w:type="spellEnd"/>
            <w:r w:rsidRPr="00F66D0A">
              <w:rPr>
                <w:rFonts w:eastAsiaTheme="majorEastAsia"/>
                <w:sz w:val="20"/>
                <w:szCs w:val="20"/>
              </w:rPr>
              <w:t xml:space="preserve"> ЛП и </w:t>
            </w:r>
            <w:proofErr w:type="spellStart"/>
            <w:r w:rsidRPr="00F66D0A">
              <w:rPr>
                <w:rFonts w:eastAsiaTheme="majorEastAsia"/>
                <w:sz w:val="20"/>
                <w:szCs w:val="20"/>
              </w:rPr>
              <w:t>приходе</w:t>
            </w:r>
            <w:proofErr w:type="spellEnd"/>
            <w:r w:rsidRPr="00F66D0A">
              <w:rPr>
                <w:rFonts w:eastAsiaTheme="majorEastAsia"/>
                <w:sz w:val="20"/>
                <w:szCs w:val="20"/>
              </w:rPr>
              <w:t xml:space="preserve"> </w:t>
            </w:r>
            <w:proofErr w:type="spellStart"/>
            <w:r w:rsidRPr="00F66D0A">
              <w:rPr>
                <w:rFonts w:eastAsiaTheme="majorEastAsia"/>
                <w:sz w:val="20"/>
                <w:szCs w:val="20"/>
              </w:rPr>
              <w:t>од</w:t>
            </w:r>
            <w:proofErr w:type="spellEnd"/>
            <w:r w:rsidRPr="00F66D0A">
              <w:rPr>
                <w:rFonts w:eastAsiaTheme="majorEastAsia"/>
                <w:sz w:val="20"/>
                <w:szCs w:val="20"/>
              </w:rPr>
              <w:t xml:space="preserve"> </w:t>
            </w:r>
            <w:proofErr w:type="spellStart"/>
            <w:r w:rsidRPr="00F66D0A">
              <w:rPr>
                <w:rFonts w:eastAsiaTheme="majorEastAsia"/>
                <w:sz w:val="20"/>
                <w:szCs w:val="20"/>
              </w:rPr>
              <w:t>самосталних</w:t>
            </w:r>
            <w:proofErr w:type="spellEnd"/>
            <w:r w:rsidRPr="00F66D0A">
              <w:rPr>
                <w:rFonts w:eastAsiaTheme="majorEastAsia"/>
                <w:sz w:val="20"/>
                <w:szCs w:val="20"/>
              </w:rPr>
              <w:t xml:space="preserve"> </w:t>
            </w:r>
            <w:proofErr w:type="spellStart"/>
            <w:r w:rsidRPr="00F66D0A">
              <w:rPr>
                <w:rFonts w:eastAsiaTheme="majorEastAsia"/>
                <w:sz w:val="20"/>
                <w:szCs w:val="20"/>
              </w:rPr>
              <w:t>дјелтности</w:t>
            </w:r>
            <w:proofErr w:type="spellEnd"/>
          </w:p>
        </w:tc>
        <w:tc>
          <w:tcPr>
            <w:tcW w:w="977" w:type="dxa"/>
            <w:tcBorders>
              <w:top w:val="single" w:sz="4" w:space="0" w:color="auto"/>
              <w:left w:val="single" w:sz="4" w:space="0" w:color="auto"/>
              <w:bottom w:val="single" w:sz="4" w:space="0" w:color="auto"/>
            </w:tcBorders>
            <w:shd w:val="clear" w:color="auto" w:fill="auto"/>
            <w:vAlign w:val="center"/>
          </w:tcPr>
          <w:p w14:paraId="596C73CF" w14:textId="77777777" w:rsidR="007F742E" w:rsidRPr="00F66D0A" w:rsidRDefault="007F742E" w:rsidP="00F66D0A">
            <w:pPr>
              <w:jc w:val="center"/>
              <w:rPr>
                <w:rFonts w:eastAsiaTheme="majorEastAsia"/>
                <w:sz w:val="20"/>
                <w:szCs w:val="20"/>
              </w:rPr>
            </w:pPr>
            <w:r w:rsidRPr="00F66D0A">
              <w:rPr>
                <w:rFonts w:eastAsiaTheme="majorEastAsia"/>
                <w:sz w:val="20"/>
                <w:szCs w:val="20"/>
              </w:rPr>
              <w:t>45,3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A3A6B7" w14:textId="77777777" w:rsidR="007F742E" w:rsidRPr="00F66D0A" w:rsidRDefault="007F742E" w:rsidP="00F66D0A">
            <w:pPr>
              <w:jc w:val="center"/>
              <w:rPr>
                <w:rFonts w:eastAsiaTheme="majorEastAsia"/>
                <w:sz w:val="20"/>
                <w:szCs w:val="20"/>
              </w:rPr>
            </w:pPr>
            <w:r w:rsidRPr="00F66D0A">
              <w:rPr>
                <w:rFonts w:eastAsiaTheme="majorEastAsia"/>
                <w:sz w:val="20"/>
                <w:szCs w:val="20"/>
              </w:rPr>
              <w:t>50,5</w:t>
            </w:r>
          </w:p>
        </w:tc>
        <w:tc>
          <w:tcPr>
            <w:tcW w:w="850" w:type="dxa"/>
            <w:tcBorders>
              <w:top w:val="single" w:sz="4" w:space="0" w:color="auto"/>
              <w:left w:val="single" w:sz="4" w:space="0" w:color="auto"/>
              <w:bottom w:val="single" w:sz="4" w:space="0" w:color="auto"/>
            </w:tcBorders>
            <w:shd w:val="clear" w:color="auto" w:fill="FFFFFF"/>
            <w:vAlign w:val="center"/>
          </w:tcPr>
          <w:p w14:paraId="113F7E25" w14:textId="77777777" w:rsidR="007F742E" w:rsidRPr="00F66D0A" w:rsidRDefault="007F742E" w:rsidP="00F66D0A">
            <w:pPr>
              <w:jc w:val="center"/>
              <w:rPr>
                <w:rFonts w:eastAsiaTheme="majorEastAsia"/>
                <w:sz w:val="20"/>
                <w:szCs w:val="20"/>
              </w:rPr>
            </w:pPr>
            <w:r w:rsidRPr="00F66D0A">
              <w:rPr>
                <w:rFonts w:eastAsiaTheme="majorEastAsia"/>
                <w:sz w:val="20"/>
                <w:szCs w:val="20"/>
              </w:rPr>
              <w:t>44,4</w:t>
            </w:r>
          </w:p>
        </w:tc>
        <w:tc>
          <w:tcPr>
            <w:tcW w:w="851" w:type="dxa"/>
            <w:tcBorders>
              <w:top w:val="single" w:sz="4" w:space="0" w:color="auto"/>
              <w:left w:val="single" w:sz="4" w:space="0" w:color="auto"/>
              <w:bottom w:val="single" w:sz="4" w:space="0" w:color="auto"/>
            </w:tcBorders>
            <w:shd w:val="clear" w:color="auto" w:fill="FFFFFF"/>
            <w:vAlign w:val="center"/>
          </w:tcPr>
          <w:p w14:paraId="4BD705BE" w14:textId="77777777" w:rsidR="007F742E" w:rsidRPr="00F66D0A" w:rsidRDefault="007F742E" w:rsidP="00F66D0A">
            <w:pPr>
              <w:jc w:val="center"/>
              <w:rPr>
                <w:rFonts w:eastAsiaTheme="majorEastAsia"/>
                <w:sz w:val="20"/>
                <w:szCs w:val="20"/>
              </w:rPr>
            </w:pPr>
            <w:r w:rsidRPr="00F66D0A">
              <w:rPr>
                <w:rFonts w:eastAsiaTheme="majorEastAsia"/>
                <w:sz w:val="20"/>
                <w:szCs w:val="20"/>
              </w:rPr>
              <w:t>45,7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041BA0" w14:textId="77777777" w:rsidR="007F742E" w:rsidRPr="00F66D0A" w:rsidRDefault="007F742E" w:rsidP="00F66D0A">
            <w:pPr>
              <w:jc w:val="center"/>
              <w:rPr>
                <w:rFonts w:eastAsiaTheme="majorEastAsia"/>
                <w:sz w:val="20"/>
                <w:szCs w:val="20"/>
              </w:rPr>
            </w:pPr>
            <w:r w:rsidRPr="00F66D0A">
              <w:rPr>
                <w:rFonts w:eastAsiaTheme="majorEastAsia"/>
                <w:sz w:val="20"/>
                <w:szCs w:val="20"/>
              </w:rPr>
              <w:t>47,1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A4752F" w14:textId="77777777" w:rsidR="007F742E" w:rsidRPr="00F66D0A" w:rsidRDefault="007F742E" w:rsidP="00F66D0A">
            <w:pPr>
              <w:jc w:val="center"/>
              <w:rPr>
                <w:sz w:val="20"/>
                <w:szCs w:val="20"/>
              </w:rPr>
            </w:pPr>
            <w:r w:rsidRPr="00F66D0A">
              <w:rPr>
                <w:sz w:val="20"/>
                <w:szCs w:val="20"/>
              </w:rPr>
              <w:t>87,9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305E6D" w14:textId="77777777" w:rsidR="007F742E" w:rsidRPr="00F66D0A" w:rsidRDefault="007F742E" w:rsidP="00F66D0A">
            <w:pPr>
              <w:jc w:val="center"/>
              <w:rPr>
                <w:sz w:val="20"/>
                <w:szCs w:val="20"/>
              </w:rPr>
            </w:pPr>
            <w:r w:rsidRPr="00F66D0A">
              <w:rPr>
                <w:sz w:val="20"/>
                <w:szCs w:val="20"/>
              </w:rPr>
              <w:t>98</w:t>
            </w:r>
          </w:p>
        </w:tc>
      </w:tr>
      <w:tr w:rsidR="007F742E" w:rsidRPr="00A82B11" w14:paraId="38204ED9" w14:textId="77777777" w:rsidTr="007F742E">
        <w:trPr>
          <w:trHeight w:val="131"/>
        </w:trPr>
        <w:tc>
          <w:tcPr>
            <w:tcW w:w="3554" w:type="dxa"/>
            <w:tcBorders>
              <w:top w:val="single" w:sz="4" w:space="0" w:color="auto"/>
              <w:left w:val="single" w:sz="4" w:space="0" w:color="auto"/>
              <w:bottom w:val="single" w:sz="4" w:space="0" w:color="auto"/>
            </w:tcBorders>
            <w:shd w:val="clear" w:color="auto" w:fill="FFFFFF"/>
          </w:tcPr>
          <w:p w14:paraId="1A26F68A" w14:textId="77777777" w:rsidR="007F742E" w:rsidRPr="00F66D0A" w:rsidRDefault="007F742E" w:rsidP="00F66D0A">
            <w:pPr>
              <w:rPr>
                <w:rFonts w:eastAsiaTheme="majorEastAsia"/>
                <w:sz w:val="20"/>
                <w:szCs w:val="20"/>
              </w:rPr>
            </w:pPr>
            <w:r w:rsidRPr="00F66D0A">
              <w:rPr>
                <w:rFonts w:eastAsiaTheme="majorEastAsia"/>
                <w:sz w:val="20"/>
                <w:szCs w:val="20"/>
              </w:rPr>
              <w:t xml:space="preserve">3. </w:t>
            </w:r>
            <w:proofErr w:type="spellStart"/>
            <w:r w:rsidRPr="00F66D0A">
              <w:rPr>
                <w:rFonts w:eastAsiaTheme="majorEastAsia"/>
                <w:sz w:val="20"/>
                <w:szCs w:val="20"/>
              </w:rPr>
              <w:t>Порези</w:t>
            </w:r>
            <w:proofErr w:type="spellEnd"/>
            <w:r w:rsidRPr="00F66D0A">
              <w:rPr>
                <w:rFonts w:eastAsiaTheme="majorEastAsia"/>
                <w:sz w:val="20"/>
                <w:szCs w:val="20"/>
              </w:rPr>
              <w:t xml:space="preserve"> </w:t>
            </w:r>
            <w:proofErr w:type="spellStart"/>
            <w:r w:rsidRPr="00F66D0A">
              <w:rPr>
                <w:rFonts w:eastAsiaTheme="majorEastAsia"/>
                <w:sz w:val="20"/>
                <w:szCs w:val="20"/>
              </w:rPr>
              <w:t>на</w:t>
            </w:r>
            <w:proofErr w:type="spellEnd"/>
            <w:r w:rsidRPr="00F66D0A">
              <w:rPr>
                <w:rFonts w:eastAsiaTheme="majorEastAsia"/>
                <w:sz w:val="20"/>
                <w:szCs w:val="20"/>
              </w:rPr>
              <w:t xml:space="preserve"> </w:t>
            </w:r>
            <w:proofErr w:type="spellStart"/>
            <w:r w:rsidRPr="00F66D0A">
              <w:rPr>
                <w:rFonts w:eastAsiaTheme="majorEastAsia"/>
                <w:sz w:val="20"/>
                <w:szCs w:val="20"/>
              </w:rPr>
              <w:t>имовину</w:t>
            </w:r>
            <w:proofErr w:type="spellEnd"/>
          </w:p>
        </w:tc>
        <w:tc>
          <w:tcPr>
            <w:tcW w:w="977" w:type="dxa"/>
            <w:tcBorders>
              <w:top w:val="single" w:sz="4" w:space="0" w:color="auto"/>
              <w:left w:val="single" w:sz="4" w:space="0" w:color="auto"/>
              <w:bottom w:val="single" w:sz="4" w:space="0" w:color="auto"/>
            </w:tcBorders>
            <w:shd w:val="clear" w:color="auto" w:fill="auto"/>
            <w:vAlign w:val="center"/>
          </w:tcPr>
          <w:p w14:paraId="63CCCBE5" w14:textId="77777777" w:rsidR="007F742E" w:rsidRPr="00F66D0A" w:rsidRDefault="007F742E" w:rsidP="00F66D0A">
            <w:pPr>
              <w:jc w:val="center"/>
              <w:rPr>
                <w:rFonts w:eastAsiaTheme="majorEastAsia"/>
                <w:sz w:val="20"/>
                <w:szCs w:val="20"/>
              </w:rPr>
            </w:pPr>
            <w:r w:rsidRPr="00F66D0A">
              <w:rPr>
                <w:rFonts w:eastAsiaTheme="majorEastAsia"/>
                <w:sz w:val="20"/>
                <w:szCs w:val="20"/>
              </w:rPr>
              <w:t>27,9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B70022" w14:textId="77777777" w:rsidR="007F742E" w:rsidRPr="00F66D0A" w:rsidRDefault="007F742E" w:rsidP="00F66D0A">
            <w:pPr>
              <w:jc w:val="center"/>
              <w:rPr>
                <w:rFonts w:eastAsiaTheme="majorEastAsia"/>
                <w:sz w:val="20"/>
                <w:szCs w:val="20"/>
              </w:rPr>
            </w:pPr>
            <w:r w:rsidRPr="00F66D0A">
              <w:rPr>
                <w:rFonts w:eastAsiaTheme="majorEastAsia"/>
                <w:sz w:val="20"/>
                <w:szCs w:val="20"/>
              </w:rPr>
              <w:t>31,3</w:t>
            </w:r>
          </w:p>
        </w:tc>
        <w:tc>
          <w:tcPr>
            <w:tcW w:w="850" w:type="dxa"/>
            <w:tcBorders>
              <w:top w:val="single" w:sz="4" w:space="0" w:color="auto"/>
              <w:left w:val="single" w:sz="4" w:space="0" w:color="auto"/>
              <w:bottom w:val="single" w:sz="4" w:space="0" w:color="auto"/>
            </w:tcBorders>
            <w:shd w:val="clear" w:color="auto" w:fill="FFFFFF"/>
          </w:tcPr>
          <w:p w14:paraId="018D006E" w14:textId="77777777" w:rsidR="007F742E" w:rsidRPr="00F66D0A" w:rsidRDefault="007F742E" w:rsidP="00F66D0A">
            <w:pPr>
              <w:jc w:val="center"/>
              <w:rPr>
                <w:rFonts w:eastAsiaTheme="majorEastAsia"/>
                <w:sz w:val="20"/>
                <w:szCs w:val="20"/>
              </w:rPr>
            </w:pPr>
            <w:r w:rsidRPr="00F66D0A">
              <w:rPr>
                <w:rFonts w:eastAsiaTheme="majorEastAsia"/>
                <w:sz w:val="20"/>
                <w:szCs w:val="20"/>
              </w:rPr>
              <w:t>27,7</w:t>
            </w:r>
          </w:p>
        </w:tc>
        <w:tc>
          <w:tcPr>
            <w:tcW w:w="851" w:type="dxa"/>
            <w:tcBorders>
              <w:top w:val="single" w:sz="4" w:space="0" w:color="auto"/>
              <w:left w:val="single" w:sz="4" w:space="0" w:color="auto"/>
              <w:bottom w:val="single" w:sz="4" w:space="0" w:color="auto"/>
            </w:tcBorders>
            <w:shd w:val="clear" w:color="auto" w:fill="FFFFFF"/>
          </w:tcPr>
          <w:p w14:paraId="19563AE7" w14:textId="77777777" w:rsidR="007F742E" w:rsidRPr="00F66D0A" w:rsidRDefault="007F742E" w:rsidP="00F66D0A">
            <w:pPr>
              <w:jc w:val="center"/>
              <w:rPr>
                <w:rFonts w:eastAsiaTheme="majorEastAsia"/>
                <w:sz w:val="20"/>
                <w:szCs w:val="20"/>
              </w:rPr>
            </w:pPr>
            <w:r w:rsidRPr="00F66D0A">
              <w:rPr>
                <w:rFonts w:eastAsiaTheme="majorEastAsia"/>
                <w:sz w:val="20"/>
                <w:szCs w:val="2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1E7993" w14:textId="77777777" w:rsidR="007F742E" w:rsidRPr="00F66D0A" w:rsidRDefault="007F742E" w:rsidP="00F66D0A">
            <w:pPr>
              <w:jc w:val="center"/>
              <w:rPr>
                <w:rFonts w:eastAsiaTheme="majorEastAsia"/>
                <w:sz w:val="20"/>
                <w:szCs w:val="20"/>
              </w:rPr>
            </w:pPr>
            <w:r w:rsidRPr="00F66D0A">
              <w:rPr>
                <w:rFonts w:eastAsiaTheme="majorEastAsia"/>
                <w:sz w:val="20"/>
                <w:szCs w:val="20"/>
              </w:rPr>
              <w:t>29,7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2AD095" w14:textId="77777777" w:rsidR="007F742E" w:rsidRPr="00F66D0A" w:rsidRDefault="007F742E" w:rsidP="00F66D0A">
            <w:pPr>
              <w:jc w:val="center"/>
              <w:rPr>
                <w:sz w:val="20"/>
                <w:szCs w:val="20"/>
              </w:rPr>
            </w:pPr>
            <w:r w:rsidRPr="00F66D0A">
              <w:rPr>
                <w:sz w:val="20"/>
                <w:szCs w:val="20"/>
              </w:rPr>
              <w:t>88,5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90D3F5" w14:textId="77777777" w:rsidR="007F742E" w:rsidRPr="00F66D0A" w:rsidRDefault="007F742E" w:rsidP="00F66D0A">
            <w:pPr>
              <w:jc w:val="center"/>
              <w:rPr>
                <w:sz w:val="20"/>
                <w:szCs w:val="20"/>
              </w:rPr>
            </w:pPr>
            <w:r w:rsidRPr="00F66D0A">
              <w:rPr>
                <w:sz w:val="20"/>
                <w:szCs w:val="20"/>
              </w:rPr>
              <w:t>99,3</w:t>
            </w:r>
          </w:p>
        </w:tc>
      </w:tr>
      <w:tr w:rsidR="007F742E" w:rsidRPr="00A82B11" w14:paraId="4899DAB1" w14:textId="77777777" w:rsidTr="007F742E">
        <w:trPr>
          <w:trHeight w:val="63"/>
        </w:trPr>
        <w:tc>
          <w:tcPr>
            <w:tcW w:w="3554" w:type="dxa"/>
            <w:tcBorders>
              <w:top w:val="single" w:sz="4" w:space="0" w:color="auto"/>
              <w:left w:val="single" w:sz="4" w:space="0" w:color="auto"/>
            </w:tcBorders>
            <w:shd w:val="clear" w:color="auto" w:fill="FFFFFF"/>
          </w:tcPr>
          <w:p w14:paraId="4A7DA396" w14:textId="77777777" w:rsidR="007F742E" w:rsidRPr="00F66D0A" w:rsidRDefault="007F742E" w:rsidP="00F66D0A">
            <w:pPr>
              <w:rPr>
                <w:sz w:val="20"/>
                <w:szCs w:val="20"/>
              </w:rPr>
            </w:pPr>
            <w:r w:rsidRPr="00F66D0A">
              <w:rPr>
                <w:rFonts w:eastAsiaTheme="majorEastAsia"/>
                <w:sz w:val="20"/>
                <w:szCs w:val="20"/>
              </w:rPr>
              <w:t xml:space="preserve">4. </w:t>
            </w:r>
            <w:proofErr w:type="spellStart"/>
            <w:r w:rsidRPr="00F66D0A">
              <w:rPr>
                <w:rFonts w:eastAsiaTheme="majorEastAsia"/>
                <w:sz w:val="20"/>
                <w:szCs w:val="20"/>
              </w:rPr>
              <w:t>Остали</w:t>
            </w:r>
            <w:proofErr w:type="spellEnd"/>
            <w:r w:rsidRPr="00F66D0A">
              <w:rPr>
                <w:rFonts w:eastAsiaTheme="majorEastAsia"/>
                <w:sz w:val="20"/>
                <w:szCs w:val="20"/>
              </w:rPr>
              <w:t xml:space="preserve"> </w:t>
            </w:r>
            <w:proofErr w:type="spellStart"/>
            <w:r w:rsidRPr="00F66D0A">
              <w:rPr>
                <w:rFonts w:eastAsiaTheme="majorEastAsia"/>
                <w:sz w:val="20"/>
                <w:szCs w:val="20"/>
              </w:rPr>
              <w:t>директни</w:t>
            </w:r>
            <w:proofErr w:type="spellEnd"/>
            <w:r w:rsidRPr="00F66D0A">
              <w:rPr>
                <w:rFonts w:eastAsiaTheme="majorEastAsia"/>
                <w:sz w:val="20"/>
                <w:szCs w:val="20"/>
              </w:rPr>
              <w:t xml:space="preserve"> </w:t>
            </w:r>
            <w:proofErr w:type="spellStart"/>
            <w:r w:rsidRPr="00F66D0A">
              <w:rPr>
                <w:rFonts w:eastAsiaTheme="majorEastAsia"/>
                <w:sz w:val="20"/>
                <w:szCs w:val="20"/>
              </w:rPr>
              <w:t>порези</w:t>
            </w:r>
            <w:proofErr w:type="spellEnd"/>
          </w:p>
        </w:tc>
        <w:tc>
          <w:tcPr>
            <w:tcW w:w="977" w:type="dxa"/>
            <w:tcBorders>
              <w:top w:val="single" w:sz="4" w:space="0" w:color="auto"/>
              <w:left w:val="single" w:sz="4" w:space="0" w:color="auto"/>
            </w:tcBorders>
            <w:shd w:val="clear" w:color="auto" w:fill="auto"/>
            <w:vAlign w:val="center"/>
          </w:tcPr>
          <w:p w14:paraId="50F999A4" w14:textId="77777777" w:rsidR="007F742E" w:rsidRPr="00F66D0A" w:rsidRDefault="007F742E" w:rsidP="00F66D0A">
            <w:pPr>
              <w:jc w:val="center"/>
              <w:rPr>
                <w:rFonts w:eastAsiaTheme="majorEastAsia"/>
                <w:sz w:val="20"/>
                <w:szCs w:val="20"/>
              </w:rPr>
            </w:pPr>
            <w:r w:rsidRPr="00F66D0A">
              <w:rPr>
                <w:rFonts w:eastAsiaTheme="majorEastAsia"/>
                <w:sz w:val="20"/>
                <w:szCs w:val="20"/>
              </w:rPr>
              <w:t>5,7</w:t>
            </w:r>
          </w:p>
        </w:tc>
        <w:tc>
          <w:tcPr>
            <w:tcW w:w="993" w:type="dxa"/>
            <w:tcBorders>
              <w:top w:val="single" w:sz="4" w:space="0" w:color="auto"/>
              <w:left w:val="single" w:sz="4" w:space="0" w:color="auto"/>
              <w:right w:val="single" w:sz="4" w:space="0" w:color="auto"/>
            </w:tcBorders>
            <w:shd w:val="clear" w:color="auto" w:fill="FFFFFF"/>
            <w:vAlign w:val="center"/>
          </w:tcPr>
          <w:p w14:paraId="128814DA" w14:textId="77777777" w:rsidR="007F742E" w:rsidRPr="00F66D0A" w:rsidRDefault="007F742E" w:rsidP="00F66D0A">
            <w:pPr>
              <w:jc w:val="center"/>
              <w:rPr>
                <w:rFonts w:eastAsiaTheme="majorEastAsia"/>
                <w:sz w:val="20"/>
                <w:szCs w:val="20"/>
              </w:rPr>
            </w:pPr>
            <w:r w:rsidRPr="00F66D0A">
              <w:rPr>
                <w:rFonts w:eastAsiaTheme="majorEastAsia"/>
                <w:sz w:val="20"/>
                <w:szCs w:val="20"/>
              </w:rPr>
              <w:t>3,2</w:t>
            </w:r>
          </w:p>
        </w:tc>
        <w:tc>
          <w:tcPr>
            <w:tcW w:w="850" w:type="dxa"/>
            <w:tcBorders>
              <w:top w:val="single" w:sz="4" w:space="0" w:color="auto"/>
              <w:left w:val="single" w:sz="4" w:space="0" w:color="auto"/>
            </w:tcBorders>
            <w:shd w:val="clear" w:color="auto" w:fill="FFFFFF"/>
            <w:vAlign w:val="center"/>
          </w:tcPr>
          <w:p w14:paraId="0994B4BB" w14:textId="77777777" w:rsidR="007F742E" w:rsidRPr="00F66D0A" w:rsidRDefault="007F742E" w:rsidP="00F66D0A">
            <w:pPr>
              <w:jc w:val="center"/>
              <w:rPr>
                <w:sz w:val="20"/>
                <w:szCs w:val="20"/>
              </w:rPr>
            </w:pPr>
            <w:r w:rsidRPr="00F66D0A">
              <w:rPr>
                <w:sz w:val="20"/>
                <w:szCs w:val="20"/>
              </w:rPr>
              <w:t>4,3</w:t>
            </w:r>
          </w:p>
        </w:tc>
        <w:tc>
          <w:tcPr>
            <w:tcW w:w="851" w:type="dxa"/>
            <w:tcBorders>
              <w:top w:val="single" w:sz="4" w:space="0" w:color="auto"/>
              <w:left w:val="single" w:sz="4" w:space="0" w:color="auto"/>
            </w:tcBorders>
            <w:shd w:val="clear" w:color="auto" w:fill="FFFFFF"/>
            <w:vAlign w:val="center"/>
          </w:tcPr>
          <w:p w14:paraId="28E632FE" w14:textId="77777777" w:rsidR="007F742E" w:rsidRPr="00F66D0A" w:rsidRDefault="007F742E" w:rsidP="00F66D0A">
            <w:pPr>
              <w:jc w:val="center"/>
              <w:rPr>
                <w:sz w:val="20"/>
                <w:szCs w:val="20"/>
              </w:rPr>
            </w:pPr>
            <w:r w:rsidRPr="00F66D0A">
              <w:rPr>
                <w:sz w:val="20"/>
                <w:szCs w:val="20"/>
              </w:rPr>
              <w:t>4,4</w:t>
            </w:r>
          </w:p>
        </w:tc>
        <w:tc>
          <w:tcPr>
            <w:tcW w:w="992" w:type="dxa"/>
            <w:tcBorders>
              <w:top w:val="single" w:sz="4" w:space="0" w:color="auto"/>
              <w:left w:val="single" w:sz="4" w:space="0" w:color="auto"/>
              <w:right w:val="single" w:sz="4" w:space="0" w:color="auto"/>
            </w:tcBorders>
            <w:shd w:val="clear" w:color="auto" w:fill="FFFFFF"/>
            <w:vAlign w:val="center"/>
          </w:tcPr>
          <w:p w14:paraId="223EF193" w14:textId="77777777" w:rsidR="007F742E" w:rsidRPr="00F66D0A" w:rsidRDefault="007F742E" w:rsidP="00F66D0A">
            <w:pPr>
              <w:jc w:val="center"/>
              <w:rPr>
                <w:sz w:val="20"/>
                <w:szCs w:val="20"/>
              </w:rPr>
            </w:pPr>
            <w:r w:rsidRPr="00F66D0A">
              <w:rPr>
                <w:sz w:val="20"/>
                <w:szCs w:val="20"/>
              </w:rPr>
              <w:t>4,6</w:t>
            </w:r>
          </w:p>
        </w:tc>
        <w:tc>
          <w:tcPr>
            <w:tcW w:w="992" w:type="dxa"/>
            <w:tcBorders>
              <w:top w:val="single" w:sz="4" w:space="0" w:color="auto"/>
              <w:left w:val="single" w:sz="4" w:space="0" w:color="auto"/>
              <w:right w:val="single" w:sz="4" w:space="0" w:color="auto"/>
            </w:tcBorders>
            <w:shd w:val="clear" w:color="auto" w:fill="FFFFFF"/>
            <w:vAlign w:val="center"/>
          </w:tcPr>
          <w:p w14:paraId="63C649D3" w14:textId="77777777" w:rsidR="007F742E" w:rsidRPr="00F66D0A" w:rsidRDefault="007F742E" w:rsidP="00F66D0A">
            <w:pPr>
              <w:jc w:val="center"/>
              <w:rPr>
                <w:sz w:val="20"/>
                <w:szCs w:val="20"/>
              </w:rPr>
            </w:pPr>
            <w:r w:rsidRPr="00F66D0A">
              <w:rPr>
                <w:sz w:val="20"/>
                <w:szCs w:val="20"/>
              </w:rPr>
              <w:t>134,4</w:t>
            </w:r>
          </w:p>
        </w:tc>
        <w:tc>
          <w:tcPr>
            <w:tcW w:w="851" w:type="dxa"/>
            <w:tcBorders>
              <w:top w:val="single" w:sz="4" w:space="0" w:color="auto"/>
              <w:left w:val="single" w:sz="4" w:space="0" w:color="auto"/>
              <w:right w:val="single" w:sz="4" w:space="0" w:color="auto"/>
            </w:tcBorders>
            <w:shd w:val="clear" w:color="auto" w:fill="FFFFFF"/>
            <w:vAlign w:val="center"/>
          </w:tcPr>
          <w:p w14:paraId="490B110C" w14:textId="77777777" w:rsidR="007F742E" w:rsidRPr="00F66D0A" w:rsidRDefault="007F742E" w:rsidP="00F66D0A">
            <w:pPr>
              <w:jc w:val="center"/>
              <w:rPr>
                <w:sz w:val="20"/>
                <w:szCs w:val="20"/>
              </w:rPr>
            </w:pPr>
            <w:r w:rsidRPr="00F66D0A">
              <w:rPr>
                <w:sz w:val="20"/>
                <w:szCs w:val="20"/>
              </w:rPr>
              <w:t>75,4</w:t>
            </w:r>
          </w:p>
        </w:tc>
      </w:tr>
      <w:tr w:rsidR="007F742E" w:rsidRPr="00A82B11" w14:paraId="4CED9C1E" w14:textId="77777777" w:rsidTr="007F742E">
        <w:trPr>
          <w:trHeight w:val="123"/>
        </w:trPr>
        <w:tc>
          <w:tcPr>
            <w:tcW w:w="3554" w:type="dxa"/>
            <w:tcBorders>
              <w:top w:val="single" w:sz="4" w:space="0" w:color="auto"/>
              <w:left w:val="single" w:sz="4" w:space="0" w:color="auto"/>
            </w:tcBorders>
            <w:shd w:val="clear" w:color="auto" w:fill="FFFFFF"/>
          </w:tcPr>
          <w:p w14:paraId="51679044" w14:textId="77777777" w:rsidR="007F742E" w:rsidRPr="00F66D0A" w:rsidRDefault="007F742E" w:rsidP="00F66D0A">
            <w:pPr>
              <w:rPr>
                <w:sz w:val="20"/>
                <w:szCs w:val="20"/>
              </w:rPr>
            </w:pPr>
            <w:r w:rsidRPr="00F66D0A">
              <w:rPr>
                <w:rFonts w:eastAsiaTheme="majorEastAsia"/>
                <w:sz w:val="20"/>
                <w:szCs w:val="20"/>
              </w:rPr>
              <w:t xml:space="preserve">II </w:t>
            </w:r>
            <w:proofErr w:type="spellStart"/>
            <w:r w:rsidRPr="00F66D0A">
              <w:rPr>
                <w:rFonts w:eastAsiaTheme="majorEastAsia"/>
                <w:sz w:val="20"/>
                <w:szCs w:val="20"/>
              </w:rPr>
              <w:t>Непорески</w:t>
            </w:r>
            <w:proofErr w:type="spellEnd"/>
            <w:r w:rsidRPr="00F66D0A">
              <w:rPr>
                <w:rFonts w:eastAsiaTheme="majorEastAsia"/>
                <w:sz w:val="20"/>
                <w:szCs w:val="20"/>
              </w:rPr>
              <w:t xml:space="preserve"> </w:t>
            </w:r>
            <w:proofErr w:type="spellStart"/>
            <w:r w:rsidRPr="00F66D0A">
              <w:rPr>
                <w:rFonts w:eastAsiaTheme="majorEastAsia"/>
                <w:sz w:val="20"/>
                <w:szCs w:val="20"/>
              </w:rPr>
              <w:t>приходи</w:t>
            </w:r>
            <w:proofErr w:type="spellEnd"/>
          </w:p>
        </w:tc>
        <w:tc>
          <w:tcPr>
            <w:tcW w:w="977" w:type="dxa"/>
            <w:tcBorders>
              <w:top w:val="single" w:sz="4" w:space="0" w:color="auto"/>
              <w:left w:val="single" w:sz="4" w:space="0" w:color="auto"/>
            </w:tcBorders>
            <w:shd w:val="clear" w:color="auto" w:fill="auto"/>
            <w:vAlign w:val="center"/>
          </w:tcPr>
          <w:p w14:paraId="0D1663FD" w14:textId="77777777" w:rsidR="007F742E" w:rsidRPr="00F66D0A" w:rsidRDefault="007F742E" w:rsidP="00F66D0A">
            <w:pPr>
              <w:jc w:val="center"/>
              <w:rPr>
                <w:rFonts w:eastAsiaTheme="majorEastAsia"/>
                <w:sz w:val="20"/>
                <w:szCs w:val="20"/>
              </w:rPr>
            </w:pPr>
            <w:r w:rsidRPr="00F66D0A">
              <w:rPr>
                <w:rFonts w:eastAsiaTheme="majorEastAsia"/>
                <w:sz w:val="20"/>
                <w:szCs w:val="20"/>
              </w:rPr>
              <w:t>198,6</w:t>
            </w:r>
          </w:p>
        </w:tc>
        <w:tc>
          <w:tcPr>
            <w:tcW w:w="993" w:type="dxa"/>
            <w:tcBorders>
              <w:top w:val="single" w:sz="4" w:space="0" w:color="auto"/>
              <w:left w:val="single" w:sz="4" w:space="0" w:color="auto"/>
              <w:right w:val="single" w:sz="4" w:space="0" w:color="auto"/>
            </w:tcBorders>
            <w:shd w:val="clear" w:color="auto" w:fill="FFFFFF"/>
            <w:vAlign w:val="center"/>
          </w:tcPr>
          <w:p w14:paraId="2F0687E0" w14:textId="77777777" w:rsidR="007F742E" w:rsidRPr="00F66D0A" w:rsidRDefault="007F742E" w:rsidP="00F66D0A">
            <w:pPr>
              <w:jc w:val="center"/>
              <w:rPr>
                <w:rFonts w:eastAsiaTheme="majorEastAsia"/>
                <w:sz w:val="20"/>
                <w:szCs w:val="20"/>
              </w:rPr>
            </w:pPr>
            <w:r w:rsidRPr="00F66D0A">
              <w:rPr>
                <w:rFonts w:eastAsiaTheme="majorEastAsia"/>
                <w:sz w:val="20"/>
                <w:szCs w:val="20"/>
              </w:rPr>
              <w:t>217,4</w:t>
            </w:r>
          </w:p>
        </w:tc>
        <w:tc>
          <w:tcPr>
            <w:tcW w:w="850" w:type="dxa"/>
            <w:tcBorders>
              <w:top w:val="single" w:sz="4" w:space="0" w:color="auto"/>
              <w:left w:val="single" w:sz="4" w:space="0" w:color="auto"/>
            </w:tcBorders>
            <w:shd w:val="clear" w:color="auto" w:fill="FFFFFF"/>
            <w:vAlign w:val="center"/>
          </w:tcPr>
          <w:p w14:paraId="2897613C" w14:textId="77777777" w:rsidR="007F742E" w:rsidRPr="00F66D0A" w:rsidRDefault="007F742E" w:rsidP="00F66D0A">
            <w:pPr>
              <w:jc w:val="center"/>
              <w:rPr>
                <w:sz w:val="20"/>
                <w:szCs w:val="20"/>
              </w:rPr>
            </w:pPr>
            <w:r w:rsidRPr="00F66D0A">
              <w:rPr>
                <w:sz w:val="20"/>
                <w:szCs w:val="20"/>
              </w:rPr>
              <w:t>192,2</w:t>
            </w:r>
          </w:p>
        </w:tc>
        <w:tc>
          <w:tcPr>
            <w:tcW w:w="851" w:type="dxa"/>
            <w:tcBorders>
              <w:top w:val="single" w:sz="4" w:space="0" w:color="auto"/>
              <w:left w:val="single" w:sz="4" w:space="0" w:color="auto"/>
            </w:tcBorders>
            <w:shd w:val="clear" w:color="auto" w:fill="FFFFFF"/>
            <w:vAlign w:val="center"/>
          </w:tcPr>
          <w:p w14:paraId="527A11DD" w14:textId="77777777" w:rsidR="007F742E" w:rsidRPr="00F66D0A" w:rsidRDefault="007F742E" w:rsidP="00F66D0A">
            <w:pPr>
              <w:jc w:val="center"/>
              <w:rPr>
                <w:sz w:val="20"/>
                <w:szCs w:val="20"/>
              </w:rPr>
            </w:pPr>
            <w:r w:rsidRPr="00F66D0A">
              <w:rPr>
                <w:sz w:val="20"/>
                <w:szCs w:val="20"/>
              </w:rPr>
              <w:t>198,4</w:t>
            </w:r>
          </w:p>
        </w:tc>
        <w:tc>
          <w:tcPr>
            <w:tcW w:w="992" w:type="dxa"/>
            <w:tcBorders>
              <w:top w:val="single" w:sz="4" w:space="0" w:color="auto"/>
              <w:left w:val="single" w:sz="4" w:space="0" w:color="auto"/>
              <w:right w:val="single" w:sz="4" w:space="0" w:color="auto"/>
            </w:tcBorders>
            <w:shd w:val="clear" w:color="auto" w:fill="FFFFFF"/>
            <w:vAlign w:val="center"/>
          </w:tcPr>
          <w:p w14:paraId="300C27AC" w14:textId="77777777" w:rsidR="007F742E" w:rsidRPr="00F66D0A" w:rsidRDefault="007F742E" w:rsidP="00F66D0A">
            <w:pPr>
              <w:jc w:val="center"/>
              <w:rPr>
                <w:sz w:val="20"/>
                <w:szCs w:val="20"/>
              </w:rPr>
            </w:pPr>
            <w:r w:rsidRPr="00F66D0A">
              <w:rPr>
                <w:sz w:val="20"/>
                <w:szCs w:val="20"/>
              </w:rPr>
              <w:t>203,9</w:t>
            </w:r>
          </w:p>
        </w:tc>
        <w:tc>
          <w:tcPr>
            <w:tcW w:w="992" w:type="dxa"/>
            <w:tcBorders>
              <w:top w:val="single" w:sz="4" w:space="0" w:color="auto"/>
              <w:left w:val="single" w:sz="4" w:space="0" w:color="auto"/>
              <w:right w:val="single" w:sz="4" w:space="0" w:color="auto"/>
            </w:tcBorders>
            <w:shd w:val="clear" w:color="auto" w:fill="FFFFFF"/>
            <w:vAlign w:val="center"/>
          </w:tcPr>
          <w:p w14:paraId="5D5AC9E6" w14:textId="77777777" w:rsidR="007F742E" w:rsidRPr="00F66D0A" w:rsidRDefault="007F742E" w:rsidP="00F66D0A">
            <w:pPr>
              <w:jc w:val="center"/>
              <w:rPr>
                <w:sz w:val="20"/>
                <w:szCs w:val="20"/>
              </w:rPr>
            </w:pPr>
            <w:r w:rsidRPr="00F66D0A">
              <w:rPr>
                <w:sz w:val="20"/>
                <w:szCs w:val="20"/>
              </w:rPr>
              <w:t>88,4</w:t>
            </w:r>
          </w:p>
        </w:tc>
        <w:tc>
          <w:tcPr>
            <w:tcW w:w="851" w:type="dxa"/>
            <w:tcBorders>
              <w:top w:val="single" w:sz="4" w:space="0" w:color="auto"/>
              <w:left w:val="single" w:sz="4" w:space="0" w:color="auto"/>
              <w:right w:val="single" w:sz="4" w:space="0" w:color="auto"/>
            </w:tcBorders>
            <w:shd w:val="clear" w:color="auto" w:fill="FFFFFF"/>
            <w:vAlign w:val="center"/>
          </w:tcPr>
          <w:p w14:paraId="7F006347" w14:textId="77777777" w:rsidR="007F742E" w:rsidRPr="00F66D0A" w:rsidRDefault="007F742E" w:rsidP="00F66D0A">
            <w:pPr>
              <w:jc w:val="center"/>
              <w:rPr>
                <w:sz w:val="20"/>
                <w:szCs w:val="20"/>
              </w:rPr>
            </w:pPr>
            <w:r w:rsidRPr="00F66D0A">
              <w:rPr>
                <w:sz w:val="20"/>
                <w:szCs w:val="20"/>
              </w:rPr>
              <w:t>96,8</w:t>
            </w:r>
          </w:p>
        </w:tc>
      </w:tr>
      <w:tr w:rsidR="007F742E" w:rsidRPr="00A82B11" w14:paraId="288705B3" w14:textId="77777777" w:rsidTr="007F742E">
        <w:trPr>
          <w:trHeight w:val="183"/>
        </w:trPr>
        <w:tc>
          <w:tcPr>
            <w:tcW w:w="3554" w:type="dxa"/>
            <w:tcBorders>
              <w:top w:val="single" w:sz="4" w:space="0" w:color="auto"/>
              <w:left w:val="single" w:sz="4" w:space="0" w:color="auto"/>
            </w:tcBorders>
            <w:shd w:val="clear" w:color="auto" w:fill="FFFFFF"/>
          </w:tcPr>
          <w:p w14:paraId="528B1885" w14:textId="77777777" w:rsidR="007F742E" w:rsidRPr="00F66D0A" w:rsidRDefault="007F742E" w:rsidP="00F66D0A">
            <w:pPr>
              <w:rPr>
                <w:sz w:val="20"/>
                <w:szCs w:val="20"/>
              </w:rPr>
            </w:pPr>
            <w:r w:rsidRPr="00F66D0A">
              <w:rPr>
                <w:rFonts w:eastAsiaTheme="majorEastAsia"/>
                <w:sz w:val="20"/>
                <w:szCs w:val="20"/>
              </w:rPr>
              <w:t xml:space="preserve">III </w:t>
            </w:r>
            <w:proofErr w:type="spellStart"/>
            <w:r w:rsidRPr="00F66D0A">
              <w:rPr>
                <w:rFonts w:eastAsiaTheme="majorEastAsia"/>
                <w:sz w:val="20"/>
                <w:szCs w:val="20"/>
              </w:rPr>
              <w:t>Грантови</w:t>
            </w:r>
            <w:proofErr w:type="spellEnd"/>
          </w:p>
        </w:tc>
        <w:tc>
          <w:tcPr>
            <w:tcW w:w="977" w:type="dxa"/>
            <w:tcBorders>
              <w:top w:val="single" w:sz="4" w:space="0" w:color="auto"/>
              <w:left w:val="single" w:sz="4" w:space="0" w:color="auto"/>
            </w:tcBorders>
            <w:shd w:val="clear" w:color="auto" w:fill="auto"/>
            <w:vAlign w:val="center"/>
          </w:tcPr>
          <w:p w14:paraId="3D387631" w14:textId="77777777" w:rsidR="007F742E" w:rsidRPr="00F66D0A" w:rsidRDefault="007F742E" w:rsidP="00F66D0A">
            <w:pPr>
              <w:jc w:val="center"/>
              <w:rPr>
                <w:rFonts w:eastAsiaTheme="majorEastAsia"/>
                <w:sz w:val="20"/>
                <w:szCs w:val="20"/>
              </w:rPr>
            </w:pPr>
            <w:r w:rsidRPr="00F66D0A">
              <w:rPr>
                <w:rFonts w:eastAsiaTheme="majorEastAsia"/>
                <w:sz w:val="20"/>
                <w:szCs w:val="20"/>
              </w:rPr>
              <w:t>8,6</w:t>
            </w:r>
          </w:p>
        </w:tc>
        <w:tc>
          <w:tcPr>
            <w:tcW w:w="993" w:type="dxa"/>
            <w:tcBorders>
              <w:top w:val="single" w:sz="4" w:space="0" w:color="auto"/>
              <w:left w:val="single" w:sz="4" w:space="0" w:color="auto"/>
              <w:right w:val="single" w:sz="4" w:space="0" w:color="auto"/>
            </w:tcBorders>
            <w:shd w:val="clear" w:color="auto" w:fill="FFFFFF"/>
            <w:vAlign w:val="center"/>
          </w:tcPr>
          <w:p w14:paraId="3A1B0167" w14:textId="77777777" w:rsidR="007F742E" w:rsidRPr="00F66D0A" w:rsidRDefault="007F742E" w:rsidP="00F66D0A">
            <w:pPr>
              <w:jc w:val="center"/>
              <w:rPr>
                <w:rFonts w:eastAsiaTheme="majorEastAsia"/>
                <w:sz w:val="20"/>
                <w:szCs w:val="20"/>
              </w:rPr>
            </w:pPr>
            <w:r w:rsidRPr="00F66D0A">
              <w:rPr>
                <w:rFonts w:eastAsiaTheme="majorEastAsia"/>
                <w:sz w:val="20"/>
                <w:szCs w:val="20"/>
              </w:rPr>
              <w:t>4,4</w:t>
            </w:r>
          </w:p>
        </w:tc>
        <w:tc>
          <w:tcPr>
            <w:tcW w:w="850" w:type="dxa"/>
            <w:tcBorders>
              <w:top w:val="single" w:sz="4" w:space="0" w:color="auto"/>
              <w:left w:val="single" w:sz="4" w:space="0" w:color="auto"/>
            </w:tcBorders>
            <w:shd w:val="clear" w:color="auto" w:fill="FFFFFF"/>
            <w:vAlign w:val="center"/>
          </w:tcPr>
          <w:p w14:paraId="3911B0D3" w14:textId="77777777" w:rsidR="007F742E" w:rsidRPr="00F66D0A" w:rsidRDefault="007F742E" w:rsidP="00F66D0A">
            <w:pPr>
              <w:jc w:val="center"/>
              <w:rPr>
                <w:sz w:val="20"/>
                <w:szCs w:val="20"/>
              </w:rPr>
            </w:pPr>
            <w:r w:rsidRPr="00F66D0A">
              <w:rPr>
                <w:sz w:val="20"/>
                <w:szCs w:val="20"/>
              </w:rPr>
              <w:t>4,3</w:t>
            </w:r>
          </w:p>
        </w:tc>
        <w:tc>
          <w:tcPr>
            <w:tcW w:w="851" w:type="dxa"/>
            <w:tcBorders>
              <w:top w:val="single" w:sz="4" w:space="0" w:color="auto"/>
              <w:left w:val="single" w:sz="4" w:space="0" w:color="auto"/>
            </w:tcBorders>
            <w:shd w:val="clear" w:color="auto" w:fill="FFFFFF"/>
            <w:vAlign w:val="center"/>
          </w:tcPr>
          <w:p w14:paraId="76B95169" w14:textId="77777777" w:rsidR="007F742E" w:rsidRPr="00F66D0A" w:rsidRDefault="007F742E" w:rsidP="00F66D0A">
            <w:pPr>
              <w:jc w:val="center"/>
              <w:rPr>
                <w:sz w:val="20"/>
                <w:szCs w:val="20"/>
              </w:rPr>
            </w:pPr>
            <w:r w:rsidRPr="00F66D0A">
              <w:rPr>
                <w:sz w:val="20"/>
                <w:szCs w:val="20"/>
              </w:rPr>
              <w:t>4,3</w:t>
            </w:r>
          </w:p>
        </w:tc>
        <w:tc>
          <w:tcPr>
            <w:tcW w:w="992" w:type="dxa"/>
            <w:tcBorders>
              <w:top w:val="single" w:sz="4" w:space="0" w:color="auto"/>
              <w:left w:val="single" w:sz="4" w:space="0" w:color="auto"/>
              <w:right w:val="single" w:sz="4" w:space="0" w:color="auto"/>
            </w:tcBorders>
            <w:shd w:val="clear" w:color="auto" w:fill="FFFFFF"/>
            <w:vAlign w:val="center"/>
          </w:tcPr>
          <w:p w14:paraId="3E752347" w14:textId="77777777" w:rsidR="007F742E" w:rsidRPr="00F66D0A" w:rsidRDefault="007F742E" w:rsidP="00F66D0A">
            <w:pPr>
              <w:jc w:val="center"/>
              <w:rPr>
                <w:sz w:val="20"/>
                <w:szCs w:val="20"/>
              </w:rPr>
            </w:pPr>
            <w:r w:rsidRPr="00F66D0A">
              <w:rPr>
                <w:sz w:val="20"/>
                <w:szCs w:val="20"/>
              </w:rPr>
              <w:t>4,3</w:t>
            </w:r>
          </w:p>
        </w:tc>
        <w:tc>
          <w:tcPr>
            <w:tcW w:w="992" w:type="dxa"/>
            <w:tcBorders>
              <w:top w:val="single" w:sz="4" w:space="0" w:color="auto"/>
              <w:left w:val="single" w:sz="4" w:space="0" w:color="auto"/>
              <w:right w:val="single" w:sz="4" w:space="0" w:color="auto"/>
            </w:tcBorders>
            <w:shd w:val="clear" w:color="auto" w:fill="FFFFFF"/>
            <w:vAlign w:val="center"/>
          </w:tcPr>
          <w:p w14:paraId="2ED737A1" w14:textId="77777777" w:rsidR="007F742E" w:rsidRPr="00F66D0A" w:rsidRDefault="007F742E" w:rsidP="00F66D0A">
            <w:pPr>
              <w:jc w:val="center"/>
              <w:rPr>
                <w:sz w:val="20"/>
                <w:szCs w:val="20"/>
              </w:rPr>
            </w:pPr>
            <w:r w:rsidRPr="00F66D0A">
              <w:rPr>
                <w:sz w:val="20"/>
                <w:szCs w:val="20"/>
              </w:rPr>
              <w:t>97,7</w:t>
            </w:r>
          </w:p>
        </w:tc>
        <w:tc>
          <w:tcPr>
            <w:tcW w:w="851" w:type="dxa"/>
            <w:tcBorders>
              <w:top w:val="single" w:sz="4" w:space="0" w:color="auto"/>
              <w:left w:val="single" w:sz="4" w:space="0" w:color="auto"/>
              <w:right w:val="single" w:sz="4" w:space="0" w:color="auto"/>
            </w:tcBorders>
            <w:shd w:val="clear" w:color="auto" w:fill="FFFFFF"/>
            <w:vAlign w:val="center"/>
          </w:tcPr>
          <w:p w14:paraId="117DF75B" w14:textId="77777777" w:rsidR="007F742E" w:rsidRPr="00F66D0A" w:rsidRDefault="007F742E" w:rsidP="00F66D0A">
            <w:pPr>
              <w:jc w:val="center"/>
              <w:rPr>
                <w:sz w:val="20"/>
                <w:szCs w:val="20"/>
              </w:rPr>
            </w:pPr>
            <w:r w:rsidRPr="00F66D0A">
              <w:rPr>
                <w:sz w:val="20"/>
                <w:szCs w:val="20"/>
              </w:rPr>
              <w:t>50,0</w:t>
            </w:r>
          </w:p>
        </w:tc>
      </w:tr>
      <w:tr w:rsidR="007F742E" w:rsidRPr="00A82B11" w14:paraId="7816E0D2" w14:textId="77777777" w:rsidTr="007F742E">
        <w:trPr>
          <w:trHeight w:val="274"/>
        </w:trPr>
        <w:tc>
          <w:tcPr>
            <w:tcW w:w="3554" w:type="dxa"/>
            <w:tcBorders>
              <w:top w:val="single" w:sz="4" w:space="0" w:color="auto"/>
              <w:left w:val="single" w:sz="4" w:space="0" w:color="auto"/>
              <w:bottom w:val="single" w:sz="4" w:space="0" w:color="auto"/>
            </w:tcBorders>
            <w:shd w:val="clear" w:color="auto" w:fill="FFFFFF"/>
          </w:tcPr>
          <w:p w14:paraId="5EF25AE0" w14:textId="77777777" w:rsidR="007F742E" w:rsidRPr="00F66D0A" w:rsidRDefault="007F742E" w:rsidP="00F66D0A">
            <w:pPr>
              <w:rPr>
                <w:sz w:val="20"/>
                <w:szCs w:val="20"/>
              </w:rPr>
            </w:pPr>
            <w:r w:rsidRPr="00F66D0A">
              <w:rPr>
                <w:rFonts w:eastAsiaTheme="majorEastAsia"/>
                <w:sz w:val="20"/>
                <w:szCs w:val="20"/>
              </w:rPr>
              <w:t xml:space="preserve">IV </w:t>
            </w:r>
            <w:proofErr w:type="spellStart"/>
            <w:r w:rsidRPr="00F66D0A">
              <w:rPr>
                <w:rFonts w:eastAsiaTheme="majorEastAsia"/>
                <w:sz w:val="20"/>
                <w:szCs w:val="20"/>
              </w:rPr>
              <w:t>Трансфери</w:t>
            </w:r>
            <w:proofErr w:type="spellEnd"/>
            <w:r w:rsidRPr="00F66D0A">
              <w:rPr>
                <w:rFonts w:eastAsiaTheme="majorEastAsia"/>
                <w:sz w:val="20"/>
                <w:szCs w:val="20"/>
              </w:rPr>
              <w:t xml:space="preserve"> </w:t>
            </w:r>
            <w:proofErr w:type="spellStart"/>
            <w:r w:rsidRPr="00F66D0A">
              <w:rPr>
                <w:rFonts w:eastAsiaTheme="majorEastAsia"/>
                <w:sz w:val="20"/>
                <w:szCs w:val="20"/>
              </w:rPr>
              <w:t>између</w:t>
            </w:r>
            <w:proofErr w:type="spellEnd"/>
            <w:r w:rsidRPr="00F66D0A">
              <w:rPr>
                <w:rFonts w:eastAsiaTheme="majorEastAsia"/>
                <w:sz w:val="20"/>
                <w:szCs w:val="20"/>
              </w:rPr>
              <w:t xml:space="preserve"> </w:t>
            </w:r>
            <w:proofErr w:type="spellStart"/>
            <w:r w:rsidRPr="00F66D0A">
              <w:rPr>
                <w:rFonts w:eastAsiaTheme="majorEastAsia"/>
                <w:sz w:val="20"/>
                <w:szCs w:val="20"/>
              </w:rPr>
              <w:t>или</w:t>
            </w:r>
            <w:proofErr w:type="spellEnd"/>
            <w:r w:rsidRPr="00F66D0A">
              <w:rPr>
                <w:rFonts w:eastAsiaTheme="majorEastAsia"/>
                <w:sz w:val="20"/>
                <w:szCs w:val="20"/>
              </w:rPr>
              <w:t xml:space="preserve"> </w:t>
            </w:r>
            <w:proofErr w:type="spellStart"/>
            <w:r w:rsidRPr="00F66D0A">
              <w:rPr>
                <w:rFonts w:eastAsiaTheme="majorEastAsia"/>
                <w:sz w:val="20"/>
                <w:szCs w:val="20"/>
              </w:rPr>
              <w:t>унутар</w:t>
            </w:r>
            <w:proofErr w:type="spellEnd"/>
            <w:r w:rsidRPr="00F66D0A">
              <w:rPr>
                <w:rFonts w:eastAsiaTheme="majorEastAsia"/>
                <w:sz w:val="20"/>
                <w:szCs w:val="20"/>
              </w:rPr>
              <w:t xml:space="preserve"> </w:t>
            </w:r>
            <w:proofErr w:type="spellStart"/>
            <w:r w:rsidRPr="00F66D0A">
              <w:rPr>
                <w:rFonts w:eastAsiaTheme="majorEastAsia"/>
                <w:sz w:val="20"/>
                <w:szCs w:val="20"/>
              </w:rPr>
              <w:t>буџетских</w:t>
            </w:r>
            <w:proofErr w:type="spellEnd"/>
            <w:r w:rsidRPr="00F66D0A">
              <w:rPr>
                <w:rFonts w:eastAsiaTheme="majorEastAsia"/>
                <w:sz w:val="20"/>
                <w:szCs w:val="20"/>
              </w:rPr>
              <w:t xml:space="preserve"> </w:t>
            </w:r>
            <w:proofErr w:type="spellStart"/>
            <w:r w:rsidRPr="00F66D0A">
              <w:rPr>
                <w:rFonts w:eastAsiaTheme="majorEastAsia"/>
                <w:sz w:val="20"/>
                <w:szCs w:val="20"/>
              </w:rPr>
              <w:t>јединица</w:t>
            </w:r>
            <w:proofErr w:type="spellEnd"/>
          </w:p>
        </w:tc>
        <w:tc>
          <w:tcPr>
            <w:tcW w:w="977" w:type="dxa"/>
            <w:tcBorders>
              <w:top w:val="single" w:sz="4" w:space="0" w:color="auto"/>
              <w:left w:val="single" w:sz="4" w:space="0" w:color="auto"/>
              <w:bottom w:val="single" w:sz="4" w:space="0" w:color="auto"/>
            </w:tcBorders>
            <w:shd w:val="clear" w:color="auto" w:fill="auto"/>
            <w:vAlign w:val="center"/>
          </w:tcPr>
          <w:p w14:paraId="12951BB8" w14:textId="77777777" w:rsidR="007F742E" w:rsidRPr="00F66D0A" w:rsidRDefault="007F742E" w:rsidP="00F66D0A">
            <w:pPr>
              <w:jc w:val="center"/>
              <w:rPr>
                <w:rFonts w:eastAsiaTheme="majorEastAsia"/>
                <w:sz w:val="20"/>
                <w:szCs w:val="20"/>
              </w:rPr>
            </w:pPr>
            <w:r w:rsidRPr="00F66D0A">
              <w:rPr>
                <w:rFonts w:eastAsiaTheme="majorEastAsia"/>
                <w:sz w:val="20"/>
                <w:szCs w:val="20"/>
              </w:rPr>
              <w:t>66,8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551B3C" w14:textId="77777777" w:rsidR="007F742E" w:rsidRPr="00F66D0A" w:rsidRDefault="007F742E" w:rsidP="00F66D0A">
            <w:pPr>
              <w:jc w:val="center"/>
              <w:rPr>
                <w:rFonts w:eastAsiaTheme="majorEastAsia"/>
                <w:sz w:val="20"/>
                <w:szCs w:val="20"/>
              </w:rPr>
            </w:pPr>
            <w:r w:rsidRPr="00F66D0A">
              <w:rPr>
                <w:rFonts w:eastAsiaTheme="majorEastAsia"/>
                <w:sz w:val="20"/>
                <w:szCs w:val="20"/>
              </w:rPr>
              <w:t>95,7</w:t>
            </w:r>
          </w:p>
        </w:tc>
        <w:tc>
          <w:tcPr>
            <w:tcW w:w="850" w:type="dxa"/>
            <w:tcBorders>
              <w:top w:val="single" w:sz="4" w:space="0" w:color="auto"/>
              <w:left w:val="single" w:sz="4" w:space="0" w:color="auto"/>
              <w:bottom w:val="single" w:sz="4" w:space="0" w:color="auto"/>
            </w:tcBorders>
            <w:shd w:val="clear" w:color="auto" w:fill="FFFFFF"/>
            <w:vAlign w:val="center"/>
          </w:tcPr>
          <w:p w14:paraId="4502D23F" w14:textId="77777777" w:rsidR="007F742E" w:rsidRPr="00F66D0A" w:rsidRDefault="007F742E" w:rsidP="00F66D0A">
            <w:pPr>
              <w:jc w:val="center"/>
              <w:rPr>
                <w:sz w:val="20"/>
                <w:szCs w:val="20"/>
              </w:rPr>
            </w:pPr>
            <w:r w:rsidRPr="00F66D0A">
              <w:rPr>
                <w:sz w:val="20"/>
                <w:szCs w:val="20"/>
              </w:rPr>
              <w:t>57,2</w:t>
            </w:r>
          </w:p>
        </w:tc>
        <w:tc>
          <w:tcPr>
            <w:tcW w:w="851" w:type="dxa"/>
            <w:tcBorders>
              <w:top w:val="single" w:sz="4" w:space="0" w:color="auto"/>
              <w:left w:val="single" w:sz="4" w:space="0" w:color="auto"/>
              <w:bottom w:val="single" w:sz="4" w:space="0" w:color="auto"/>
            </w:tcBorders>
            <w:shd w:val="clear" w:color="auto" w:fill="FFFFFF"/>
            <w:vAlign w:val="center"/>
          </w:tcPr>
          <w:p w14:paraId="184881B2" w14:textId="77777777" w:rsidR="007F742E" w:rsidRPr="00F66D0A" w:rsidRDefault="007F742E" w:rsidP="00F66D0A">
            <w:pPr>
              <w:jc w:val="center"/>
              <w:rPr>
                <w:sz w:val="20"/>
                <w:szCs w:val="20"/>
              </w:rPr>
            </w:pPr>
            <w:r w:rsidRPr="00F66D0A">
              <w:rPr>
                <w:sz w:val="20"/>
                <w:szCs w:val="2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A45618" w14:textId="77777777" w:rsidR="007F742E" w:rsidRPr="00F66D0A" w:rsidRDefault="007F742E" w:rsidP="00F66D0A">
            <w:pPr>
              <w:jc w:val="center"/>
              <w:rPr>
                <w:sz w:val="20"/>
                <w:szCs w:val="20"/>
              </w:rPr>
            </w:pPr>
            <w:r w:rsidRPr="00F66D0A">
              <w:rPr>
                <w:sz w:val="20"/>
                <w:szCs w:val="20"/>
              </w:rPr>
              <w:t>50,5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8794B0" w14:textId="77777777" w:rsidR="007F742E" w:rsidRPr="00F66D0A" w:rsidRDefault="007F742E" w:rsidP="00F66D0A">
            <w:pPr>
              <w:jc w:val="center"/>
              <w:rPr>
                <w:sz w:val="20"/>
                <w:szCs w:val="20"/>
              </w:rPr>
            </w:pPr>
            <w:r w:rsidRPr="00F66D0A">
              <w:rPr>
                <w:sz w:val="20"/>
                <w:szCs w:val="20"/>
              </w:rPr>
              <w:t>59,8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B5FDFBC" w14:textId="77777777" w:rsidR="007F742E" w:rsidRPr="00F66D0A" w:rsidRDefault="007F742E" w:rsidP="00F66D0A">
            <w:pPr>
              <w:jc w:val="center"/>
              <w:rPr>
                <w:sz w:val="20"/>
                <w:szCs w:val="20"/>
              </w:rPr>
            </w:pPr>
            <w:r w:rsidRPr="00F66D0A">
              <w:rPr>
                <w:sz w:val="20"/>
                <w:szCs w:val="20"/>
              </w:rPr>
              <w:t>85,6</w:t>
            </w:r>
          </w:p>
        </w:tc>
      </w:tr>
    </w:tbl>
    <w:p w14:paraId="20BBDAF7" w14:textId="77777777" w:rsidR="00A156F1" w:rsidRPr="00A82B11" w:rsidRDefault="00601199" w:rsidP="00D10AE4">
      <w:pPr>
        <w:widowControl w:val="0"/>
        <w:autoSpaceDE w:val="0"/>
        <w:autoSpaceDN w:val="0"/>
        <w:adjustRightInd w:val="0"/>
        <w:spacing w:line="283" w:lineRule="exact"/>
        <w:rPr>
          <w:i/>
          <w:sz w:val="20"/>
          <w:lang w:val="sr-Cyrl-RS"/>
        </w:rPr>
      </w:pPr>
      <w:r w:rsidRPr="00A82B11">
        <w:rPr>
          <w:i/>
          <w:sz w:val="20"/>
          <w:lang w:val="sr-Cyrl-RS"/>
        </w:rPr>
        <w:t xml:space="preserve">Извор: </w:t>
      </w:r>
      <w:proofErr w:type="spellStart"/>
      <w:r w:rsidRPr="00A82B11">
        <w:rPr>
          <w:i/>
          <w:sz w:val="20"/>
          <w:lang w:val="sr-Cyrl-RS"/>
        </w:rPr>
        <w:t>Докум</w:t>
      </w:r>
      <w:proofErr w:type="spellEnd"/>
      <w:r w:rsidR="00DF1161" w:rsidRPr="00A82B11">
        <w:rPr>
          <w:i/>
          <w:sz w:val="20"/>
          <w:lang w:val="sr-Latn-BA"/>
        </w:rPr>
        <w:t>e</w:t>
      </w:r>
      <w:proofErr w:type="spellStart"/>
      <w:r w:rsidR="00DF1161" w:rsidRPr="00A82B11">
        <w:rPr>
          <w:i/>
          <w:sz w:val="20"/>
          <w:lang w:val="sr-Cyrl-RS"/>
        </w:rPr>
        <w:t>н</w:t>
      </w:r>
      <w:r w:rsidRPr="00A82B11">
        <w:rPr>
          <w:i/>
          <w:sz w:val="20"/>
          <w:lang w:val="sr-Cyrl-RS"/>
        </w:rPr>
        <w:t>т</w:t>
      </w:r>
      <w:proofErr w:type="spellEnd"/>
      <w:r w:rsidRPr="00A82B11">
        <w:rPr>
          <w:i/>
          <w:sz w:val="20"/>
          <w:lang w:val="sr-Cyrl-RS"/>
        </w:rPr>
        <w:t xml:space="preserve"> оквирног бу</w:t>
      </w:r>
      <w:r w:rsidR="00C328EA" w:rsidRPr="00A82B11">
        <w:rPr>
          <w:i/>
          <w:sz w:val="20"/>
          <w:lang w:val="sr-Cyrl-RS"/>
        </w:rPr>
        <w:t xml:space="preserve">џета РС за период </w:t>
      </w:r>
      <w:r w:rsidR="0064553E" w:rsidRPr="00A82B11">
        <w:rPr>
          <w:i/>
          <w:sz w:val="20"/>
          <w:lang w:val="sr-Cyrl-RS"/>
        </w:rPr>
        <w:t>2021</w:t>
      </w:r>
      <w:r w:rsidR="00C328EA" w:rsidRPr="00A82B11">
        <w:rPr>
          <w:i/>
          <w:sz w:val="20"/>
          <w:lang w:val="sr-Cyrl-RS"/>
        </w:rPr>
        <w:t>-</w:t>
      </w:r>
      <w:r w:rsidR="0064553E" w:rsidRPr="00A82B11">
        <w:rPr>
          <w:i/>
          <w:sz w:val="20"/>
          <w:lang w:val="sr-Cyrl-RS"/>
        </w:rPr>
        <w:t>2023</w:t>
      </w:r>
      <w:r w:rsidRPr="00A82B11">
        <w:rPr>
          <w:i/>
          <w:sz w:val="20"/>
          <w:lang w:val="sr-Cyrl-RS"/>
        </w:rPr>
        <w:t>. година</w:t>
      </w:r>
    </w:p>
    <w:p w14:paraId="61CC072D" w14:textId="77777777" w:rsidR="00DD6CBF" w:rsidRPr="00A82B11" w:rsidRDefault="00DD6CBF" w:rsidP="00D53D15">
      <w:pPr>
        <w:widowControl w:val="0"/>
        <w:autoSpaceDE w:val="0"/>
        <w:autoSpaceDN w:val="0"/>
        <w:adjustRightInd w:val="0"/>
        <w:spacing w:line="283" w:lineRule="exact"/>
        <w:ind w:firstLine="709"/>
        <w:rPr>
          <w:sz w:val="22"/>
          <w:lang w:val="sr-Cyrl-BA"/>
        </w:rPr>
      </w:pPr>
    </w:p>
    <w:p w14:paraId="6B3C3431" w14:textId="77777777" w:rsidR="00342613" w:rsidRPr="00A82B11" w:rsidRDefault="00850B55" w:rsidP="00A74F80">
      <w:pPr>
        <w:widowControl w:val="0"/>
        <w:autoSpaceDE w:val="0"/>
        <w:autoSpaceDN w:val="0"/>
        <w:adjustRightInd w:val="0"/>
        <w:spacing w:line="276" w:lineRule="auto"/>
        <w:ind w:firstLine="709"/>
        <w:jc w:val="both"/>
        <w:rPr>
          <w:sz w:val="22"/>
          <w:lang w:val="sr-Cyrl-BA"/>
        </w:rPr>
      </w:pPr>
      <w:proofErr w:type="spellStart"/>
      <w:r w:rsidRPr="00A82B11">
        <w:rPr>
          <w:sz w:val="22"/>
        </w:rPr>
        <w:t>Очекивани</w:t>
      </w:r>
      <w:proofErr w:type="spellEnd"/>
      <w:r w:rsidRPr="00A82B11">
        <w:rPr>
          <w:sz w:val="22"/>
        </w:rPr>
        <w:t xml:space="preserve"> </w:t>
      </w:r>
      <w:proofErr w:type="spellStart"/>
      <w:r w:rsidRPr="00A82B11">
        <w:rPr>
          <w:rStyle w:val="Heading40"/>
          <w:rFonts w:ascii="Times New Roman" w:hAnsi="Times New Roman" w:cs="Times New Roman"/>
          <w:szCs w:val="24"/>
        </w:rPr>
        <w:t>приходи</w:t>
      </w:r>
      <w:proofErr w:type="spellEnd"/>
      <w:r w:rsidRPr="00A82B11">
        <w:rPr>
          <w:rStyle w:val="Heading40"/>
          <w:rFonts w:ascii="Times New Roman" w:hAnsi="Times New Roman" w:cs="Times New Roman"/>
          <w:szCs w:val="24"/>
        </w:rPr>
        <w:t xml:space="preserve"> </w:t>
      </w:r>
      <w:proofErr w:type="spellStart"/>
      <w:r w:rsidRPr="00A82B11">
        <w:rPr>
          <w:rStyle w:val="Heading40"/>
          <w:rFonts w:ascii="Times New Roman" w:hAnsi="Times New Roman" w:cs="Times New Roman"/>
          <w:szCs w:val="24"/>
        </w:rPr>
        <w:t>јединица</w:t>
      </w:r>
      <w:proofErr w:type="spellEnd"/>
      <w:r w:rsidRPr="00A82B11">
        <w:rPr>
          <w:rStyle w:val="Heading40"/>
          <w:rFonts w:ascii="Times New Roman" w:hAnsi="Times New Roman" w:cs="Times New Roman"/>
          <w:szCs w:val="24"/>
        </w:rPr>
        <w:t xml:space="preserve"> </w:t>
      </w:r>
      <w:proofErr w:type="spellStart"/>
      <w:r w:rsidRPr="00A82B11">
        <w:rPr>
          <w:rStyle w:val="Heading40"/>
          <w:rFonts w:ascii="Times New Roman" w:hAnsi="Times New Roman" w:cs="Times New Roman"/>
          <w:szCs w:val="24"/>
        </w:rPr>
        <w:t>локалне</w:t>
      </w:r>
      <w:proofErr w:type="spellEnd"/>
      <w:r w:rsidRPr="00A82B11">
        <w:rPr>
          <w:rStyle w:val="Heading40"/>
          <w:rFonts w:ascii="Times New Roman" w:hAnsi="Times New Roman" w:cs="Times New Roman"/>
          <w:szCs w:val="24"/>
        </w:rPr>
        <w:t xml:space="preserve"> </w:t>
      </w:r>
      <w:proofErr w:type="spellStart"/>
      <w:r w:rsidRPr="00A82B11">
        <w:rPr>
          <w:rStyle w:val="Heading40"/>
          <w:rFonts w:ascii="Times New Roman" w:hAnsi="Times New Roman" w:cs="Times New Roman"/>
          <w:szCs w:val="24"/>
        </w:rPr>
        <w:t>самоуправе</w:t>
      </w:r>
      <w:proofErr w:type="spellEnd"/>
      <w:r w:rsidRPr="00A82B11">
        <w:rPr>
          <w:rStyle w:val="Heading40"/>
          <w:rFonts w:ascii="Times New Roman" w:hAnsi="Times New Roman" w:cs="Times New Roman"/>
          <w:szCs w:val="24"/>
        </w:rPr>
        <w:t xml:space="preserve"> </w:t>
      </w:r>
      <w:proofErr w:type="spellStart"/>
      <w:r w:rsidRPr="00A82B11">
        <w:rPr>
          <w:sz w:val="22"/>
        </w:rPr>
        <w:t>су</w:t>
      </w:r>
      <w:proofErr w:type="spellEnd"/>
      <w:r w:rsidRPr="00A82B11">
        <w:rPr>
          <w:sz w:val="22"/>
        </w:rPr>
        <w:t xml:space="preserve"> 694,0 </w:t>
      </w:r>
      <w:proofErr w:type="spellStart"/>
      <w:r w:rsidRPr="00A82B11">
        <w:rPr>
          <w:sz w:val="22"/>
        </w:rPr>
        <w:t>милиона</w:t>
      </w:r>
      <w:proofErr w:type="spellEnd"/>
      <w:r w:rsidRPr="00A82B11">
        <w:rPr>
          <w:sz w:val="22"/>
        </w:rPr>
        <w:t xml:space="preserve"> КМ у 2021. </w:t>
      </w:r>
      <w:proofErr w:type="spellStart"/>
      <w:r w:rsidRPr="00A82B11">
        <w:rPr>
          <w:sz w:val="22"/>
        </w:rPr>
        <w:t>години</w:t>
      </w:r>
      <w:proofErr w:type="spellEnd"/>
      <w:r w:rsidRPr="00A82B11">
        <w:rPr>
          <w:sz w:val="22"/>
        </w:rPr>
        <w:t xml:space="preserve">, 710,4 </w:t>
      </w:r>
      <w:proofErr w:type="spellStart"/>
      <w:r w:rsidRPr="00A82B11">
        <w:rPr>
          <w:sz w:val="22"/>
        </w:rPr>
        <w:t>милиона</w:t>
      </w:r>
      <w:proofErr w:type="spellEnd"/>
      <w:r w:rsidRPr="00A82B11">
        <w:rPr>
          <w:sz w:val="22"/>
        </w:rPr>
        <w:t xml:space="preserve"> КМ у 2022. </w:t>
      </w:r>
      <w:proofErr w:type="spellStart"/>
      <w:r w:rsidRPr="00A82B11">
        <w:rPr>
          <w:sz w:val="22"/>
        </w:rPr>
        <w:t>години</w:t>
      </w:r>
      <w:proofErr w:type="spellEnd"/>
      <w:r w:rsidRPr="00A82B11">
        <w:rPr>
          <w:sz w:val="22"/>
        </w:rPr>
        <w:t xml:space="preserve"> и 703,5 </w:t>
      </w:r>
      <w:proofErr w:type="spellStart"/>
      <w:r w:rsidRPr="00A82B11">
        <w:rPr>
          <w:sz w:val="22"/>
        </w:rPr>
        <w:t>милиона</w:t>
      </w:r>
      <w:proofErr w:type="spellEnd"/>
      <w:r w:rsidRPr="00A82B11">
        <w:rPr>
          <w:sz w:val="22"/>
        </w:rPr>
        <w:t xml:space="preserve"> КМ у 2023. </w:t>
      </w:r>
      <w:proofErr w:type="spellStart"/>
      <w:r w:rsidRPr="00A82B11">
        <w:rPr>
          <w:sz w:val="22"/>
        </w:rPr>
        <w:t>години</w:t>
      </w:r>
      <w:proofErr w:type="spellEnd"/>
      <w:r w:rsidRPr="00A82B11">
        <w:rPr>
          <w:sz w:val="22"/>
        </w:rPr>
        <w:t>.</w:t>
      </w:r>
      <w:r w:rsidR="00A74F80">
        <w:rPr>
          <w:sz w:val="22"/>
          <w:lang w:val="sr-Cyrl-RS"/>
        </w:rPr>
        <w:t xml:space="preserve"> </w:t>
      </w:r>
      <w:proofErr w:type="spellStart"/>
      <w:r w:rsidR="00D53D15" w:rsidRPr="00A82B11">
        <w:rPr>
          <w:sz w:val="22"/>
        </w:rPr>
        <w:t>Очекивани</w:t>
      </w:r>
      <w:proofErr w:type="spellEnd"/>
      <w:r w:rsidR="00D53D15" w:rsidRPr="00A82B11">
        <w:rPr>
          <w:sz w:val="22"/>
        </w:rPr>
        <w:t xml:space="preserve"> </w:t>
      </w:r>
      <w:proofErr w:type="spellStart"/>
      <w:r w:rsidR="00D53D15" w:rsidRPr="00A82B11">
        <w:rPr>
          <w:b/>
          <w:bCs/>
          <w:sz w:val="22"/>
        </w:rPr>
        <w:t>приходи</w:t>
      </w:r>
      <w:proofErr w:type="spellEnd"/>
      <w:r w:rsidR="00D53D15" w:rsidRPr="00A82B11">
        <w:rPr>
          <w:b/>
          <w:bCs/>
          <w:sz w:val="22"/>
        </w:rPr>
        <w:t xml:space="preserve"> </w:t>
      </w:r>
      <w:proofErr w:type="spellStart"/>
      <w:r w:rsidR="00D53D15" w:rsidRPr="00A82B11">
        <w:rPr>
          <w:b/>
          <w:bCs/>
          <w:sz w:val="22"/>
        </w:rPr>
        <w:t>јединица</w:t>
      </w:r>
      <w:proofErr w:type="spellEnd"/>
      <w:r w:rsidR="00D53D15" w:rsidRPr="00A82B11">
        <w:rPr>
          <w:b/>
          <w:bCs/>
          <w:sz w:val="22"/>
        </w:rPr>
        <w:t xml:space="preserve"> </w:t>
      </w:r>
      <w:proofErr w:type="spellStart"/>
      <w:r w:rsidR="00D53D15" w:rsidRPr="00A82B11">
        <w:rPr>
          <w:b/>
          <w:bCs/>
          <w:sz w:val="22"/>
        </w:rPr>
        <w:t>локалне</w:t>
      </w:r>
      <w:proofErr w:type="spellEnd"/>
      <w:r w:rsidR="00D53D15" w:rsidRPr="00A82B11">
        <w:rPr>
          <w:b/>
          <w:bCs/>
          <w:sz w:val="22"/>
        </w:rPr>
        <w:t xml:space="preserve"> </w:t>
      </w:r>
      <w:proofErr w:type="spellStart"/>
      <w:r w:rsidR="00D53D15" w:rsidRPr="00A82B11">
        <w:rPr>
          <w:b/>
          <w:bCs/>
          <w:sz w:val="22"/>
        </w:rPr>
        <w:t>самоуправе</w:t>
      </w:r>
      <w:proofErr w:type="spellEnd"/>
      <w:r w:rsidR="00D53D15" w:rsidRPr="00A82B11">
        <w:rPr>
          <w:b/>
          <w:bCs/>
          <w:sz w:val="22"/>
        </w:rPr>
        <w:t xml:space="preserve"> </w:t>
      </w:r>
      <w:r w:rsidR="001711FB" w:rsidRPr="00A82B11">
        <w:rPr>
          <w:sz w:val="22"/>
        </w:rPr>
        <w:t xml:space="preserve">у </w:t>
      </w:r>
      <w:r w:rsidR="0064553E" w:rsidRPr="00A82B11">
        <w:rPr>
          <w:sz w:val="22"/>
        </w:rPr>
        <w:t>2021</w:t>
      </w:r>
      <w:r w:rsidR="00EF56CF" w:rsidRPr="00A82B11">
        <w:rPr>
          <w:sz w:val="22"/>
        </w:rPr>
        <w:t xml:space="preserve">. </w:t>
      </w:r>
      <w:r w:rsidR="00EF56CF" w:rsidRPr="00A82B11">
        <w:rPr>
          <w:sz w:val="22"/>
          <w:lang w:val="sr-Cyrl-BA"/>
        </w:rPr>
        <w:t>г</w:t>
      </w:r>
      <w:proofErr w:type="spellStart"/>
      <w:r w:rsidR="00EF56CF" w:rsidRPr="00A82B11">
        <w:rPr>
          <w:sz w:val="22"/>
        </w:rPr>
        <w:t>одини</w:t>
      </w:r>
      <w:proofErr w:type="spellEnd"/>
      <w:r w:rsidR="00EF56CF" w:rsidRPr="00A82B11">
        <w:rPr>
          <w:sz w:val="22"/>
        </w:rPr>
        <w:t xml:space="preserve"> </w:t>
      </w:r>
      <w:r w:rsidR="005B6F8B" w:rsidRPr="00A82B11">
        <w:rPr>
          <w:sz w:val="22"/>
          <w:lang w:val="sr-Cyrl-BA"/>
        </w:rPr>
        <w:t xml:space="preserve">су </w:t>
      </w:r>
      <w:r w:rsidR="008B0EEB" w:rsidRPr="00A82B11">
        <w:rPr>
          <w:sz w:val="22"/>
          <w:lang w:val="sr-Cyrl-BA"/>
        </w:rPr>
        <w:t xml:space="preserve">скоро </w:t>
      </w:r>
      <w:r w:rsidR="005B6F8B" w:rsidRPr="00A82B11">
        <w:rPr>
          <w:sz w:val="22"/>
          <w:lang w:val="sr-Cyrl-RS"/>
        </w:rPr>
        <w:t xml:space="preserve">за </w:t>
      </w:r>
      <w:r w:rsidR="008B0EEB" w:rsidRPr="00A82B11">
        <w:rPr>
          <w:sz w:val="22"/>
          <w:lang w:val="sr-Cyrl-BA"/>
        </w:rPr>
        <w:t>10</w:t>
      </w:r>
      <w:r w:rsidR="00EF56CF" w:rsidRPr="00A82B11">
        <w:rPr>
          <w:sz w:val="22"/>
          <w:lang w:val="sr-Cyrl-BA"/>
        </w:rPr>
        <w:t xml:space="preserve">% </w:t>
      </w:r>
      <w:r w:rsidR="008B0EEB" w:rsidRPr="00A82B11">
        <w:rPr>
          <w:sz w:val="22"/>
          <w:lang w:val="sr-Cyrl-BA"/>
        </w:rPr>
        <w:t>нижи</w:t>
      </w:r>
      <w:r w:rsidR="00FC5D41" w:rsidRPr="00A82B11">
        <w:rPr>
          <w:sz w:val="22"/>
          <w:lang w:val="sr-Cyrl-BA"/>
        </w:rPr>
        <w:t xml:space="preserve"> у односу на пл</w:t>
      </w:r>
      <w:r w:rsidR="001711FB" w:rsidRPr="00A82B11">
        <w:rPr>
          <w:sz w:val="22"/>
          <w:lang w:val="sr-Cyrl-BA"/>
        </w:rPr>
        <w:t xml:space="preserve">ан за </w:t>
      </w:r>
      <w:r w:rsidR="00833C1B" w:rsidRPr="00A82B11">
        <w:rPr>
          <w:sz w:val="22"/>
          <w:lang w:val="sr-Cyrl-BA"/>
        </w:rPr>
        <w:t>2020</w:t>
      </w:r>
      <w:r w:rsidR="00FC5D41" w:rsidRPr="00A82B11">
        <w:rPr>
          <w:sz w:val="22"/>
          <w:lang w:val="sr-Cyrl-BA"/>
        </w:rPr>
        <w:t>. годину.</w:t>
      </w:r>
      <w:r w:rsidR="00B9465D" w:rsidRPr="00A82B11">
        <w:rPr>
          <w:sz w:val="22"/>
          <w:lang w:val="sr-Cyrl-BA"/>
        </w:rPr>
        <w:t xml:space="preserve"> </w:t>
      </w:r>
      <w:r w:rsidR="00FC5D41" w:rsidRPr="00A82B11">
        <w:rPr>
          <w:sz w:val="22"/>
          <w:lang w:val="sr-Cyrl-BA"/>
        </w:rPr>
        <w:t>У</w:t>
      </w:r>
      <w:r w:rsidR="00B9465D" w:rsidRPr="00A82B11">
        <w:rPr>
          <w:sz w:val="22"/>
          <w:lang w:val="sr-Cyrl-BA"/>
        </w:rPr>
        <w:t xml:space="preserve"> структури прихода, </w:t>
      </w:r>
      <w:r w:rsidR="00B9465D" w:rsidRPr="00A82B11">
        <w:rPr>
          <w:b/>
          <w:sz w:val="22"/>
          <w:lang w:val="sr-Cyrl-BA"/>
        </w:rPr>
        <w:t xml:space="preserve">пројектован </w:t>
      </w:r>
      <w:r w:rsidR="00FC5D41" w:rsidRPr="00A82B11">
        <w:rPr>
          <w:b/>
          <w:sz w:val="22"/>
          <w:lang w:val="sr-Cyrl-BA"/>
        </w:rPr>
        <w:t xml:space="preserve">је </w:t>
      </w:r>
      <w:r w:rsidR="008B0EEB" w:rsidRPr="00A82B11">
        <w:rPr>
          <w:b/>
          <w:sz w:val="22"/>
          <w:lang w:val="sr-Cyrl-BA"/>
        </w:rPr>
        <w:t>пад и</w:t>
      </w:r>
      <w:r w:rsidR="00B9465D" w:rsidRPr="00A82B11">
        <w:rPr>
          <w:b/>
          <w:sz w:val="22"/>
          <w:lang w:val="sr-Cyrl-BA"/>
        </w:rPr>
        <w:t xml:space="preserve"> пореских</w:t>
      </w:r>
      <w:r w:rsidR="001711FB" w:rsidRPr="00A82B11">
        <w:rPr>
          <w:b/>
          <w:sz w:val="22"/>
          <w:lang w:val="sr-Cyrl-BA"/>
        </w:rPr>
        <w:t xml:space="preserve"> (за </w:t>
      </w:r>
      <w:r w:rsidR="008B0EEB" w:rsidRPr="00A82B11">
        <w:rPr>
          <w:b/>
          <w:sz w:val="22"/>
          <w:lang w:val="sr-Cyrl-BA"/>
        </w:rPr>
        <w:t>2</w:t>
      </w:r>
      <w:r w:rsidR="001711FB" w:rsidRPr="00A82B11">
        <w:rPr>
          <w:b/>
          <w:sz w:val="22"/>
          <w:lang w:val="sr-Cyrl-BA"/>
        </w:rPr>
        <w:t>,7</w:t>
      </w:r>
      <w:r w:rsidR="00FC5D41" w:rsidRPr="00A82B11">
        <w:rPr>
          <w:b/>
          <w:sz w:val="22"/>
          <w:lang w:val="sr-Cyrl-BA"/>
        </w:rPr>
        <w:t>%)</w:t>
      </w:r>
      <w:r w:rsidR="001711FB" w:rsidRPr="00A82B11">
        <w:rPr>
          <w:b/>
          <w:sz w:val="22"/>
          <w:lang w:val="sr-Cyrl-BA"/>
        </w:rPr>
        <w:t xml:space="preserve"> и</w:t>
      </w:r>
      <w:r w:rsidR="00B9465D" w:rsidRPr="00A82B11">
        <w:rPr>
          <w:b/>
          <w:sz w:val="22"/>
          <w:lang w:val="sr-Cyrl-BA"/>
        </w:rPr>
        <w:t xml:space="preserve"> </w:t>
      </w:r>
      <w:proofErr w:type="spellStart"/>
      <w:r w:rsidR="00B9465D" w:rsidRPr="00A82B11">
        <w:rPr>
          <w:b/>
          <w:sz w:val="22"/>
          <w:lang w:val="sr-Cyrl-BA"/>
        </w:rPr>
        <w:t>непореских</w:t>
      </w:r>
      <w:proofErr w:type="spellEnd"/>
      <w:r w:rsidR="00B9465D" w:rsidRPr="00A82B11">
        <w:rPr>
          <w:b/>
          <w:sz w:val="22"/>
          <w:lang w:val="sr-Cyrl-BA"/>
        </w:rPr>
        <w:t xml:space="preserve"> прихода</w:t>
      </w:r>
      <w:r w:rsidR="001711FB" w:rsidRPr="00A82B11">
        <w:rPr>
          <w:b/>
          <w:sz w:val="22"/>
          <w:lang w:val="sr-Cyrl-BA"/>
        </w:rPr>
        <w:t xml:space="preserve"> (за </w:t>
      </w:r>
      <w:r w:rsidR="008B0EEB" w:rsidRPr="00A82B11">
        <w:rPr>
          <w:b/>
          <w:sz w:val="22"/>
          <w:lang w:val="sr-Cyrl-BA"/>
        </w:rPr>
        <w:t>11,6</w:t>
      </w:r>
      <w:r w:rsidR="00FC5D41" w:rsidRPr="00A82B11">
        <w:rPr>
          <w:b/>
          <w:sz w:val="22"/>
          <w:lang w:val="sr-Cyrl-BA"/>
        </w:rPr>
        <w:t>%)</w:t>
      </w:r>
      <w:r w:rsidR="00B9465D" w:rsidRPr="00A82B11">
        <w:rPr>
          <w:sz w:val="22"/>
          <w:lang w:val="sr-Cyrl-BA"/>
        </w:rPr>
        <w:t>.</w:t>
      </w:r>
      <w:r w:rsidR="001711FB" w:rsidRPr="00A82B11">
        <w:rPr>
          <w:sz w:val="22"/>
          <w:lang w:val="sr-Cyrl-BA"/>
        </w:rPr>
        <w:t xml:space="preserve"> У </w:t>
      </w:r>
      <w:r w:rsidR="0064553E" w:rsidRPr="00A82B11">
        <w:rPr>
          <w:sz w:val="22"/>
          <w:lang w:val="sr-Cyrl-BA"/>
        </w:rPr>
        <w:t>2022</w:t>
      </w:r>
      <w:r w:rsidR="001711FB" w:rsidRPr="00A82B11">
        <w:rPr>
          <w:sz w:val="22"/>
          <w:lang w:val="sr-Cyrl-BA"/>
        </w:rPr>
        <w:t xml:space="preserve">. </w:t>
      </w:r>
      <w:r w:rsidR="00DE1E15" w:rsidRPr="00A82B11">
        <w:rPr>
          <w:sz w:val="22"/>
          <w:lang w:val="sr-Cyrl-BA"/>
        </w:rPr>
        <w:t>години очекује се</w:t>
      </w:r>
      <w:r w:rsidR="00B031E2" w:rsidRPr="00A82B11">
        <w:rPr>
          <w:sz w:val="22"/>
          <w:lang w:val="sr-Cyrl-BA"/>
        </w:rPr>
        <w:t xml:space="preserve"> </w:t>
      </w:r>
      <w:r w:rsidR="008B0EEB" w:rsidRPr="00A82B11">
        <w:rPr>
          <w:sz w:val="22"/>
          <w:lang w:val="sr-Cyrl-BA"/>
        </w:rPr>
        <w:t xml:space="preserve">благи </w:t>
      </w:r>
      <w:r w:rsidR="00FC5D41" w:rsidRPr="00A82B11">
        <w:rPr>
          <w:sz w:val="22"/>
          <w:lang w:val="sr-Cyrl-BA"/>
        </w:rPr>
        <w:t xml:space="preserve">раст укупних, пореских и </w:t>
      </w:r>
      <w:proofErr w:type="spellStart"/>
      <w:r w:rsidR="00FC5D41" w:rsidRPr="00A82B11">
        <w:rPr>
          <w:sz w:val="22"/>
          <w:lang w:val="sr-Cyrl-BA"/>
        </w:rPr>
        <w:t>непо</w:t>
      </w:r>
      <w:r w:rsidR="001711FB" w:rsidRPr="00A82B11">
        <w:rPr>
          <w:sz w:val="22"/>
          <w:lang w:val="sr-Cyrl-BA"/>
        </w:rPr>
        <w:t>реских</w:t>
      </w:r>
      <w:proofErr w:type="spellEnd"/>
      <w:r w:rsidR="001711FB" w:rsidRPr="00A82B11">
        <w:rPr>
          <w:sz w:val="22"/>
          <w:lang w:val="sr-Cyrl-BA"/>
        </w:rPr>
        <w:t xml:space="preserve"> прихода, у односу на </w:t>
      </w:r>
      <w:r w:rsidR="0064553E" w:rsidRPr="00A82B11">
        <w:rPr>
          <w:sz w:val="22"/>
          <w:lang w:val="sr-Cyrl-BA"/>
        </w:rPr>
        <w:t>2021</w:t>
      </w:r>
      <w:r w:rsidR="00BE7410" w:rsidRPr="00A82B11">
        <w:rPr>
          <w:sz w:val="22"/>
          <w:lang w:val="sr-Cyrl-BA"/>
        </w:rPr>
        <w:t>. годину</w:t>
      </w:r>
      <w:r w:rsidR="00BE435E" w:rsidRPr="00A82B11">
        <w:rPr>
          <w:sz w:val="22"/>
          <w:lang w:val="sr-Cyrl-BA"/>
        </w:rPr>
        <w:t xml:space="preserve">. </w:t>
      </w:r>
    </w:p>
    <w:p w14:paraId="7FAB3CC0" w14:textId="77777777" w:rsidR="008D4E4C" w:rsidRPr="00A82B11" w:rsidRDefault="008D4E4C" w:rsidP="00831D15">
      <w:pPr>
        <w:widowControl w:val="0"/>
        <w:autoSpaceDE w:val="0"/>
        <w:autoSpaceDN w:val="0"/>
        <w:adjustRightInd w:val="0"/>
        <w:spacing w:line="276" w:lineRule="auto"/>
        <w:jc w:val="both"/>
        <w:rPr>
          <w:sz w:val="22"/>
        </w:rPr>
      </w:pPr>
    </w:p>
    <w:p w14:paraId="674682D1" w14:textId="77777777" w:rsidR="00334757" w:rsidRPr="00E9414A" w:rsidRDefault="008D4E4C" w:rsidP="00A74F80">
      <w:pPr>
        <w:widowControl w:val="0"/>
        <w:autoSpaceDE w:val="0"/>
        <w:autoSpaceDN w:val="0"/>
        <w:adjustRightInd w:val="0"/>
        <w:spacing w:line="276" w:lineRule="auto"/>
        <w:ind w:firstLine="709"/>
        <w:jc w:val="both"/>
        <w:rPr>
          <w:sz w:val="22"/>
          <w:lang w:val="sr-Cyrl-RS"/>
        </w:rPr>
      </w:pPr>
      <w:r w:rsidRPr="00A82B11">
        <w:rPr>
          <w:sz w:val="22"/>
          <w:lang w:val="sr-Cyrl-CS"/>
        </w:rPr>
        <w:t xml:space="preserve">Приходи од </w:t>
      </w:r>
      <w:r w:rsidRPr="00200CEC">
        <w:rPr>
          <w:b/>
          <w:i/>
          <w:sz w:val="22"/>
          <w:lang w:val="sr-Cyrl-CS"/>
        </w:rPr>
        <w:t xml:space="preserve">индиректних пореза </w:t>
      </w:r>
      <w:r w:rsidRPr="00A82B11">
        <w:rPr>
          <w:sz w:val="22"/>
          <w:lang w:val="sr-Cyrl-CS"/>
        </w:rPr>
        <w:t xml:space="preserve">су најзначајнији приходи, како за </w:t>
      </w:r>
      <w:proofErr w:type="spellStart"/>
      <w:r w:rsidRPr="00A82B11">
        <w:rPr>
          <w:sz w:val="22"/>
          <w:lang w:val="sr-Cyrl-CS"/>
        </w:rPr>
        <w:t>ентитетски</w:t>
      </w:r>
      <w:proofErr w:type="spellEnd"/>
      <w:r w:rsidRPr="00A82B11">
        <w:rPr>
          <w:sz w:val="22"/>
          <w:lang w:val="sr-Cyrl-CS"/>
        </w:rPr>
        <w:t xml:space="preserve"> ниво власти, тако и за локалне самоуправе у РС. </w:t>
      </w:r>
      <w:proofErr w:type="spellStart"/>
      <w:r w:rsidRPr="00A82B11">
        <w:rPr>
          <w:sz w:val="22"/>
          <w:lang w:val="sr-Cyrl-CS"/>
        </w:rPr>
        <w:t>Усљед</w:t>
      </w:r>
      <w:proofErr w:type="spellEnd"/>
      <w:r w:rsidRPr="00A82B11">
        <w:rPr>
          <w:sz w:val="22"/>
          <w:lang w:val="sr-Cyrl-CS"/>
        </w:rPr>
        <w:t xml:space="preserve"> </w:t>
      </w:r>
      <w:proofErr w:type="spellStart"/>
      <w:r w:rsidRPr="00A82B11">
        <w:rPr>
          <w:sz w:val="22"/>
          <w:lang w:val="sr-Cyrl-CS"/>
        </w:rPr>
        <w:t>дјеловања</w:t>
      </w:r>
      <w:proofErr w:type="spellEnd"/>
      <w:r w:rsidRPr="00A82B11">
        <w:rPr>
          <w:sz w:val="22"/>
          <w:lang w:val="sr-Cyrl-CS"/>
        </w:rPr>
        <w:t xml:space="preserve"> кризе изазване </w:t>
      </w:r>
      <w:proofErr w:type="spellStart"/>
      <w:r w:rsidRPr="00A82B11">
        <w:rPr>
          <w:sz w:val="22"/>
          <w:lang w:val="sr-Cyrl-CS"/>
        </w:rPr>
        <w:t>пандемијом</w:t>
      </w:r>
      <w:proofErr w:type="spellEnd"/>
      <w:r w:rsidRPr="00A82B11">
        <w:rPr>
          <w:sz w:val="22"/>
          <w:lang w:val="sr-Cyrl-CS"/>
        </w:rPr>
        <w:t xml:space="preserve"> </w:t>
      </w:r>
      <w:r w:rsidRPr="00A82B11">
        <w:rPr>
          <w:sz w:val="22"/>
          <w:lang w:val="sr-Latn-BA"/>
        </w:rPr>
        <w:t>COVID</w:t>
      </w:r>
      <w:r w:rsidRPr="00A82B11">
        <w:rPr>
          <w:sz w:val="22"/>
          <w:lang w:val="sr-Cyrl-CS"/>
        </w:rPr>
        <w:t xml:space="preserve">-19, дошло је до пада привредних активности и смањење потражње и промета роба и услуга. </w:t>
      </w:r>
      <w:r w:rsidR="00577984">
        <w:rPr>
          <w:sz w:val="22"/>
          <w:lang w:val="sr-Cyrl-CS"/>
        </w:rPr>
        <w:t>Због тога су смањени приходи</w:t>
      </w:r>
      <w:r w:rsidRPr="00A82B11">
        <w:rPr>
          <w:sz w:val="22"/>
          <w:lang w:val="sr-Cyrl-CS"/>
        </w:rPr>
        <w:t xml:space="preserve"> од </w:t>
      </w:r>
      <w:r w:rsidRPr="00A82B11">
        <w:rPr>
          <w:sz w:val="22"/>
          <w:lang w:val="sr-Cyrl-CS"/>
        </w:rPr>
        <w:lastRenderedPageBreak/>
        <w:t xml:space="preserve">индиректних пореза. </w:t>
      </w:r>
      <w:r w:rsidR="00036BC7" w:rsidRPr="00A82B11">
        <w:rPr>
          <w:sz w:val="22"/>
          <w:lang w:val="sr-Cyrl-CS"/>
        </w:rPr>
        <w:t>Пад ових прихода у БиХ у априлу износио је чак 32%, што се  негативно одразило на  буџете свих нивоа власти.  Стање се постепено стабилиз</w:t>
      </w:r>
      <w:r w:rsidR="004D71F5" w:rsidRPr="00A82B11">
        <w:rPr>
          <w:sz w:val="22"/>
          <w:lang w:val="sr-Cyrl-CS"/>
        </w:rPr>
        <w:t>ује, што показује податак да су</w:t>
      </w:r>
      <w:r w:rsidR="005B6F8B" w:rsidRPr="00A82B11">
        <w:rPr>
          <w:sz w:val="22"/>
          <w:lang w:val="sr-Cyrl-CS"/>
        </w:rPr>
        <w:t xml:space="preserve"> за девет </w:t>
      </w:r>
      <w:proofErr w:type="spellStart"/>
      <w:r w:rsidR="005B6F8B" w:rsidRPr="00A82B11">
        <w:rPr>
          <w:sz w:val="22"/>
          <w:lang w:val="sr-Cyrl-CS"/>
        </w:rPr>
        <w:t>мјесеци</w:t>
      </w:r>
      <w:proofErr w:type="spellEnd"/>
      <w:r w:rsidR="005B6F8B" w:rsidRPr="00A82B11">
        <w:rPr>
          <w:sz w:val="22"/>
          <w:lang w:val="sr-Cyrl-CS"/>
        </w:rPr>
        <w:t xml:space="preserve"> ове године </w:t>
      </w:r>
      <w:r w:rsidR="00036BC7" w:rsidRPr="00A82B11">
        <w:rPr>
          <w:sz w:val="22"/>
          <w:lang w:val="sr-Cyrl-CS"/>
        </w:rPr>
        <w:t>индиректни порези ост</w:t>
      </w:r>
      <w:r w:rsidR="005B6F8B" w:rsidRPr="00A82B11">
        <w:rPr>
          <w:sz w:val="22"/>
          <w:lang w:val="sr-Cyrl-CS"/>
        </w:rPr>
        <w:t>в</w:t>
      </w:r>
      <w:r w:rsidR="00036BC7" w:rsidRPr="00A82B11">
        <w:rPr>
          <w:sz w:val="22"/>
          <w:lang w:val="sr-Cyrl-CS"/>
        </w:rPr>
        <w:t>а</w:t>
      </w:r>
      <w:r w:rsidR="005B6F8B" w:rsidRPr="00A82B11">
        <w:rPr>
          <w:sz w:val="22"/>
          <w:lang w:val="sr-Cyrl-CS"/>
        </w:rPr>
        <w:t xml:space="preserve">рени у износу од 5,327 милијарди КМ и мањи су за 10,27% у односу </w:t>
      </w:r>
      <w:r w:rsidR="00036BC7" w:rsidRPr="00A82B11">
        <w:rPr>
          <w:sz w:val="22"/>
          <w:lang w:val="sr-Cyrl-CS"/>
        </w:rPr>
        <w:t>на исти период претходне године</w:t>
      </w:r>
      <w:r w:rsidR="00F40F06" w:rsidRPr="00A82B11">
        <w:rPr>
          <w:sz w:val="22"/>
          <w:lang w:val="sr-Cyrl-CS"/>
        </w:rPr>
        <w:t xml:space="preserve">. </w:t>
      </w:r>
      <w:proofErr w:type="spellStart"/>
      <w:r w:rsidR="00772EC9" w:rsidRPr="00A82B11">
        <w:rPr>
          <w:color w:val="000000"/>
          <w:sz w:val="22"/>
        </w:rPr>
        <w:t>Око</w:t>
      </w:r>
      <w:proofErr w:type="spellEnd"/>
      <w:r w:rsidR="00772EC9" w:rsidRPr="00A82B11">
        <w:rPr>
          <w:color w:val="000000"/>
          <w:sz w:val="22"/>
        </w:rPr>
        <w:t xml:space="preserve"> </w:t>
      </w:r>
      <w:proofErr w:type="spellStart"/>
      <w:r w:rsidR="00772EC9" w:rsidRPr="00A82B11">
        <w:rPr>
          <w:color w:val="000000"/>
          <w:sz w:val="22"/>
        </w:rPr>
        <w:t>половине</w:t>
      </w:r>
      <w:proofErr w:type="spellEnd"/>
      <w:r w:rsidR="00772EC9" w:rsidRPr="00A82B11">
        <w:rPr>
          <w:color w:val="000000"/>
          <w:sz w:val="22"/>
        </w:rPr>
        <w:t xml:space="preserve"> </w:t>
      </w:r>
      <w:proofErr w:type="spellStart"/>
      <w:r w:rsidR="00772EC9" w:rsidRPr="00A82B11">
        <w:rPr>
          <w:color w:val="000000"/>
          <w:sz w:val="22"/>
        </w:rPr>
        <w:t>прихода</w:t>
      </w:r>
      <w:proofErr w:type="spellEnd"/>
      <w:r w:rsidR="00772EC9" w:rsidRPr="00A82B11">
        <w:rPr>
          <w:color w:val="000000"/>
          <w:sz w:val="22"/>
        </w:rPr>
        <w:t xml:space="preserve"> </w:t>
      </w:r>
      <w:proofErr w:type="spellStart"/>
      <w:r w:rsidR="00772EC9" w:rsidRPr="00A82B11">
        <w:rPr>
          <w:color w:val="000000"/>
          <w:sz w:val="22"/>
        </w:rPr>
        <w:t>јединица</w:t>
      </w:r>
      <w:proofErr w:type="spellEnd"/>
      <w:r w:rsidR="00772EC9" w:rsidRPr="00A82B11">
        <w:rPr>
          <w:color w:val="000000"/>
          <w:sz w:val="22"/>
        </w:rPr>
        <w:t xml:space="preserve"> </w:t>
      </w:r>
      <w:proofErr w:type="spellStart"/>
      <w:r w:rsidR="00772EC9" w:rsidRPr="00A82B11">
        <w:rPr>
          <w:color w:val="000000"/>
          <w:sz w:val="22"/>
        </w:rPr>
        <w:t>локалне</w:t>
      </w:r>
      <w:proofErr w:type="spellEnd"/>
      <w:r w:rsidR="00772EC9" w:rsidRPr="00A82B11">
        <w:rPr>
          <w:color w:val="000000"/>
          <w:sz w:val="22"/>
        </w:rPr>
        <w:t xml:space="preserve"> </w:t>
      </w:r>
      <w:proofErr w:type="spellStart"/>
      <w:r w:rsidR="00772EC9" w:rsidRPr="00A82B11">
        <w:rPr>
          <w:color w:val="000000"/>
          <w:sz w:val="22"/>
        </w:rPr>
        <w:t>самоуправе</w:t>
      </w:r>
      <w:proofErr w:type="spellEnd"/>
      <w:r w:rsidR="00772EC9" w:rsidRPr="00A82B11">
        <w:rPr>
          <w:color w:val="000000"/>
          <w:sz w:val="22"/>
        </w:rPr>
        <w:t xml:space="preserve"> </w:t>
      </w:r>
      <w:proofErr w:type="spellStart"/>
      <w:r w:rsidR="00772EC9" w:rsidRPr="00A82B11">
        <w:rPr>
          <w:color w:val="000000"/>
          <w:sz w:val="22"/>
        </w:rPr>
        <w:t>чине</w:t>
      </w:r>
      <w:proofErr w:type="spellEnd"/>
      <w:r w:rsidR="00772EC9" w:rsidRPr="00831D15">
        <w:rPr>
          <w:color w:val="000000"/>
          <w:sz w:val="22"/>
        </w:rPr>
        <w:t xml:space="preserve"> </w:t>
      </w:r>
      <w:proofErr w:type="spellStart"/>
      <w:r w:rsidR="00772EC9" w:rsidRPr="00831D15">
        <w:rPr>
          <w:iCs/>
          <w:color w:val="000000"/>
          <w:sz w:val="22"/>
        </w:rPr>
        <w:t>приходи</w:t>
      </w:r>
      <w:proofErr w:type="spellEnd"/>
      <w:r w:rsidR="00772EC9" w:rsidRPr="00831D15">
        <w:rPr>
          <w:iCs/>
          <w:color w:val="000000"/>
          <w:sz w:val="22"/>
        </w:rPr>
        <w:t xml:space="preserve"> </w:t>
      </w:r>
      <w:proofErr w:type="spellStart"/>
      <w:r w:rsidR="00772EC9" w:rsidRPr="00831D15">
        <w:rPr>
          <w:iCs/>
          <w:color w:val="000000"/>
          <w:sz w:val="22"/>
        </w:rPr>
        <w:t>од</w:t>
      </w:r>
      <w:proofErr w:type="spellEnd"/>
      <w:r w:rsidR="00772EC9" w:rsidRPr="00831D15">
        <w:rPr>
          <w:iCs/>
          <w:color w:val="000000"/>
          <w:sz w:val="22"/>
        </w:rPr>
        <w:t xml:space="preserve"> </w:t>
      </w:r>
      <w:proofErr w:type="spellStart"/>
      <w:r w:rsidR="00772EC9" w:rsidRPr="00831D15">
        <w:rPr>
          <w:iCs/>
          <w:color w:val="000000"/>
          <w:sz w:val="22"/>
        </w:rPr>
        <w:t>индиректних</w:t>
      </w:r>
      <w:proofErr w:type="spellEnd"/>
      <w:r w:rsidR="00772EC9" w:rsidRPr="00831D15">
        <w:rPr>
          <w:iCs/>
          <w:color w:val="000000"/>
          <w:sz w:val="22"/>
        </w:rPr>
        <w:t xml:space="preserve"> </w:t>
      </w:r>
      <w:proofErr w:type="spellStart"/>
      <w:r w:rsidR="00772EC9" w:rsidRPr="00831D15">
        <w:rPr>
          <w:iCs/>
          <w:color w:val="000000"/>
          <w:sz w:val="22"/>
        </w:rPr>
        <w:t>пореза</w:t>
      </w:r>
      <w:proofErr w:type="spellEnd"/>
      <w:r w:rsidR="00772EC9" w:rsidRPr="00831D15">
        <w:rPr>
          <w:color w:val="000000"/>
          <w:sz w:val="22"/>
        </w:rPr>
        <w:t>.</w:t>
      </w:r>
      <w:r w:rsidR="00772EC9" w:rsidRPr="00A82B11">
        <w:rPr>
          <w:color w:val="000000"/>
          <w:sz w:val="22"/>
        </w:rPr>
        <w:t xml:space="preserve"> </w:t>
      </w:r>
      <w:r w:rsidR="004D71F5" w:rsidRPr="00A82B11">
        <w:rPr>
          <w:color w:val="000000"/>
          <w:sz w:val="22"/>
          <w:lang w:val="sr-Cyrl-RS"/>
        </w:rPr>
        <w:t>Повећано задуживање</w:t>
      </w:r>
      <w:r w:rsidR="001A78A9">
        <w:rPr>
          <w:color w:val="000000"/>
          <w:sz w:val="22"/>
          <w:lang w:val="sr-Cyrl-RS"/>
        </w:rPr>
        <w:t xml:space="preserve"> РС, које је </w:t>
      </w:r>
      <w:r w:rsidR="004D71F5" w:rsidRPr="00A82B11">
        <w:rPr>
          <w:color w:val="000000"/>
          <w:sz w:val="22"/>
          <w:lang w:val="sr-Cyrl-RS"/>
        </w:rPr>
        <w:t xml:space="preserve">неминовно због санирања економских посљедица </w:t>
      </w:r>
      <w:proofErr w:type="spellStart"/>
      <w:r w:rsidR="004D71F5" w:rsidRPr="00A82B11">
        <w:rPr>
          <w:color w:val="000000"/>
          <w:sz w:val="22"/>
          <w:lang w:val="sr-Cyrl-RS"/>
        </w:rPr>
        <w:t>пандемије</w:t>
      </w:r>
      <w:proofErr w:type="spellEnd"/>
      <w:r w:rsidR="004D71F5" w:rsidRPr="00A82B11">
        <w:rPr>
          <w:color w:val="000000"/>
          <w:sz w:val="22"/>
          <w:lang w:val="sr-Cyrl-RS"/>
        </w:rPr>
        <w:t xml:space="preserve">, </w:t>
      </w:r>
      <w:r w:rsidR="009C40C8">
        <w:rPr>
          <w:color w:val="000000"/>
          <w:sz w:val="22"/>
          <w:lang w:val="sr-Cyrl-RS"/>
        </w:rPr>
        <w:t>имаће негативан утицај на</w:t>
      </w:r>
      <w:r w:rsidR="00B51290">
        <w:rPr>
          <w:color w:val="000000"/>
          <w:sz w:val="22"/>
          <w:lang w:val="sr-Cyrl-RS"/>
        </w:rPr>
        <w:t xml:space="preserve"> </w:t>
      </w:r>
      <w:r w:rsidR="004D71F5" w:rsidRPr="00A82B11">
        <w:rPr>
          <w:color w:val="000000"/>
          <w:sz w:val="22"/>
          <w:lang w:val="sr-Cyrl-RS"/>
        </w:rPr>
        <w:t>приходе</w:t>
      </w:r>
      <w:r w:rsidR="009C40C8">
        <w:rPr>
          <w:color w:val="000000"/>
          <w:sz w:val="22"/>
          <w:lang w:val="sr-Cyrl-RS"/>
        </w:rPr>
        <w:t>, који</w:t>
      </w:r>
      <w:r w:rsidR="004D71F5" w:rsidRPr="00A82B11">
        <w:rPr>
          <w:color w:val="000000"/>
          <w:sz w:val="22"/>
          <w:lang w:val="sr-Cyrl-RS"/>
        </w:rPr>
        <w:t xml:space="preserve"> по овом основу припадају локалној самоуправи</w:t>
      </w:r>
      <w:r w:rsidR="001A78A9">
        <w:rPr>
          <w:color w:val="000000"/>
          <w:sz w:val="22"/>
          <w:lang w:val="sr-Cyrl-RS"/>
        </w:rPr>
        <w:t xml:space="preserve">, а имајући прописане начине </w:t>
      </w:r>
      <w:proofErr w:type="spellStart"/>
      <w:r w:rsidR="001A78A9">
        <w:rPr>
          <w:color w:val="000000"/>
          <w:sz w:val="22"/>
          <w:lang w:val="sr-Cyrl-RS"/>
        </w:rPr>
        <w:t>расподјеле</w:t>
      </w:r>
      <w:proofErr w:type="spellEnd"/>
      <w:r w:rsidR="001A78A9">
        <w:rPr>
          <w:color w:val="000000"/>
          <w:sz w:val="22"/>
          <w:lang w:val="sr-Cyrl-RS"/>
        </w:rPr>
        <w:t xml:space="preserve"> овог прихода</w:t>
      </w:r>
      <w:r w:rsidR="004D71F5" w:rsidRPr="00A82B11">
        <w:rPr>
          <w:color w:val="000000"/>
          <w:sz w:val="22"/>
          <w:lang w:val="sr-Cyrl-RS"/>
        </w:rPr>
        <w:t xml:space="preserve">. </w:t>
      </w:r>
      <w:r w:rsidRPr="00A82B11">
        <w:rPr>
          <w:sz w:val="22"/>
          <w:lang w:val="sr-Cyrl-CS"/>
        </w:rPr>
        <w:t xml:space="preserve">Потребно је у сарадњи са Савезом, радити на доношењу нових критерија </w:t>
      </w:r>
      <w:proofErr w:type="spellStart"/>
      <w:r w:rsidRPr="00A82B11">
        <w:rPr>
          <w:sz w:val="22"/>
          <w:lang w:val="sr-Cyrl-CS"/>
        </w:rPr>
        <w:t>расподјеле</w:t>
      </w:r>
      <w:proofErr w:type="spellEnd"/>
      <w:r w:rsidRPr="00A82B11">
        <w:rPr>
          <w:sz w:val="22"/>
          <w:lang w:val="sr-Cyrl-CS"/>
        </w:rPr>
        <w:t xml:space="preserve"> прихода од индиректних пореза.</w:t>
      </w:r>
      <w:r w:rsidR="00334757" w:rsidRPr="00A82B11">
        <w:rPr>
          <w:sz w:val="22"/>
          <w:lang w:val="sr-Cyrl-CS"/>
        </w:rPr>
        <w:t xml:space="preserve"> </w:t>
      </w:r>
      <w:proofErr w:type="spellStart"/>
      <w:r w:rsidR="00334757" w:rsidRPr="00A82B11">
        <w:rPr>
          <w:sz w:val="22"/>
        </w:rPr>
        <w:t>Пројекције</w:t>
      </w:r>
      <w:proofErr w:type="spellEnd"/>
      <w:r w:rsidR="00334757" w:rsidRPr="00A82B11">
        <w:rPr>
          <w:sz w:val="22"/>
        </w:rPr>
        <w:t xml:space="preserve"> </w:t>
      </w:r>
      <w:proofErr w:type="spellStart"/>
      <w:r w:rsidR="00334757" w:rsidRPr="00A82B11">
        <w:rPr>
          <w:sz w:val="22"/>
        </w:rPr>
        <w:t>прихода</w:t>
      </w:r>
      <w:proofErr w:type="spellEnd"/>
      <w:r w:rsidR="00334757" w:rsidRPr="00A82B11">
        <w:rPr>
          <w:sz w:val="22"/>
        </w:rPr>
        <w:t xml:space="preserve"> </w:t>
      </w:r>
      <w:proofErr w:type="spellStart"/>
      <w:r w:rsidR="00334757" w:rsidRPr="00A82B11">
        <w:rPr>
          <w:sz w:val="22"/>
        </w:rPr>
        <w:t>од</w:t>
      </w:r>
      <w:proofErr w:type="spellEnd"/>
      <w:r w:rsidR="00334757" w:rsidRPr="00A82B11">
        <w:rPr>
          <w:sz w:val="22"/>
        </w:rPr>
        <w:t xml:space="preserve"> </w:t>
      </w:r>
      <w:proofErr w:type="spellStart"/>
      <w:r w:rsidR="00334757" w:rsidRPr="00A82B11">
        <w:rPr>
          <w:sz w:val="22"/>
        </w:rPr>
        <w:t>индиректних</w:t>
      </w:r>
      <w:proofErr w:type="spellEnd"/>
      <w:r w:rsidR="00334757" w:rsidRPr="00A82B11">
        <w:rPr>
          <w:sz w:val="22"/>
        </w:rPr>
        <w:t xml:space="preserve"> </w:t>
      </w:r>
      <w:proofErr w:type="spellStart"/>
      <w:r w:rsidR="00334757" w:rsidRPr="00A82B11">
        <w:rPr>
          <w:sz w:val="22"/>
        </w:rPr>
        <w:t>пореза</w:t>
      </w:r>
      <w:proofErr w:type="spellEnd"/>
      <w:r w:rsidR="00334757" w:rsidRPr="00A82B11">
        <w:rPr>
          <w:sz w:val="22"/>
        </w:rPr>
        <w:t xml:space="preserve"> </w:t>
      </w:r>
      <w:proofErr w:type="spellStart"/>
      <w:r w:rsidR="00334757" w:rsidRPr="00A82B11">
        <w:rPr>
          <w:sz w:val="22"/>
        </w:rPr>
        <w:t>су</w:t>
      </w:r>
      <w:proofErr w:type="spellEnd"/>
      <w:r w:rsidR="00334757" w:rsidRPr="00A82B11">
        <w:rPr>
          <w:sz w:val="22"/>
        </w:rPr>
        <w:t xml:space="preserve"> </w:t>
      </w:r>
      <w:proofErr w:type="spellStart"/>
      <w:r w:rsidR="00334757" w:rsidRPr="00A82B11">
        <w:rPr>
          <w:sz w:val="22"/>
        </w:rPr>
        <w:t>извршене</w:t>
      </w:r>
      <w:proofErr w:type="spellEnd"/>
      <w:r w:rsidR="00334757" w:rsidRPr="00A82B11">
        <w:rPr>
          <w:sz w:val="22"/>
        </w:rPr>
        <w:t xml:space="preserve"> </w:t>
      </w:r>
      <w:proofErr w:type="spellStart"/>
      <w:r w:rsidR="00334757" w:rsidRPr="00A82B11">
        <w:rPr>
          <w:sz w:val="22"/>
        </w:rPr>
        <w:t>под</w:t>
      </w:r>
      <w:proofErr w:type="spellEnd"/>
      <w:r w:rsidR="00334757" w:rsidRPr="00A82B11">
        <w:rPr>
          <w:sz w:val="22"/>
        </w:rPr>
        <w:t xml:space="preserve"> </w:t>
      </w:r>
      <w:proofErr w:type="spellStart"/>
      <w:r w:rsidR="00334757" w:rsidRPr="00A82B11">
        <w:rPr>
          <w:sz w:val="22"/>
        </w:rPr>
        <w:t>претпоставком</w:t>
      </w:r>
      <w:proofErr w:type="spellEnd"/>
      <w:r w:rsidR="00334757" w:rsidRPr="00A82B11">
        <w:rPr>
          <w:sz w:val="22"/>
        </w:rPr>
        <w:t xml:space="preserve"> </w:t>
      </w:r>
      <w:proofErr w:type="spellStart"/>
      <w:r w:rsidR="00334757" w:rsidRPr="00A82B11">
        <w:rPr>
          <w:sz w:val="22"/>
        </w:rPr>
        <w:t>да</w:t>
      </w:r>
      <w:proofErr w:type="spellEnd"/>
      <w:r w:rsidR="00334757" w:rsidRPr="00A82B11">
        <w:rPr>
          <w:sz w:val="22"/>
        </w:rPr>
        <w:t xml:space="preserve"> </w:t>
      </w:r>
      <w:proofErr w:type="spellStart"/>
      <w:r w:rsidR="00334757" w:rsidRPr="00A82B11">
        <w:rPr>
          <w:sz w:val="22"/>
        </w:rPr>
        <w:t>је</w:t>
      </w:r>
      <w:proofErr w:type="spellEnd"/>
      <w:r w:rsidR="00334757" w:rsidRPr="00A82B11">
        <w:rPr>
          <w:sz w:val="22"/>
        </w:rPr>
        <w:t xml:space="preserve"> </w:t>
      </w:r>
      <w:proofErr w:type="spellStart"/>
      <w:r w:rsidR="00334757" w:rsidRPr="00A82B11">
        <w:rPr>
          <w:sz w:val="22"/>
        </w:rPr>
        <w:t>издвајање</w:t>
      </w:r>
      <w:proofErr w:type="spellEnd"/>
      <w:r w:rsidR="00334757" w:rsidRPr="00A82B11">
        <w:rPr>
          <w:sz w:val="22"/>
        </w:rPr>
        <w:t xml:space="preserve"> </w:t>
      </w:r>
      <w:proofErr w:type="spellStart"/>
      <w:r w:rsidR="00334757" w:rsidRPr="00A82B11">
        <w:rPr>
          <w:sz w:val="22"/>
        </w:rPr>
        <w:t>индиректних</w:t>
      </w:r>
      <w:proofErr w:type="spellEnd"/>
      <w:r w:rsidR="00334757" w:rsidRPr="00A82B11">
        <w:rPr>
          <w:sz w:val="22"/>
        </w:rPr>
        <w:t xml:space="preserve"> </w:t>
      </w:r>
      <w:proofErr w:type="spellStart"/>
      <w:r w:rsidR="00334757" w:rsidRPr="00A82B11">
        <w:rPr>
          <w:sz w:val="22"/>
        </w:rPr>
        <w:t>прихода</w:t>
      </w:r>
      <w:proofErr w:type="spellEnd"/>
      <w:r w:rsidR="00334757" w:rsidRPr="00A82B11">
        <w:rPr>
          <w:sz w:val="22"/>
        </w:rPr>
        <w:t xml:space="preserve"> </w:t>
      </w:r>
      <w:proofErr w:type="spellStart"/>
      <w:r w:rsidR="00334757" w:rsidRPr="00A82B11">
        <w:rPr>
          <w:sz w:val="22"/>
        </w:rPr>
        <w:t>за</w:t>
      </w:r>
      <w:proofErr w:type="spellEnd"/>
      <w:r w:rsidR="00334757" w:rsidRPr="00A82B11">
        <w:rPr>
          <w:sz w:val="22"/>
        </w:rPr>
        <w:t xml:space="preserve"> </w:t>
      </w:r>
      <w:proofErr w:type="spellStart"/>
      <w:r w:rsidR="00334757" w:rsidRPr="00A82B11">
        <w:rPr>
          <w:sz w:val="22"/>
        </w:rPr>
        <w:t>финансирање</w:t>
      </w:r>
      <w:proofErr w:type="spellEnd"/>
      <w:r w:rsidR="00334757" w:rsidRPr="00A82B11">
        <w:rPr>
          <w:sz w:val="22"/>
        </w:rPr>
        <w:t xml:space="preserve"> </w:t>
      </w:r>
      <w:proofErr w:type="spellStart"/>
      <w:r w:rsidR="00334757" w:rsidRPr="00A82B11">
        <w:rPr>
          <w:sz w:val="22"/>
        </w:rPr>
        <w:t>институција</w:t>
      </w:r>
      <w:proofErr w:type="spellEnd"/>
      <w:r w:rsidR="00334757" w:rsidRPr="00A82B11">
        <w:rPr>
          <w:sz w:val="22"/>
        </w:rPr>
        <w:t xml:space="preserve"> </w:t>
      </w:r>
      <w:proofErr w:type="spellStart"/>
      <w:r w:rsidR="00334757" w:rsidRPr="00A82B11">
        <w:rPr>
          <w:sz w:val="22"/>
        </w:rPr>
        <w:t>БиХ</w:t>
      </w:r>
      <w:proofErr w:type="spellEnd"/>
      <w:r w:rsidR="00334757" w:rsidRPr="00A82B11">
        <w:rPr>
          <w:sz w:val="22"/>
        </w:rPr>
        <w:t xml:space="preserve"> у </w:t>
      </w:r>
      <w:proofErr w:type="spellStart"/>
      <w:r w:rsidR="00334757" w:rsidRPr="00A82B11">
        <w:rPr>
          <w:sz w:val="22"/>
        </w:rPr>
        <w:t>средњорочном</w:t>
      </w:r>
      <w:proofErr w:type="spellEnd"/>
      <w:r w:rsidR="00334757" w:rsidRPr="00A82B11">
        <w:rPr>
          <w:sz w:val="22"/>
        </w:rPr>
        <w:t xml:space="preserve"> </w:t>
      </w:r>
      <w:proofErr w:type="spellStart"/>
      <w:r w:rsidR="00334757" w:rsidRPr="00A82B11">
        <w:rPr>
          <w:sz w:val="22"/>
        </w:rPr>
        <w:t>периоду</w:t>
      </w:r>
      <w:proofErr w:type="spellEnd"/>
      <w:r w:rsidR="00334757" w:rsidRPr="00A82B11">
        <w:rPr>
          <w:sz w:val="22"/>
        </w:rPr>
        <w:t xml:space="preserve"> </w:t>
      </w:r>
      <w:proofErr w:type="spellStart"/>
      <w:r w:rsidR="00334757" w:rsidRPr="00A82B11">
        <w:rPr>
          <w:sz w:val="22"/>
        </w:rPr>
        <w:t>на</w:t>
      </w:r>
      <w:proofErr w:type="spellEnd"/>
      <w:r w:rsidR="00334757" w:rsidRPr="00A82B11">
        <w:rPr>
          <w:sz w:val="22"/>
        </w:rPr>
        <w:t xml:space="preserve"> </w:t>
      </w:r>
      <w:proofErr w:type="spellStart"/>
      <w:r w:rsidR="00334757" w:rsidRPr="00A82B11">
        <w:rPr>
          <w:sz w:val="22"/>
        </w:rPr>
        <w:t>нивоу</w:t>
      </w:r>
      <w:proofErr w:type="spellEnd"/>
      <w:r w:rsidR="00334757" w:rsidRPr="00A82B11">
        <w:rPr>
          <w:sz w:val="22"/>
        </w:rPr>
        <w:t xml:space="preserve"> </w:t>
      </w:r>
      <w:proofErr w:type="spellStart"/>
      <w:r w:rsidR="00334757" w:rsidRPr="00A82B11">
        <w:rPr>
          <w:sz w:val="22"/>
        </w:rPr>
        <w:t>од</w:t>
      </w:r>
      <w:proofErr w:type="spellEnd"/>
      <w:r w:rsidR="00334757" w:rsidRPr="00A82B11">
        <w:rPr>
          <w:sz w:val="22"/>
        </w:rPr>
        <w:t xml:space="preserve"> 780 </w:t>
      </w:r>
      <w:proofErr w:type="spellStart"/>
      <w:r w:rsidR="00334757" w:rsidRPr="00A82B11">
        <w:rPr>
          <w:sz w:val="22"/>
        </w:rPr>
        <w:t>милиона</w:t>
      </w:r>
      <w:proofErr w:type="spellEnd"/>
      <w:r w:rsidR="00334757" w:rsidRPr="00A82B11">
        <w:rPr>
          <w:sz w:val="22"/>
        </w:rPr>
        <w:t xml:space="preserve"> КМ </w:t>
      </w:r>
      <w:proofErr w:type="spellStart"/>
      <w:r w:rsidR="00334757" w:rsidRPr="00A82B11">
        <w:rPr>
          <w:sz w:val="22"/>
        </w:rPr>
        <w:t>годишње</w:t>
      </w:r>
      <w:proofErr w:type="spellEnd"/>
      <w:r w:rsidR="00334757" w:rsidRPr="00A82B11">
        <w:rPr>
          <w:sz w:val="22"/>
        </w:rPr>
        <w:t xml:space="preserve">, </w:t>
      </w:r>
      <w:proofErr w:type="spellStart"/>
      <w:r w:rsidR="00334757" w:rsidRPr="00A82B11">
        <w:rPr>
          <w:sz w:val="22"/>
        </w:rPr>
        <w:t>тако</w:t>
      </w:r>
      <w:proofErr w:type="spellEnd"/>
      <w:r w:rsidR="00334757" w:rsidRPr="00A82B11">
        <w:rPr>
          <w:sz w:val="22"/>
        </w:rPr>
        <w:t xml:space="preserve"> </w:t>
      </w:r>
      <w:proofErr w:type="spellStart"/>
      <w:r w:rsidR="00334757" w:rsidRPr="00A82B11">
        <w:rPr>
          <w:sz w:val="22"/>
        </w:rPr>
        <w:t>да</w:t>
      </w:r>
      <w:proofErr w:type="spellEnd"/>
      <w:r w:rsidR="00334757" w:rsidRPr="00A82B11">
        <w:rPr>
          <w:sz w:val="22"/>
        </w:rPr>
        <w:t xml:space="preserve"> </w:t>
      </w:r>
      <w:proofErr w:type="spellStart"/>
      <w:r w:rsidR="00334757" w:rsidRPr="00A82B11">
        <w:rPr>
          <w:sz w:val="22"/>
        </w:rPr>
        <w:t>постоји</w:t>
      </w:r>
      <w:proofErr w:type="spellEnd"/>
      <w:r w:rsidR="00334757" w:rsidRPr="00A82B11">
        <w:rPr>
          <w:sz w:val="22"/>
        </w:rPr>
        <w:t xml:space="preserve"> </w:t>
      </w:r>
      <w:proofErr w:type="spellStart"/>
      <w:r w:rsidR="00334757" w:rsidRPr="00A82B11">
        <w:rPr>
          <w:sz w:val="22"/>
        </w:rPr>
        <w:t>ризик</w:t>
      </w:r>
      <w:proofErr w:type="spellEnd"/>
      <w:r w:rsidR="00334757" w:rsidRPr="00A82B11">
        <w:rPr>
          <w:sz w:val="22"/>
        </w:rPr>
        <w:t xml:space="preserve"> у </w:t>
      </w:r>
      <w:proofErr w:type="spellStart"/>
      <w:r w:rsidR="00334757" w:rsidRPr="00A82B11">
        <w:rPr>
          <w:sz w:val="22"/>
        </w:rPr>
        <w:t>смислу</w:t>
      </w:r>
      <w:proofErr w:type="spellEnd"/>
      <w:r w:rsidR="00334757" w:rsidRPr="00A82B11">
        <w:rPr>
          <w:sz w:val="22"/>
        </w:rPr>
        <w:t xml:space="preserve"> </w:t>
      </w:r>
      <w:proofErr w:type="spellStart"/>
      <w:r w:rsidR="00334757" w:rsidRPr="00A82B11">
        <w:rPr>
          <w:sz w:val="22"/>
        </w:rPr>
        <w:t>евентуалне</w:t>
      </w:r>
      <w:proofErr w:type="spellEnd"/>
      <w:r w:rsidR="00334757" w:rsidRPr="00A82B11">
        <w:rPr>
          <w:sz w:val="22"/>
        </w:rPr>
        <w:t xml:space="preserve"> </w:t>
      </w:r>
      <w:proofErr w:type="spellStart"/>
      <w:r w:rsidR="00334757" w:rsidRPr="00A82B11">
        <w:rPr>
          <w:sz w:val="22"/>
        </w:rPr>
        <w:t>промјене</w:t>
      </w:r>
      <w:proofErr w:type="spellEnd"/>
      <w:r w:rsidR="00334757" w:rsidRPr="00A82B11">
        <w:rPr>
          <w:sz w:val="22"/>
        </w:rPr>
        <w:t xml:space="preserve"> </w:t>
      </w:r>
      <w:proofErr w:type="spellStart"/>
      <w:r w:rsidR="00334757" w:rsidRPr="00A82B11">
        <w:rPr>
          <w:sz w:val="22"/>
        </w:rPr>
        <w:t>наведеног</w:t>
      </w:r>
      <w:proofErr w:type="spellEnd"/>
      <w:r w:rsidR="00334757" w:rsidRPr="00A82B11">
        <w:rPr>
          <w:sz w:val="22"/>
        </w:rPr>
        <w:t xml:space="preserve"> </w:t>
      </w:r>
      <w:proofErr w:type="spellStart"/>
      <w:r w:rsidR="00334757" w:rsidRPr="00A82B11">
        <w:rPr>
          <w:sz w:val="22"/>
        </w:rPr>
        <w:t>износа</w:t>
      </w:r>
      <w:proofErr w:type="spellEnd"/>
      <w:r w:rsidR="00334757" w:rsidRPr="00A82B11">
        <w:rPr>
          <w:sz w:val="22"/>
        </w:rPr>
        <w:t xml:space="preserve"> </w:t>
      </w:r>
      <w:proofErr w:type="spellStart"/>
      <w:r w:rsidR="00334757" w:rsidRPr="00A82B11">
        <w:rPr>
          <w:sz w:val="22"/>
        </w:rPr>
        <w:t>износа</w:t>
      </w:r>
      <w:proofErr w:type="spellEnd"/>
      <w:r w:rsidR="00334757" w:rsidRPr="00A82B11">
        <w:rPr>
          <w:sz w:val="22"/>
        </w:rPr>
        <w:t xml:space="preserve"> у </w:t>
      </w:r>
      <w:proofErr w:type="spellStart"/>
      <w:r w:rsidR="00334757" w:rsidRPr="00A82B11">
        <w:rPr>
          <w:sz w:val="22"/>
        </w:rPr>
        <w:t>посматраном</w:t>
      </w:r>
      <w:proofErr w:type="spellEnd"/>
      <w:r w:rsidR="00334757" w:rsidRPr="00A82B11">
        <w:rPr>
          <w:sz w:val="22"/>
        </w:rPr>
        <w:t xml:space="preserve"> </w:t>
      </w:r>
      <w:proofErr w:type="spellStart"/>
      <w:r w:rsidR="00334757" w:rsidRPr="00A82B11">
        <w:rPr>
          <w:sz w:val="22"/>
        </w:rPr>
        <w:t>периоду</w:t>
      </w:r>
      <w:proofErr w:type="spellEnd"/>
      <w:r w:rsidR="00E9414A">
        <w:rPr>
          <w:sz w:val="22"/>
          <w:lang w:val="sr-Cyrl-RS"/>
        </w:rPr>
        <w:t>.</w:t>
      </w:r>
    </w:p>
    <w:p w14:paraId="17156984" w14:textId="77777777" w:rsidR="008D4E4C" w:rsidRPr="00A82B11" w:rsidRDefault="008D4E4C" w:rsidP="008D4E4C">
      <w:pPr>
        <w:tabs>
          <w:tab w:val="left" w:pos="2820"/>
        </w:tabs>
        <w:spacing w:line="276" w:lineRule="auto"/>
        <w:jc w:val="both"/>
        <w:rPr>
          <w:sz w:val="22"/>
          <w:lang w:val="sr-Cyrl-CS"/>
        </w:rPr>
      </w:pPr>
    </w:p>
    <w:p w14:paraId="2B7D9B69" w14:textId="77777777" w:rsidR="00365ABE" w:rsidRPr="00A82B11" w:rsidRDefault="007F0A43" w:rsidP="008D4E4C">
      <w:pPr>
        <w:spacing w:line="276" w:lineRule="auto"/>
        <w:ind w:firstLine="709"/>
        <w:jc w:val="both"/>
        <w:rPr>
          <w:sz w:val="22"/>
          <w:lang w:val="sr-Cyrl-CS"/>
        </w:rPr>
      </w:pPr>
      <w:r w:rsidRPr="00A82B11">
        <w:rPr>
          <w:sz w:val="22"/>
          <w:lang w:val="sr-Cyrl-CS"/>
        </w:rPr>
        <w:t xml:space="preserve">У оквиру </w:t>
      </w:r>
      <w:r w:rsidRPr="00A82B11">
        <w:rPr>
          <w:b/>
          <w:i/>
          <w:iCs/>
          <w:sz w:val="22"/>
          <w:lang w:val="sr-Cyrl-CS"/>
        </w:rPr>
        <w:t>прихода од директних пореза</w:t>
      </w:r>
      <w:r w:rsidRPr="00A82B11">
        <w:rPr>
          <w:sz w:val="22"/>
          <w:lang w:val="sr-Cyrl-CS"/>
        </w:rPr>
        <w:t xml:space="preserve"> код јединица локалне самоуправе најважнији су приход</w:t>
      </w:r>
      <w:r w:rsidR="00E9414A">
        <w:rPr>
          <w:sz w:val="22"/>
          <w:lang w:val="sr-Cyrl-CS"/>
        </w:rPr>
        <w:t>и од пореза на доходак и</w:t>
      </w:r>
      <w:r w:rsidRPr="00A82B11">
        <w:rPr>
          <w:sz w:val="22"/>
          <w:lang w:val="sr-Cyrl-CS"/>
        </w:rPr>
        <w:t xml:space="preserve"> од пореза на имовину. </w:t>
      </w:r>
      <w:r w:rsidR="00E9414A">
        <w:rPr>
          <w:sz w:val="22"/>
          <w:lang w:val="sr-Cyrl-CS"/>
        </w:rPr>
        <w:t>Према подацима ПУ РС, у</w:t>
      </w:r>
      <w:r w:rsidR="00F40F06" w:rsidRPr="00A82B11">
        <w:rPr>
          <w:sz w:val="22"/>
          <w:lang w:val="sr-Cyrl-CS"/>
        </w:rPr>
        <w:t>купн</w:t>
      </w:r>
      <w:r w:rsidR="009706DE">
        <w:rPr>
          <w:sz w:val="22"/>
          <w:lang w:val="sr-Cyrl-CS"/>
        </w:rPr>
        <w:t xml:space="preserve">а наплата јавних прихода у РС, </w:t>
      </w:r>
      <w:r w:rsidR="00F40F06" w:rsidRPr="00A82B11">
        <w:rPr>
          <w:sz w:val="22"/>
          <w:lang w:val="sr-Cyrl-CS"/>
        </w:rPr>
        <w:t>након негативних трендова кра</w:t>
      </w:r>
      <w:r w:rsidR="009706DE">
        <w:rPr>
          <w:sz w:val="22"/>
          <w:lang w:val="sr-Cyrl-CS"/>
        </w:rPr>
        <w:t xml:space="preserve">јем првог и у другом кварталу, </w:t>
      </w:r>
      <w:r w:rsidR="00F40F06" w:rsidRPr="00A82B11">
        <w:rPr>
          <w:sz w:val="22"/>
          <w:lang w:val="sr-Cyrl-CS"/>
        </w:rPr>
        <w:t>се стабилизовала</w:t>
      </w:r>
      <w:r w:rsidR="008A7236">
        <w:rPr>
          <w:sz w:val="22"/>
          <w:lang w:val="sr-Cyrl-CS"/>
        </w:rPr>
        <w:t xml:space="preserve">, посебно у </w:t>
      </w:r>
      <w:proofErr w:type="spellStart"/>
      <w:r w:rsidR="008A7236">
        <w:rPr>
          <w:sz w:val="22"/>
          <w:lang w:val="sr-Cyrl-CS"/>
        </w:rPr>
        <w:t>мјесецу</w:t>
      </w:r>
      <w:proofErr w:type="spellEnd"/>
      <w:r w:rsidR="008A7236">
        <w:rPr>
          <w:sz w:val="22"/>
          <w:lang w:val="sr-Cyrl-CS"/>
        </w:rPr>
        <w:t xml:space="preserve"> септембру (укупно наплаћено јавних прихода у септембру 2020. године за 11% више него у истом </w:t>
      </w:r>
      <w:proofErr w:type="spellStart"/>
      <w:r w:rsidR="008A7236">
        <w:rPr>
          <w:sz w:val="22"/>
          <w:lang w:val="sr-Cyrl-CS"/>
        </w:rPr>
        <w:t>мјесецу</w:t>
      </w:r>
      <w:proofErr w:type="spellEnd"/>
      <w:r w:rsidR="008A7236">
        <w:rPr>
          <w:sz w:val="22"/>
          <w:lang w:val="sr-Cyrl-CS"/>
        </w:rPr>
        <w:t xml:space="preserve"> претходне године). Међутим, укупни показатељи </w:t>
      </w:r>
      <w:r w:rsidR="008A7236">
        <w:rPr>
          <w:sz w:val="22"/>
          <w:lang w:val="en-US"/>
        </w:rPr>
        <w:t xml:space="preserve">I-IX </w:t>
      </w:r>
      <w:r w:rsidR="008A7236">
        <w:rPr>
          <w:sz w:val="22"/>
          <w:lang w:val="sr-Cyrl-CS"/>
        </w:rPr>
        <w:t>2020. према истом периоду 2019. године су негативни.</w:t>
      </w:r>
      <w:r w:rsidR="00F40F06" w:rsidRPr="00A82B11">
        <w:rPr>
          <w:sz w:val="22"/>
          <w:lang w:val="sr-Cyrl-CS"/>
        </w:rPr>
        <w:t xml:space="preserve"> За девет </w:t>
      </w:r>
      <w:proofErr w:type="spellStart"/>
      <w:r w:rsidR="00F40F06" w:rsidRPr="00A82B11">
        <w:rPr>
          <w:sz w:val="22"/>
          <w:lang w:val="sr-Cyrl-CS"/>
        </w:rPr>
        <w:t>мјесеци</w:t>
      </w:r>
      <w:proofErr w:type="spellEnd"/>
      <w:r w:rsidR="00F40F06" w:rsidRPr="00A82B11">
        <w:rPr>
          <w:sz w:val="22"/>
          <w:lang w:val="sr-Cyrl-CS"/>
        </w:rPr>
        <w:t xml:space="preserve"> прикупљено је укупно 1,823 милијарде КМ, што је за 3% мање него 2019. године. </w:t>
      </w:r>
      <w:r w:rsidR="007D52A1" w:rsidRPr="00A82B11">
        <w:rPr>
          <w:sz w:val="22"/>
          <w:lang w:val="sr-Cyrl-CS"/>
        </w:rPr>
        <w:t xml:space="preserve">До краја ове године из </w:t>
      </w:r>
      <w:r w:rsidR="00E9414A">
        <w:rPr>
          <w:sz w:val="22"/>
          <w:lang w:val="sr-Cyrl-CS"/>
        </w:rPr>
        <w:t>ПУ</w:t>
      </w:r>
      <w:r w:rsidR="007D52A1" w:rsidRPr="00A82B11">
        <w:rPr>
          <w:sz w:val="22"/>
          <w:lang w:val="sr-Cyrl-CS"/>
        </w:rPr>
        <w:t xml:space="preserve"> РС очекују наплату прихода на нивоу претходне, уколико не буде значајнијег погоршања ситуације у вези </w:t>
      </w:r>
      <w:proofErr w:type="spellStart"/>
      <w:r w:rsidR="007D52A1" w:rsidRPr="00A82B11">
        <w:rPr>
          <w:sz w:val="22"/>
          <w:lang w:val="sr-Cyrl-CS"/>
        </w:rPr>
        <w:t>пандемијом</w:t>
      </w:r>
      <w:proofErr w:type="spellEnd"/>
      <w:r w:rsidR="007D52A1" w:rsidRPr="00A82B11">
        <w:rPr>
          <w:sz w:val="22"/>
          <w:lang w:val="sr-Cyrl-CS"/>
        </w:rPr>
        <w:t xml:space="preserve">. Очигледно је да је пореска дисциплина </w:t>
      </w:r>
      <w:r w:rsidR="00E77260">
        <w:rPr>
          <w:sz w:val="22"/>
          <w:lang w:val="sr-Cyrl-CS"/>
        </w:rPr>
        <w:t xml:space="preserve">у доброј </w:t>
      </w:r>
      <w:proofErr w:type="spellStart"/>
      <w:r w:rsidR="00E77260">
        <w:rPr>
          <w:sz w:val="22"/>
          <w:lang w:val="sr-Cyrl-CS"/>
        </w:rPr>
        <w:t>мјери</w:t>
      </w:r>
      <w:proofErr w:type="spellEnd"/>
      <w:r w:rsidR="00E77260">
        <w:rPr>
          <w:sz w:val="22"/>
          <w:lang w:val="sr-Cyrl-CS"/>
        </w:rPr>
        <w:t xml:space="preserve"> </w:t>
      </w:r>
      <w:r w:rsidR="007D52A1" w:rsidRPr="00A82B11">
        <w:rPr>
          <w:sz w:val="22"/>
          <w:lang w:val="sr-Cyrl-CS"/>
        </w:rPr>
        <w:t xml:space="preserve">одржана </w:t>
      </w:r>
      <w:r w:rsidR="00C93B4C">
        <w:rPr>
          <w:sz w:val="22"/>
          <w:lang w:val="sr-Cyrl-CS"/>
        </w:rPr>
        <w:t xml:space="preserve">упркос </w:t>
      </w:r>
      <w:proofErr w:type="spellStart"/>
      <w:r w:rsidR="00C93B4C">
        <w:rPr>
          <w:sz w:val="22"/>
          <w:lang w:val="sr-Cyrl-CS"/>
        </w:rPr>
        <w:t>пандемији</w:t>
      </w:r>
      <w:proofErr w:type="spellEnd"/>
      <w:r w:rsidR="00C93B4C">
        <w:rPr>
          <w:sz w:val="22"/>
          <w:lang w:val="sr-Cyrl-CS"/>
        </w:rPr>
        <w:t>.</w:t>
      </w:r>
    </w:p>
    <w:p w14:paraId="0CBFD64D" w14:textId="77777777" w:rsidR="004D71F5" w:rsidRPr="00A82B11" w:rsidRDefault="004D71F5" w:rsidP="008D4E4C">
      <w:pPr>
        <w:spacing w:line="276" w:lineRule="auto"/>
        <w:ind w:firstLine="709"/>
        <w:jc w:val="both"/>
        <w:rPr>
          <w:sz w:val="22"/>
          <w:lang w:val="sr-Cyrl-CS"/>
        </w:rPr>
      </w:pPr>
    </w:p>
    <w:p w14:paraId="368D0291" w14:textId="77777777" w:rsidR="00365ABE" w:rsidRPr="00A82B11" w:rsidRDefault="008D4E4C" w:rsidP="00365ABE">
      <w:pPr>
        <w:spacing w:line="276" w:lineRule="auto"/>
        <w:ind w:firstLine="720"/>
        <w:jc w:val="both"/>
        <w:rPr>
          <w:sz w:val="22"/>
          <w:lang w:val="sr-Cyrl-CS"/>
        </w:rPr>
      </w:pPr>
      <w:r w:rsidRPr="00A82B11">
        <w:rPr>
          <w:sz w:val="22"/>
          <w:lang w:val="sr-Cyrl-CS"/>
        </w:rPr>
        <w:t xml:space="preserve">Пројекција прихода од пореза на лична примања и приходе од самосталних </w:t>
      </w:r>
      <w:proofErr w:type="spellStart"/>
      <w:r w:rsidRPr="00A82B11">
        <w:rPr>
          <w:sz w:val="22"/>
          <w:lang w:val="sr-Cyrl-CS"/>
        </w:rPr>
        <w:t>дјелатности</w:t>
      </w:r>
      <w:proofErr w:type="spellEnd"/>
      <w:r w:rsidRPr="00A82B11">
        <w:rPr>
          <w:sz w:val="22"/>
          <w:lang w:val="sr-Cyrl-CS"/>
        </w:rPr>
        <w:t xml:space="preserve"> за 2021. годину, исказана у ДОБ-у, је за </w:t>
      </w:r>
      <w:r w:rsidRPr="00A82B11">
        <w:rPr>
          <w:sz w:val="22"/>
          <w:lang w:val="en-US"/>
        </w:rPr>
        <w:t>12,1</w:t>
      </w:r>
      <w:r w:rsidRPr="00A82B11">
        <w:rPr>
          <w:sz w:val="22"/>
          <w:lang w:val="sr-Cyrl-CS"/>
        </w:rPr>
        <w:t xml:space="preserve">% </w:t>
      </w:r>
      <w:r w:rsidRPr="00A82B11">
        <w:rPr>
          <w:sz w:val="22"/>
          <w:lang w:val="sr-Cyrl-BA"/>
        </w:rPr>
        <w:t>нижа</w:t>
      </w:r>
      <w:r w:rsidRPr="00A82B11">
        <w:rPr>
          <w:sz w:val="22"/>
          <w:lang w:val="sr-Cyrl-CS"/>
        </w:rPr>
        <w:t xml:space="preserve"> у односу на план за 2020. годину. </w:t>
      </w:r>
      <w:r w:rsidRPr="00A82B11">
        <w:rPr>
          <w:b/>
          <w:sz w:val="22"/>
          <w:lang w:val="sr-Cyrl-RS"/>
        </w:rPr>
        <w:t xml:space="preserve">Порез на лични доходак </w:t>
      </w:r>
      <w:r w:rsidRPr="00A82B11">
        <w:rPr>
          <w:sz w:val="22"/>
          <w:lang w:val="sr-Cyrl-RS"/>
        </w:rPr>
        <w:t xml:space="preserve">је приход код кога се одмах </w:t>
      </w:r>
      <w:proofErr w:type="spellStart"/>
      <w:r w:rsidRPr="00A82B11">
        <w:rPr>
          <w:sz w:val="22"/>
          <w:lang w:val="sr-Cyrl-RS"/>
        </w:rPr>
        <w:t>осјетио</w:t>
      </w:r>
      <w:proofErr w:type="spellEnd"/>
      <w:r w:rsidRPr="00A82B11">
        <w:rPr>
          <w:sz w:val="22"/>
          <w:lang w:val="sr-Cyrl-RS"/>
        </w:rPr>
        <w:t xml:space="preserve"> утицај  кризе изазване </w:t>
      </w:r>
      <w:proofErr w:type="spellStart"/>
      <w:r w:rsidRPr="00A82B11">
        <w:rPr>
          <w:sz w:val="22"/>
          <w:lang w:val="sr-Cyrl-RS"/>
        </w:rPr>
        <w:t>пандемијом</w:t>
      </w:r>
      <w:proofErr w:type="spellEnd"/>
      <w:r w:rsidRPr="00A82B11">
        <w:rPr>
          <w:sz w:val="22"/>
          <w:lang w:val="sr-Cyrl-RS"/>
        </w:rPr>
        <w:t xml:space="preserve"> </w:t>
      </w:r>
      <w:r w:rsidRPr="00A82B11">
        <w:rPr>
          <w:sz w:val="22"/>
          <w:lang w:val="sr-Latn-BA"/>
        </w:rPr>
        <w:t>COVID</w:t>
      </w:r>
      <w:r w:rsidRPr="00A82B11">
        <w:rPr>
          <w:sz w:val="22"/>
          <w:lang w:val="sr-Cyrl-RS"/>
        </w:rPr>
        <w:t>-19</w:t>
      </w:r>
      <w:r w:rsidR="00C44369">
        <w:rPr>
          <w:sz w:val="22"/>
          <w:lang w:val="sr-Cyrl-RS"/>
        </w:rPr>
        <w:t>, због</w:t>
      </w:r>
      <w:r w:rsidRPr="00A82B11">
        <w:rPr>
          <w:sz w:val="22"/>
          <w:lang w:val="sr-Cyrl-RS"/>
        </w:rPr>
        <w:t xml:space="preserve"> пада запослености. Током </w:t>
      </w:r>
      <w:proofErr w:type="spellStart"/>
      <w:r w:rsidRPr="00A82B11">
        <w:rPr>
          <w:sz w:val="22"/>
          <w:lang w:val="sr-Cyrl-RS"/>
        </w:rPr>
        <w:t>мјесеца</w:t>
      </w:r>
      <w:proofErr w:type="spellEnd"/>
      <w:r w:rsidRPr="00A82B11">
        <w:rPr>
          <w:sz w:val="22"/>
          <w:lang w:val="sr-Cyrl-RS"/>
        </w:rPr>
        <w:t xml:space="preserve"> марта и априла до средине маја, на територији највећег броја ЈЛС одлуком надлежних органа био је забрањен или ограничен рад бројним привредним субјектима. Иако су ове </w:t>
      </w:r>
      <w:proofErr w:type="spellStart"/>
      <w:r w:rsidRPr="00A82B11">
        <w:rPr>
          <w:sz w:val="22"/>
          <w:lang w:val="sr-Cyrl-RS"/>
        </w:rPr>
        <w:t>мјере</w:t>
      </w:r>
      <w:proofErr w:type="spellEnd"/>
      <w:r w:rsidRPr="00A82B11">
        <w:rPr>
          <w:sz w:val="22"/>
          <w:lang w:val="sr-Cyrl-RS"/>
        </w:rPr>
        <w:t xml:space="preserve"> укинуте</w:t>
      </w:r>
      <w:r w:rsidR="00E9414A">
        <w:rPr>
          <w:sz w:val="22"/>
          <w:lang w:val="sr-Cyrl-RS"/>
        </w:rPr>
        <w:t xml:space="preserve"> или ублажене</w:t>
      </w:r>
      <w:r w:rsidRPr="00A82B11">
        <w:rPr>
          <w:sz w:val="22"/>
          <w:lang w:val="sr-Cyrl-RS"/>
        </w:rPr>
        <w:t xml:space="preserve">, још </w:t>
      </w:r>
      <w:proofErr w:type="spellStart"/>
      <w:r w:rsidRPr="00A82B11">
        <w:rPr>
          <w:sz w:val="22"/>
          <w:lang w:val="sr-Cyrl-RS"/>
        </w:rPr>
        <w:t>увијек</w:t>
      </w:r>
      <w:proofErr w:type="spellEnd"/>
      <w:r w:rsidRPr="00A82B11">
        <w:rPr>
          <w:sz w:val="22"/>
          <w:lang w:val="sr-Cyrl-RS"/>
        </w:rPr>
        <w:t xml:space="preserve"> сви субјекти не раде пуним капацитетом, нити су сви запослени враћени на посао. Очигледно је да ће бити потребан дужи временски период да се привредна активност врати на ниво прије епидемије </w:t>
      </w:r>
      <w:r w:rsidRPr="00A82B11">
        <w:rPr>
          <w:sz w:val="22"/>
          <w:lang w:val="sr-Latn-BA"/>
        </w:rPr>
        <w:t>COVID</w:t>
      </w:r>
      <w:r w:rsidRPr="00A82B11">
        <w:rPr>
          <w:sz w:val="22"/>
          <w:lang w:val="sr-Cyrl-RS"/>
        </w:rPr>
        <w:t>-19.</w:t>
      </w:r>
    </w:p>
    <w:p w14:paraId="5AA85029" w14:textId="77777777" w:rsidR="00365ABE" w:rsidRPr="00A82B11" w:rsidRDefault="00365ABE" w:rsidP="00365ABE">
      <w:pPr>
        <w:spacing w:line="276" w:lineRule="auto"/>
        <w:ind w:firstLine="720"/>
        <w:jc w:val="both"/>
        <w:rPr>
          <w:sz w:val="22"/>
          <w:lang w:val="sr-Cyrl-CS"/>
        </w:rPr>
      </w:pPr>
    </w:p>
    <w:p w14:paraId="06182CC9" w14:textId="77777777" w:rsidR="008D4E4C" w:rsidRPr="00A82B11" w:rsidRDefault="008D4E4C" w:rsidP="00365ABE">
      <w:pPr>
        <w:spacing w:line="276" w:lineRule="auto"/>
        <w:ind w:firstLine="720"/>
        <w:jc w:val="both"/>
        <w:rPr>
          <w:b/>
          <w:sz w:val="22"/>
          <w:lang w:val="sr-Cyrl-RS"/>
        </w:rPr>
      </w:pPr>
      <w:proofErr w:type="spellStart"/>
      <w:r w:rsidRPr="00A82B11">
        <w:rPr>
          <w:sz w:val="22"/>
        </w:rPr>
        <w:t>Опорезивање</w:t>
      </w:r>
      <w:proofErr w:type="spellEnd"/>
      <w:r w:rsidRPr="00A82B11">
        <w:rPr>
          <w:sz w:val="22"/>
        </w:rPr>
        <w:t xml:space="preserve"> </w:t>
      </w:r>
      <w:proofErr w:type="spellStart"/>
      <w:r w:rsidRPr="00A82B11">
        <w:rPr>
          <w:sz w:val="22"/>
        </w:rPr>
        <w:t>непокретности</w:t>
      </w:r>
      <w:proofErr w:type="spellEnd"/>
      <w:r w:rsidRPr="00A82B11">
        <w:rPr>
          <w:sz w:val="22"/>
        </w:rPr>
        <w:t xml:space="preserve"> </w:t>
      </w:r>
      <w:proofErr w:type="spellStart"/>
      <w:r w:rsidRPr="00A82B11">
        <w:rPr>
          <w:sz w:val="22"/>
        </w:rPr>
        <w:t>прописано</w:t>
      </w:r>
      <w:proofErr w:type="spellEnd"/>
      <w:r w:rsidRPr="00A82B11">
        <w:rPr>
          <w:sz w:val="22"/>
        </w:rPr>
        <w:t xml:space="preserve"> </w:t>
      </w:r>
      <w:proofErr w:type="spellStart"/>
      <w:r w:rsidRPr="00A82B11">
        <w:rPr>
          <w:sz w:val="22"/>
        </w:rPr>
        <w:t>је</w:t>
      </w:r>
      <w:proofErr w:type="spellEnd"/>
      <w:r w:rsidRPr="00A82B11">
        <w:rPr>
          <w:sz w:val="22"/>
        </w:rPr>
        <w:t xml:space="preserve"> </w:t>
      </w:r>
      <w:proofErr w:type="spellStart"/>
      <w:r w:rsidRPr="00A82B11">
        <w:rPr>
          <w:sz w:val="22"/>
        </w:rPr>
        <w:t>За</w:t>
      </w:r>
      <w:r w:rsidR="00C44369">
        <w:rPr>
          <w:sz w:val="22"/>
        </w:rPr>
        <w:t>коном</w:t>
      </w:r>
      <w:proofErr w:type="spellEnd"/>
      <w:r w:rsidR="00C44369">
        <w:rPr>
          <w:sz w:val="22"/>
        </w:rPr>
        <w:t xml:space="preserve"> о </w:t>
      </w:r>
      <w:proofErr w:type="spellStart"/>
      <w:r w:rsidR="00C44369">
        <w:rPr>
          <w:sz w:val="22"/>
        </w:rPr>
        <w:t>порезу</w:t>
      </w:r>
      <w:proofErr w:type="spellEnd"/>
      <w:r w:rsidR="00C44369">
        <w:rPr>
          <w:sz w:val="22"/>
        </w:rPr>
        <w:t xml:space="preserve"> </w:t>
      </w:r>
      <w:proofErr w:type="spellStart"/>
      <w:r w:rsidR="00C44369">
        <w:rPr>
          <w:sz w:val="22"/>
        </w:rPr>
        <w:t>на</w:t>
      </w:r>
      <w:proofErr w:type="spellEnd"/>
      <w:r w:rsidR="00C44369">
        <w:rPr>
          <w:sz w:val="22"/>
        </w:rPr>
        <w:t xml:space="preserve"> </w:t>
      </w:r>
      <w:proofErr w:type="spellStart"/>
      <w:r w:rsidR="00C44369">
        <w:rPr>
          <w:sz w:val="22"/>
        </w:rPr>
        <w:t>непокретности</w:t>
      </w:r>
      <w:proofErr w:type="spellEnd"/>
      <w:r w:rsidRPr="00A82B11">
        <w:rPr>
          <w:sz w:val="22"/>
        </w:rPr>
        <w:t xml:space="preserve">. </w:t>
      </w:r>
      <w:proofErr w:type="spellStart"/>
      <w:r w:rsidRPr="00A82B11">
        <w:rPr>
          <w:sz w:val="22"/>
        </w:rPr>
        <w:t>На</w:t>
      </w:r>
      <w:proofErr w:type="spellEnd"/>
      <w:r w:rsidRPr="00A82B11">
        <w:rPr>
          <w:sz w:val="22"/>
        </w:rPr>
        <w:t xml:space="preserve"> </w:t>
      </w:r>
      <w:proofErr w:type="spellStart"/>
      <w:r w:rsidRPr="00A82B11">
        <w:rPr>
          <w:sz w:val="22"/>
        </w:rPr>
        <w:t>основу</w:t>
      </w:r>
      <w:proofErr w:type="spellEnd"/>
      <w:r w:rsidRPr="00A82B11">
        <w:rPr>
          <w:sz w:val="22"/>
        </w:rPr>
        <w:t xml:space="preserve"> </w:t>
      </w:r>
      <w:proofErr w:type="spellStart"/>
      <w:r w:rsidRPr="00A82B11">
        <w:rPr>
          <w:sz w:val="22"/>
        </w:rPr>
        <w:t>Закона</w:t>
      </w:r>
      <w:proofErr w:type="spellEnd"/>
      <w:r w:rsidRPr="00A82B11">
        <w:rPr>
          <w:sz w:val="22"/>
        </w:rPr>
        <w:t xml:space="preserve"> о </w:t>
      </w:r>
      <w:proofErr w:type="spellStart"/>
      <w:r w:rsidRPr="00A82B11">
        <w:rPr>
          <w:sz w:val="22"/>
        </w:rPr>
        <w:t>буџетском</w:t>
      </w:r>
      <w:proofErr w:type="spellEnd"/>
      <w:r w:rsidRPr="00A82B11">
        <w:rPr>
          <w:sz w:val="22"/>
        </w:rPr>
        <w:t xml:space="preserve"> </w:t>
      </w:r>
      <w:proofErr w:type="spellStart"/>
      <w:r w:rsidRPr="00A82B11">
        <w:rPr>
          <w:sz w:val="22"/>
        </w:rPr>
        <w:t>систему</w:t>
      </w:r>
      <w:proofErr w:type="spellEnd"/>
      <w:r w:rsidRPr="00A82B11">
        <w:rPr>
          <w:sz w:val="22"/>
        </w:rPr>
        <w:t xml:space="preserve"> </w:t>
      </w:r>
      <w:proofErr w:type="spellStart"/>
      <w:r w:rsidRPr="00A82B11">
        <w:rPr>
          <w:sz w:val="22"/>
        </w:rPr>
        <w:t>Републике</w:t>
      </w:r>
      <w:proofErr w:type="spellEnd"/>
      <w:r w:rsidRPr="00A82B11">
        <w:rPr>
          <w:sz w:val="22"/>
        </w:rPr>
        <w:t xml:space="preserve"> </w:t>
      </w:r>
      <w:proofErr w:type="spellStart"/>
      <w:r w:rsidRPr="00A82B11">
        <w:rPr>
          <w:sz w:val="22"/>
        </w:rPr>
        <w:t>Српске</w:t>
      </w:r>
      <w:proofErr w:type="spellEnd"/>
      <w:r w:rsidRPr="00A82B11">
        <w:rPr>
          <w:sz w:val="22"/>
        </w:rPr>
        <w:t xml:space="preserve"> </w:t>
      </w:r>
      <w:proofErr w:type="spellStart"/>
      <w:r w:rsidRPr="00A82B11">
        <w:rPr>
          <w:sz w:val="22"/>
        </w:rPr>
        <w:t>приход</w:t>
      </w:r>
      <w:proofErr w:type="spellEnd"/>
      <w:r w:rsidRPr="00A82B11">
        <w:rPr>
          <w:sz w:val="22"/>
        </w:rPr>
        <w:t xml:space="preserve"> </w:t>
      </w:r>
      <w:proofErr w:type="spellStart"/>
      <w:r w:rsidRPr="00A82B11">
        <w:rPr>
          <w:sz w:val="22"/>
        </w:rPr>
        <w:t>од</w:t>
      </w:r>
      <w:proofErr w:type="spellEnd"/>
      <w:r w:rsidRPr="00A82B11">
        <w:rPr>
          <w:sz w:val="22"/>
        </w:rPr>
        <w:t xml:space="preserve"> </w:t>
      </w:r>
      <w:proofErr w:type="spellStart"/>
      <w:r w:rsidRPr="00A82B11">
        <w:rPr>
          <w:sz w:val="22"/>
        </w:rPr>
        <w:t>пореза</w:t>
      </w:r>
      <w:proofErr w:type="spellEnd"/>
      <w:r w:rsidRPr="00A82B11">
        <w:rPr>
          <w:sz w:val="22"/>
        </w:rPr>
        <w:t xml:space="preserve"> </w:t>
      </w:r>
      <w:proofErr w:type="spellStart"/>
      <w:r w:rsidRPr="00A82B11">
        <w:rPr>
          <w:sz w:val="22"/>
        </w:rPr>
        <w:t>на</w:t>
      </w:r>
      <w:proofErr w:type="spellEnd"/>
      <w:r w:rsidRPr="00A82B11">
        <w:rPr>
          <w:sz w:val="22"/>
        </w:rPr>
        <w:t xml:space="preserve"> </w:t>
      </w:r>
      <w:proofErr w:type="spellStart"/>
      <w:r w:rsidRPr="00A82B11">
        <w:rPr>
          <w:sz w:val="22"/>
        </w:rPr>
        <w:t>имовину</w:t>
      </w:r>
      <w:proofErr w:type="spellEnd"/>
      <w:r w:rsidRPr="00A82B11">
        <w:rPr>
          <w:sz w:val="22"/>
        </w:rPr>
        <w:t xml:space="preserve"> у </w:t>
      </w:r>
      <w:proofErr w:type="spellStart"/>
      <w:r w:rsidRPr="00A82B11">
        <w:rPr>
          <w:sz w:val="22"/>
        </w:rPr>
        <w:t>потпуности</w:t>
      </w:r>
      <w:proofErr w:type="spellEnd"/>
      <w:r w:rsidRPr="00A82B11">
        <w:rPr>
          <w:sz w:val="22"/>
        </w:rPr>
        <w:t xml:space="preserve"> </w:t>
      </w:r>
      <w:proofErr w:type="spellStart"/>
      <w:r w:rsidRPr="00A82B11">
        <w:rPr>
          <w:sz w:val="22"/>
        </w:rPr>
        <w:t>припада</w:t>
      </w:r>
      <w:proofErr w:type="spellEnd"/>
      <w:r w:rsidRPr="00A82B11">
        <w:rPr>
          <w:sz w:val="22"/>
        </w:rPr>
        <w:t xml:space="preserve"> </w:t>
      </w:r>
      <w:proofErr w:type="spellStart"/>
      <w:r w:rsidRPr="00A82B11">
        <w:rPr>
          <w:sz w:val="22"/>
        </w:rPr>
        <w:t>буџетима</w:t>
      </w:r>
      <w:proofErr w:type="spellEnd"/>
      <w:r w:rsidRPr="00A82B11">
        <w:rPr>
          <w:sz w:val="22"/>
        </w:rPr>
        <w:t xml:space="preserve"> </w:t>
      </w:r>
      <w:proofErr w:type="spellStart"/>
      <w:r w:rsidRPr="00A82B11">
        <w:rPr>
          <w:sz w:val="22"/>
        </w:rPr>
        <w:t>јединица</w:t>
      </w:r>
      <w:proofErr w:type="spellEnd"/>
      <w:r w:rsidRPr="00A82B11">
        <w:rPr>
          <w:sz w:val="22"/>
        </w:rPr>
        <w:t xml:space="preserve"> </w:t>
      </w:r>
      <w:proofErr w:type="spellStart"/>
      <w:r w:rsidRPr="00A82B11">
        <w:rPr>
          <w:sz w:val="22"/>
        </w:rPr>
        <w:t>локалне</w:t>
      </w:r>
      <w:proofErr w:type="spellEnd"/>
      <w:r w:rsidRPr="00A82B11">
        <w:rPr>
          <w:sz w:val="22"/>
        </w:rPr>
        <w:t xml:space="preserve"> </w:t>
      </w:r>
      <w:proofErr w:type="spellStart"/>
      <w:r w:rsidRPr="00A82B11">
        <w:rPr>
          <w:sz w:val="22"/>
        </w:rPr>
        <w:t>самоуправе</w:t>
      </w:r>
      <w:proofErr w:type="spellEnd"/>
      <w:r w:rsidRPr="00A82B11">
        <w:rPr>
          <w:sz w:val="22"/>
        </w:rPr>
        <w:t>.</w:t>
      </w:r>
      <w:r w:rsidRPr="00A82B11">
        <w:rPr>
          <w:sz w:val="22"/>
          <w:lang w:val="sr-Cyrl-BA"/>
        </w:rPr>
        <w:t xml:space="preserve"> </w:t>
      </w:r>
      <w:r w:rsidRPr="00A82B11">
        <w:rPr>
          <w:sz w:val="22"/>
          <w:lang w:val="sr-Cyrl-CS"/>
        </w:rPr>
        <w:t xml:space="preserve">Након вишегодишњег континуираног раста, дошло је значајног смањења </w:t>
      </w:r>
      <w:r w:rsidR="00C44369">
        <w:rPr>
          <w:sz w:val="22"/>
          <w:lang w:val="sr-Cyrl-CS"/>
        </w:rPr>
        <w:t>наплате пореза на непокретности</w:t>
      </w:r>
      <w:r w:rsidRPr="00A82B11">
        <w:rPr>
          <w:sz w:val="22"/>
          <w:lang w:val="sr-Cyrl-CS"/>
        </w:rPr>
        <w:t xml:space="preserve"> у првој половини 2020. године, што је очигледно посљедица </w:t>
      </w:r>
      <w:proofErr w:type="spellStart"/>
      <w:r w:rsidRPr="00A82B11">
        <w:rPr>
          <w:sz w:val="22"/>
          <w:lang w:val="sr-Cyrl-CS"/>
        </w:rPr>
        <w:t>пандемије</w:t>
      </w:r>
      <w:proofErr w:type="spellEnd"/>
      <w:r w:rsidRPr="00A82B11">
        <w:rPr>
          <w:sz w:val="22"/>
          <w:lang w:val="sr-Cyrl-CS"/>
        </w:rPr>
        <w:t xml:space="preserve"> </w:t>
      </w:r>
      <w:r w:rsidRPr="00A82B11">
        <w:rPr>
          <w:sz w:val="22"/>
          <w:lang w:val="sr-Latn-BA"/>
        </w:rPr>
        <w:t>COVID</w:t>
      </w:r>
      <w:r w:rsidRPr="00A82B11">
        <w:rPr>
          <w:sz w:val="22"/>
          <w:lang w:val="sr-Cyrl-CS"/>
        </w:rPr>
        <w:t xml:space="preserve">-19, </w:t>
      </w:r>
      <w:r w:rsidR="00E9414A">
        <w:rPr>
          <w:sz w:val="22"/>
          <w:lang w:val="sr-Cyrl-CS"/>
        </w:rPr>
        <w:t xml:space="preserve">односно, </w:t>
      </w:r>
      <w:r w:rsidRPr="00A82B11">
        <w:rPr>
          <w:sz w:val="22"/>
          <w:lang w:val="sr-Cyrl-CS"/>
        </w:rPr>
        <w:t xml:space="preserve">пролонгирања </w:t>
      </w:r>
      <w:r w:rsidR="00E9414A">
        <w:rPr>
          <w:sz w:val="22"/>
          <w:lang w:val="sr-Cyrl-CS"/>
        </w:rPr>
        <w:t xml:space="preserve">плаћања пореза (први </w:t>
      </w:r>
      <w:proofErr w:type="spellStart"/>
      <w:r w:rsidR="00E9414A">
        <w:rPr>
          <w:sz w:val="22"/>
          <w:lang w:val="sr-Cyrl-CS"/>
        </w:rPr>
        <w:t>дио</w:t>
      </w:r>
      <w:proofErr w:type="spellEnd"/>
      <w:r w:rsidR="00E9414A">
        <w:rPr>
          <w:sz w:val="22"/>
          <w:lang w:val="sr-Cyrl-CS"/>
        </w:rPr>
        <w:t xml:space="preserve"> до 30.09.</w:t>
      </w:r>
      <w:r w:rsidRPr="00A82B11">
        <w:rPr>
          <w:sz w:val="22"/>
          <w:lang w:val="sr-Cyrl-CS"/>
        </w:rPr>
        <w:t xml:space="preserve"> умјесто до 30.</w:t>
      </w:r>
      <w:r w:rsidR="00E9414A">
        <w:rPr>
          <w:sz w:val="22"/>
          <w:lang w:val="sr-Cyrl-CS"/>
        </w:rPr>
        <w:t>06.</w:t>
      </w:r>
      <w:r w:rsidRPr="00A82B11">
        <w:rPr>
          <w:sz w:val="22"/>
          <w:lang w:val="sr-Cyrl-CS"/>
        </w:rPr>
        <w:t>, друг</w:t>
      </w:r>
      <w:r w:rsidRPr="00A82B11">
        <w:rPr>
          <w:sz w:val="22"/>
        </w:rPr>
        <w:t>и</w:t>
      </w:r>
      <w:r w:rsidRPr="00A82B11">
        <w:rPr>
          <w:sz w:val="22"/>
          <w:lang w:val="sr-Cyrl-CS"/>
        </w:rPr>
        <w:t xml:space="preserve"> </w:t>
      </w:r>
      <w:proofErr w:type="spellStart"/>
      <w:r w:rsidRPr="00A82B11">
        <w:rPr>
          <w:sz w:val="22"/>
          <w:lang w:val="sr-Cyrl-CS"/>
        </w:rPr>
        <w:t>дио</w:t>
      </w:r>
      <w:proofErr w:type="spellEnd"/>
      <w:r w:rsidRPr="00A82B11">
        <w:rPr>
          <w:sz w:val="22"/>
          <w:lang w:val="sr-Cyrl-CS"/>
        </w:rPr>
        <w:t xml:space="preserve"> до 31. </w:t>
      </w:r>
      <w:r w:rsidR="00E9414A">
        <w:rPr>
          <w:sz w:val="22"/>
          <w:lang w:val="sr-Cyrl-CS"/>
        </w:rPr>
        <w:t>12.</w:t>
      </w:r>
      <w:r w:rsidRPr="00A82B11">
        <w:rPr>
          <w:sz w:val="22"/>
          <w:lang w:val="sr-Cyrl-CS"/>
        </w:rPr>
        <w:t xml:space="preserve"> умјесто до 30.</w:t>
      </w:r>
      <w:r w:rsidR="00E9414A">
        <w:rPr>
          <w:sz w:val="22"/>
          <w:lang w:val="sr-Cyrl-CS"/>
        </w:rPr>
        <w:t>09.</w:t>
      </w:r>
      <w:r w:rsidR="004D71F5" w:rsidRPr="00A82B11">
        <w:rPr>
          <w:sz w:val="22"/>
          <w:lang w:val="sr-Cyrl-CS"/>
        </w:rPr>
        <w:t>)</w:t>
      </w:r>
      <w:r w:rsidRPr="00A82B11">
        <w:rPr>
          <w:sz w:val="22"/>
          <w:lang w:val="sr-Cyrl-CS"/>
        </w:rPr>
        <w:t xml:space="preserve">. </w:t>
      </w:r>
    </w:p>
    <w:p w14:paraId="687AC01B" w14:textId="77777777" w:rsidR="008D4E4C" w:rsidRPr="00A82B11" w:rsidRDefault="008D4E4C" w:rsidP="008D4E4C">
      <w:pPr>
        <w:spacing w:line="276" w:lineRule="auto"/>
        <w:ind w:firstLine="709"/>
        <w:jc w:val="both"/>
        <w:rPr>
          <w:sz w:val="22"/>
          <w:lang w:val="sr-Cyrl-CS"/>
        </w:rPr>
      </w:pPr>
    </w:p>
    <w:p w14:paraId="4828C8A4" w14:textId="77777777" w:rsidR="006F2457" w:rsidRPr="00A82B11" w:rsidRDefault="008D4E4C" w:rsidP="008D4E4C">
      <w:pPr>
        <w:spacing w:line="276" w:lineRule="auto"/>
        <w:ind w:firstLine="709"/>
        <w:jc w:val="both"/>
        <w:rPr>
          <w:sz w:val="22"/>
          <w:lang w:val="sr-Cyrl-CS"/>
        </w:rPr>
      </w:pPr>
      <w:r w:rsidRPr="00A82B11">
        <w:rPr>
          <w:sz w:val="22"/>
          <w:lang w:val="sr-Cyrl-CS"/>
        </w:rPr>
        <w:t xml:space="preserve">Пројекције ДОБ за општине и градове у 2021. години код </w:t>
      </w:r>
      <w:proofErr w:type="spellStart"/>
      <w:r w:rsidRPr="00A82B11">
        <w:rPr>
          <w:b/>
          <w:sz w:val="22"/>
          <w:lang w:val="sr-Cyrl-CS"/>
        </w:rPr>
        <w:t>непореских</w:t>
      </w:r>
      <w:proofErr w:type="spellEnd"/>
      <w:r w:rsidRPr="00A82B11">
        <w:rPr>
          <w:b/>
          <w:sz w:val="22"/>
          <w:lang w:val="sr-Cyrl-CS"/>
        </w:rPr>
        <w:t xml:space="preserve"> прихода</w:t>
      </w:r>
      <w:r w:rsidRPr="00A82B11">
        <w:rPr>
          <w:sz w:val="22"/>
          <w:lang w:val="sr-Cyrl-CS"/>
        </w:rPr>
        <w:t xml:space="preserve"> су ниже у односу на план из 2020. године (за 11,6% мања у односу на план текуће године). </w:t>
      </w:r>
      <w:r w:rsidR="006716C1" w:rsidRPr="00A82B11">
        <w:rPr>
          <w:sz w:val="22"/>
          <w:lang w:val="sr-Cyrl-CS"/>
        </w:rPr>
        <w:t xml:space="preserve">Највећи </w:t>
      </w:r>
      <w:proofErr w:type="spellStart"/>
      <w:r w:rsidR="006716C1" w:rsidRPr="00A82B11">
        <w:rPr>
          <w:sz w:val="22"/>
          <w:lang w:val="sr-Cyrl-CS"/>
        </w:rPr>
        <w:t>дио</w:t>
      </w:r>
      <w:proofErr w:type="spellEnd"/>
      <w:r w:rsidR="006716C1" w:rsidRPr="00A82B11">
        <w:rPr>
          <w:sz w:val="22"/>
          <w:lang w:val="sr-Cyrl-CS"/>
        </w:rPr>
        <w:t xml:space="preserve"> ових прихода чине</w:t>
      </w:r>
      <w:r w:rsidR="00B13CD4" w:rsidRPr="00A82B11">
        <w:rPr>
          <w:sz w:val="22"/>
          <w:lang w:val="sr-Cyrl-CS"/>
        </w:rPr>
        <w:t xml:space="preserve"> комуналне накнаде и</w:t>
      </w:r>
      <w:r w:rsidR="006716C1" w:rsidRPr="00A82B11">
        <w:rPr>
          <w:sz w:val="22"/>
          <w:lang w:val="sr-Cyrl-CS"/>
        </w:rPr>
        <w:t xml:space="preserve"> накнаде по разним основама, које у </w:t>
      </w:r>
      <w:proofErr w:type="spellStart"/>
      <w:r w:rsidR="006716C1" w:rsidRPr="00A82B11">
        <w:rPr>
          <w:sz w:val="22"/>
          <w:lang w:val="sr-Cyrl-CS"/>
        </w:rPr>
        <w:t>просјеку</w:t>
      </w:r>
      <w:proofErr w:type="spellEnd"/>
      <w:r w:rsidR="006716C1" w:rsidRPr="00A82B11">
        <w:rPr>
          <w:sz w:val="22"/>
          <w:lang w:val="sr-Cyrl-CS"/>
        </w:rPr>
        <w:t xml:space="preserve"> чине о</w:t>
      </w:r>
      <w:r w:rsidR="0049727A" w:rsidRPr="00A82B11">
        <w:rPr>
          <w:sz w:val="22"/>
          <w:lang w:val="sr-Cyrl-CS"/>
        </w:rPr>
        <w:t>ко 60</w:t>
      </w:r>
      <w:r w:rsidR="006716C1" w:rsidRPr="00A82B11">
        <w:rPr>
          <w:sz w:val="22"/>
          <w:lang w:val="sr-Cyrl-CS"/>
        </w:rPr>
        <w:t xml:space="preserve">% </w:t>
      </w:r>
      <w:proofErr w:type="spellStart"/>
      <w:r w:rsidR="006716C1" w:rsidRPr="00A82B11">
        <w:rPr>
          <w:sz w:val="22"/>
          <w:lang w:val="sr-Cyrl-CS"/>
        </w:rPr>
        <w:t>непореских</w:t>
      </w:r>
      <w:proofErr w:type="spellEnd"/>
      <w:r w:rsidR="006716C1" w:rsidRPr="00A82B11">
        <w:rPr>
          <w:sz w:val="22"/>
          <w:lang w:val="sr-Cyrl-CS"/>
        </w:rPr>
        <w:t xml:space="preserve"> прихода овог </w:t>
      </w:r>
      <w:proofErr w:type="spellStart"/>
      <w:r w:rsidR="006716C1" w:rsidRPr="00A82B11">
        <w:rPr>
          <w:sz w:val="22"/>
          <w:lang w:val="sr-Cyrl-CS"/>
        </w:rPr>
        <w:t>подсектора</w:t>
      </w:r>
      <w:proofErr w:type="spellEnd"/>
      <w:r w:rsidR="006716C1" w:rsidRPr="00A82B11">
        <w:rPr>
          <w:sz w:val="22"/>
          <w:lang w:val="sr-Cyrl-CS"/>
        </w:rPr>
        <w:t xml:space="preserve">. </w:t>
      </w:r>
    </w:p>
    <w:p w14:paraId="5FA60694" w14:textId="77777777" w:rsidR="005F5B2B" w:rsidRPr="00EC49B4" w:rsidRDefault="005F5B2B" w:rsidP="00D700CE">
      <w:pPr>
        <w:spacing w:line="276" w:lineRule="auto"/>
        <w:jc w:val="both"/>
      </w:pPr>
    </w:p>
    <w:p w14:paraId="7F575525" w14:textId="77777777" w:rsidR="0014007F" w:rsidRPr="00A82B11" w:rsidRDefault="00BD4EE0" w:rsidP="00365ABE">
      <w:pPr>
        <w:pStyle w:val="Heading1"/>
        <w:spacing w:line="276" w:lineRule="auto"/>
        <w:rPr>
          <w:sz w:val="22"/>
        </w:rPr>
      </w:pPr>
      <w:bookmarkStart w:id="10" w:name="_Toc59550010"/>
      <w:r w:rsidRPr="00A82B11">
        <w:rPr>
          <w:sz w:val="22"/>
        </w:rPr>
        <w:t>2.5</w:t>
      </w:r>
      <w:r w:rsidR="00EB0476" w:rsidRPr="00A82B11">
        <w:rPr>
          <w:sz w:val="22"/>
        </w:rPr>
        <w:t>. Пројекције јавне потрошње</w:t>
      </w:r>
      <w:r w:rsidRPr="00A82B11">
        <w:rPr>
          <w:sz w:val="22"/>
          <w:lang w:val="sr-Cyrl-RS"/>
        </w:rPr>
        <w:t xml:space="preserve"> </w:t>
      </w:r>
      <w:r w:rsidRPr="00A82B11">
        <w:rPr>
          <w:sz w:val="22"/>
        </w:rPr>
        <w:t xml:space="preserve">за јединице локалне самоуправе </w:t>
      </w:r>
      <w:r w:rsidRPr="00A82B11">
        <w:rPr>
          <w:sz w:val="22"/>
          <w:lang w:val="sr-Cyrl-RS"/>
        </w:rPr>
        <w:t>у РС</w:t>
      </w:r>
      <w:r w:rsidR="00A82B11">
        <w:rPr>
          <w:sz w:val="22"/>
          <w:lang w:val="sr-Cyrl-RS"/>
        </w:rPr>
        <w:t xml:space="preserve"> </w:t>
      </w:r>
      <w:r w:rsidRPr="00A82B11">
        <w:rPr>
          <w:sz w:val="22"/>
        </w:rPr>
        <w:t>за период 2021-2023. година</w:t>
      </w:r>
      <w:bookmarkEnd w:id="10"/>
    </w:p>
    <w:p w14:paraId="546A7689" w14:textId="77777777" w:rsidR="00365ABE" w:rsidRPr="00A82B11" w:rsidRDefault="00365ABE" w:rsidP="00365ABE">
      <w:pPr>
        <w:rPr>
          <w:sz w:val="22"/>
          <w:lang w:val="sr-Cyrl-CS" w:eastAsia="en-US"/>
        </w:rPr>
      </w:pPr>
    </w:p>
    <w:p w14:paraId="1352369F" w14:textId="77777777" w:rsidR="00BD4EE0" w:rsidRPr="00A82B11" w:rsidRDefault="00326B1C" w:rsidP="00365ABE">
      <w:pPr>
        <w:autoSpaceDE w:val="0"/>
        <w:autoSpaceDN w:val="0"/>
        <w:adjustRightInd w:val="0"/>
        <w:spacing w:line="276" w:lineRule="auto"/>
        <w:ind w:firstLine="709"/>
        <w:jc w:val="both"/>
        <w:rPr>
          <w:sz w:val="22"/>
        </w:rPr>
      </w:pPr>
      <w:r w:rsidRPr="00A82B11">
        <w:rPr>
          <w:sz w:val="22"/>
        </w:rPr>
        <w:t xml:space="preserve">У </w:t>
      </w:r>
      <w:proofErr w:type="spellStart"/>
      <w:r w:rsidRPr="00A82B11">
        <w:rPr>
          <w:sz w:val="22"/>
        </w:rPr>
        <w:t>наредној</w:t>
      </w:r>
      <w:proofErr w:type="spellEnd"/>
      <w:r w:rsidRPr="00A82B11">
        <w:rPr>
          <w:sz w:val="22"/>
        </w:rPr>
        <w:t xml:space="preserve"> </w:t>
      </w:r>
      <w:proofErr w:type="spellStart"/>
      <w:r w:rsidRPr="00A82B11">
        <w:rPr>
          <w:sz w:val="22"/>
        </w:rPr>
        <w:t>таб</w:t>
      </w:r>
      <w:r w:rsidRPr="00C44369">
        <w:rPr>
          <w:sz w:val="22"/>
        </w:rPr>
        <w:t>ели</w:t>
      </w:r>
      <w:proofErr w:type="spellEnd"/>
      <w:r w:rsidRPr="00C44369">
        <w:rPr>
          <w:sz w:val="22"/>
        </w:rPr>
        <w:t xml:space="preserve"> </w:t>
      </w:r>
      <w:proofErr w:type="spellStart"/>
      <w:r w:rsidRPr="00C44369">
        <w:rPr>
          <w:sz w:val="22"/>
        </w:rPr>
        <w:t>приказана</w:t>
      </w:r>
      <w:proofErr w:type="spellEnd"/>
      <w:r w:rsidRPr="00C44369">
        <w:rPr>
          <w:sz w:val="22"/>
        </w:rPr>
        <w:t xml:space="preserve"> </w:t>
      </w:r>
      <w:proofErr w:type="spellStart"/>
      <w:r w:rsidRPr="00C44369">
        <w:rPr>
          <w:sz w:val="22"/>
        </w:rPr>
        <w:t>је</w:t>
      </w:r>
      <w:proofErr w:type="spellEnd"/>
      <w:r w:rsidRPr="00C44369">
        <w:rPr>
          <w:sz w:val="22"/>
        </w:rPr>
        <w:t xml:space="preserve"> </w:t>
      </w:r>
      <w:r w:rsidRPr="00C44369">
        <w:rPr>
          <w:sz w:val="22"/>
          <w:lang w:val="sr-Cyrl-BA"/>
        </w:rPr>
        <w:t>р</w:t>
      </w:r>
      <w:proofErr w:type="spellStart"/>
      <w:r w:rsidRPr="00C44369">
        <w:rPr>
          <w:sz w:val="22"/>
        </w:rPr>
        <w:t>еализација</w:t>
      </w:r>
      <w:proofErr w:type="spellEnd"/>
      <w:r w:rsidRPr="00C44369">
        <w:rPr>
          <w:sz w:val="22"/>
        </w:rPr>
        <w:t xml:space="preserve"> 201</w:t>
      </w:r>
      <w:r w:rsidR="00B50FEA" w:rsidRPr="00C44369">
        <w:rPr>
          <w:sz w:val="22"/>
          <w:lang w:val="sr-Cyrl-RS"/>
        </w:rPr>
        <w:t>9</w:t>
      </w:r>
      <w:r w:rsidR="00E9414A">
        <w:rPr>
          <w:sz w:val="22"/>
          <w:lang w:val="sr-Cyrl-RS"/>
        </w:rPr>
        <w:t>. години</w:t>
      </w:r>
      <w:r w:rsidRPr="00C44369">
        <w:rPr>
          <w:sz w:val="22"/>
        </w:rPr>
        <w:t xml:space="preserve">, </w:t>
      </w:r>
      <w:proofErr w:type="spellStart"/>
      <w:r w:rsidRPr="00C44369">
        <w:rPr>
          <w:sz w:val="22"/>
        </w:rPr>
        <w:t>план</w:t>
      </w:r>
      <w:proofErr w:type="spellEnd"/>
      <w:r w:rsidR="00E9414A">
        <w:rPr>
          <w:sz w:val="22"/>
          <w:lang w:val="sr-Cyrl-RS"/>
        </w:rPr>
        <w:t xml:space="preserve"> за </w:t>
      </w:r>
      <w:r w:rsidRPr="00C44369">
        <w:rPr>
          <w:sz w:val="22"/>
        </w:rPr>
        <w:t xml:space="preserve"> </w:t>
      </w:r>
      <w:r w:rsidR="00833C1B" w:rsidRPr="00C44369">
        <w:rPr>
          <w:sz w:val="22"/>
        </w:rPr>
        <w:t>2020</w:t>
      </w:r>
      <w:r w:rsidR="00E9414A">
        <w:rPr>
          <w:sz w:val="22"/>
          <w:lang w:val="sr-Cyrl-RS"/>
        </w:rPr>
        <w:t>. годину</w:t>
      </w:r>
      <w:r w:rsidRPr="00C44369">
        <w:rPr>
          <w:sz w:val="22"/>
          <w:lang w:val="sr-Cyrl-BA"/>
        </w:rPr>
        <w:t xml:space="preserve">, као и </w:t>
      </w:r>
      <w:proofErr w:type="spellStart"/>
      <w:r w:rsidRPr="00C44369">
        <w:rPr>
          <w:sz w:val="22"/>
        </w:rPr>
        <w:t>пројекција</w:t>
      </w:r>
      <w:proofErr w:type="spellEnd"/>
      <w:r w:rsidRPr="00C44369">
        <w:rPr>
          <w:sz w:val="22"/>
        </w:rPr>
        <w:t xml:space="preserve"> </w:t>
      </w:r>
      <w:r w:rsidRPr="00C44369">
        <w:rPr>
          <w:sz w:val="22"/>
          <w:lang w:val="sr-Cyrl-BA"/>
        </w:rPr>
        <w:t xml:space="preserve">буџетске потрошње </w:t>
      </w:r>
      <w:proofErr w:type="spellStart"/>
      <w:r w:rsidR="00334975" w:rsidRPr="00C44369">
        <w:rPr>
          <w:sz w:val="22"/>
          <w:lang w:val="sr-Cyrl-BA"/>
        </w:rPr>
        <w:t>под</w:t>
      </w:r>
      <w:r w:rsidRPr="00C44369">
        <w:rPr>
          <w:sz w:val="22"/>
          <w:lang w:val="sr-Cyrl-BA"/>
        </w:rPr>
        <w:t>сектора</w:t>
      </w:r>
      <w:proofErr w:type="spellEnd"/>
      <w:r w:rsidRPr="00C44369">
        <w:rPr>
          <w:sz w:val="22"/>
          <w:lang w:val="sr-Cyrl-BA"/>
        </w:rPr>
        <w:t xml:space="preserve"> </w:t>
      </w:r>
      <w:r w:rsidR="00334975" w:rsidRPr="00C44369">
        <w:rPr>
          <w:sz w:val="22"/>
          <w:lang w:val="sr-Cyrl-BA"/>
        </w:rPr>
        <w:t>јединице локалне самоуправе</w:t>
      </w:r>
      <w:r w:rsidRPr="00C44369">
        <w:rPr>
          <w:sz w:val="22"/>
        </w:rPr>
        <w:t xml:space="preserve"> </w:t>
      </w:r>
      <w:r w:rsidR="00D91678" w:rsidRPr="00C44369">
        <w:rPr>
          <w:sz w:val="22"/>
          <w:lang w:val="sr-Cyrl-RS"/>
        </w:rPr>
        <w:t>по осн</w:t>
      </w:r>
      <w:r w:rsidR="00D91678" w:rsidRPr="00A82B11">
        <w:rPr>
          <w:sz w:val="22"/>
          <w:lang w:val="sr-Cyrl-RS"/>
        </w:rPr>
        <w:t xml:space="preserve">овним позицијама, </w:t>
      </w:r>
      <w:r w:rsidRPr="00A82B11">
        <w:rPr>
          <w:sz w:val="22"/>
        </w:rPr>
        <w:t xml:space="preserve">у </w:t>
      </w:r>
      <w:proofErr w:type="spellStart"/>
      <w:r w:rsidRPr="00A82B11">
        <w:rPr>
          <w:sz w:val="22"/>
        </w:rPr>
        <w:t>периоду</w:t>
      </w:r>
      <w:proofErr w:type="spellEnd"/>
      <w:r w:rsidRPr="00A82B11">
        <w:rPr>
          <w:sz w:val="22"/>
        </w:rPr>
        <w:t xml:space="preserve"> </w:t>
      </w:r>
      <w:r w:rsidR="0064553E" w:rsidRPr="00A82B11">
        <w:rPr>
          <w:sz w:val="22"/>
        </w:rPr>
        <w:t>2021</w:t>
      </w:r>
      <w:r w:rsidRPr="00A82B11">
        <w:rPr>
          <w:sz w:val="22"/>
        </w:rPr>
        <w:t>-</w:t>
      </w:r>
      <w:r w:rsidR="0064553E" w:rsidRPr="00A82B11">
        <w:rPr>
          <w:sz w:val="22"/>
        </w:rPr>
        <w:t>2023</w:t>
      </w:r>
      <w:r w:rsidRPr="00A82B11">
        <w:rPr>
          <w:sz w:val="22"/>
        </w:rPr>
        <w:t xml:space="preserve">. </w:t>
      </w:r>
      <w:proofErr w:type="spellStart"/>
      <w:r w:rsidRPr="00A82B11">
        <w:rPr>
          <w:sz w:val="22"/>
        </w:rPr>
        <w:t>година</w:t>
      </w:r>
      <w:proofErr w:type="spellEnd"/>
      <w:r w:rsidRPr="00A82B11">
        <w:rPr>
          <w:sz w:val="22"/>
        </w:rPr>
        <w:t>.</w:t>
      </w:r>
    </w:p>
    <w:p w14:paraId="540624DD" w14:textId="77777777" w:rsidR="008F4A81" w:rsidRPr="0066300F" w:rsidRDefault="008F4A81" w:rsidP="00365ABE">
      <w:pPr>
        <w:autoSpaceDE w:val="0"/>
        <w:autoSpaceDN w:val="0"/>
        <w:adjustRightInd w:val="0"/>
        <w:spacing w:line="276" w:lineRule="auto"/>
        <w:ind w:firstLine="709"/>
        <w:jc w:val="both"/>
        <w:rPr>
          <w:sz w:val="20"/>
        </w:rPr>
      </w:pPr>
    </w:p>
    <w:p w14:paraId="0AC1077B" w14:textId="77777777" w:rsidR="00334975" w:rsidRPr="004D71F5" w:rsidRDefault="00BD4EE0" w:rsidP="008D6ABD">
      <w:pPr>
        <w:autoSpaceDE w:val="0"/>
        <w:autoSpaceDN w:val="0"/>
        <w:adjustRightInd w:val="0"/>
        <w:rPr>
          <w:b/>
          <w:bCs/>
          <w:color w:val="365F91"/>
          <w:sz w:val="22"/>
          <w:lang w:val="sr-Cyrl-RS"/>
        </w:rPr>
      </w:pPr>
      <w:proofErr w:type="spellStart"/>
      <w:r w:rsidRPr="0066300F">
        <w:rPr>
          <w:b/>
          <w:bCs/>
          <w:color w:val="365F91"/>
          <w:sz w:val="20"/>
        </w:rPr>
        <w:t>Табела</w:t>
      </w:r>
      <w:proofErr w:type="spellEnd"/>
      <w:r w:rsidRPr="0066300F">
        <w:rPr>
          <w:b/>
          <w:bCs/>
          <w:color w:val="365F91"/>
          <w:sz w:val="20"/>
        </w:rPr>
        <w:t xml:space="preserve"> 5</w:t>
      </w:r>
      <w:r w:rsidR="00334975" w:rsidRPr="0066300F">
        <w:rPr>
          <w:b/>
          <w:bCs/>
          <w:color w:val="365F91"/>
          <w:sz w:val="20"/>
        </w:rPr>
        <w:t xml:space="preserve">: </w:t>
      </w:r>
      <w:proofErr w:type="spellStart"/>
      <w:r w:rsidR="00334975" w:rsidRPr="0066300F">
        <w:rPr>
          <w:b/>
          <w:bCs/>
          <w:color w:val="365F91"/>
          <w:sz w:val="20"/>
        </w:rPr>
        <w:t>Извршење</w:t>
      </w:r>
      <w:proofErr w:type="spellEnd"/>
      <w:r w:rsidR="00334975" w:rsidRPr="0066300F">
        <w:rPr>
          <w:b/>
          <w:bCs/>
          <w:color w:val="365F91"/>
          <w:sz w:val="20"/>
        </w:rPr>
        <w:t xml:space="preserve"> 201</w:t>
      </w:r>
      <w:r w:rsidR="00661A44" w:rsidRPr="0066300F">
        <w:rPr>
          <w:b/>
          <w:bCs/>
          <w:color w:val="365F91"/>
          <w:sz w:val="20"/>
          <w:lang w:val="sr-Cyrl-RS"/>
        </w:rPr>
        <w:t>9</w:t>
      </w:r>
      <w:r w:rsidR="00334975" w:rsidRPr="0066300F">
        <w:rPr>
          <w:b/>
          <w:bCs/>
          <w:color w:val="365F91"/>
          <w:sz w:val="20"/>
        </w:rPr>
        <w:t xml:space="preserve">, </w:t>
      </w:r>
      <w:proofErr w:type="spellStart"/>
      <w:r w:rsidR="00334975" w:rsidRPr="0066300F">
        <w:rPr>
          <w:b/>
          <w:bCs/>
          <w:color w:val="365F91"/>
          <w:sz w:val="20"/>
        </w:rPr>
        <w:t>план</w:t>
      </w:r>
      <w:proofErr w:type="spellEnd"/>
      <w:r w:rsidR="00334975" w:rsidRPr="0066300F">
        <w:rPr>
          <w:b/>
          <w:bCs/>
          <w:color w:val="365F91"/>
          <w:sz w:val="20"/>
        </w:rPr>
        <w:t xml:space="preserve"> </w:t>
      </w:r>
      <w:r w:rsidR="00833C1B" w:rsidRPr="0066300F">
        <w:rPr>
          <w:b/>
          <w:bCs/>
          <w:color w:val="365F91"/>
          <w:sz w:val="20"/>
        </w:rPr>
        <w:t>2020</w:t>
      </w:r>
      <w:r w:rsidR="00334975" w:rsidRPr="0066300F">
        <w:rPr>
          <w:b/>
          <w:bCs/>
          <w:color w:val="365F91"/>
          <w:sz w:val="20"/>
        </w:rPr>
        <w:t xml:space="preserve">. и </w:t>
      </w:r>
      <w:proofErr w:type="spellStart"/>
      <w:r w:rsidR="00334975" w:rsidRPr="0066300F">
        <w:rPr>
          <w:b/>
          <w:bCs/>
          <w:color w:val="365F91"/>
          <w:sz w:val="20"/>
        </w:rPr>
        <w:t>пројекција</w:t>
      </w:r>
      <w:proofErr w:type="spellEnd"/>
      <w:r w:rsidR="00334975" w:rsidRPr="0066300F">
        <w:rPr>
          <w:b/>
          <w:bCs/>
          <w:color w:val="365F91"/>
          <w:sz w:val="20"/>
        </w:rPr>
        <w:t xml:space="preserve"> </w:t>
      </w:r>
      <w:proofErr w:type="spellStart"/>
      <w:r w:rsidR="00334975" w:rsidRPr="0066300F">
        <w:rPr>
          <w:b/>
          <w:bCs/>
          <w:color w:val="365F91"/>
          <w:sz w:val="20"/>
        </w:rPr>
        <w:t>буџетске</w:t>
      </w:r>
      <w:proofErr w:type="spellEnd"/>
      <w:r w:rsidR="00334975" w:rsidRPr="0066300F">
        <w:rPr>
          <w:b/>
          <w:bCs/>
          <w:color w:val="365F91"/>
          <w:sz w:val="20"/>
        </w:rPr>
        <w:t xml:space="preserve"> </w:t>
      </w:r>
      <w:proofErr w:type="spellStart"/>
      <w:r w:rsidR="00334975" w:rsidRPr="0066300F">
        <w:rPr>
          <w:b/>
          <w:bCs/>
          <w:color w:val="365F91"/>
          <w:sz w:val="20"/>
        </w:rPr>
        <w:t>потрошње</w:t>
      </w:r>
      <w:proofErr w:type="spellEnd"/>
      <w:r w:rsidR="00334975" w:rsidRPr="0066300F">
        <w:rPr>
          <w:b/>
          <w:bCs/>
          <w:color w:val="365F91"/>
          <w:sz w:val="20"/>
        </w:rPr>
        <w:t xml:space="preserve"> </w:t>
      </w:r>
      <w:r w:rsidR="00334975" w:rsidRPr="0066300F">
        <w:rPr>
          <w:b/>
          <w:bCs/>
          <w:color w:val="365F91"/>
          <w:sz w:val="20"/>
          <w:lang w:val="sr-Cyrl-RS"/>
        </w:rPr>
        <w:t>под</w:t>
      </w:r>
      <w:r w:rsidR="00334975" w:rsidRPr="0066300F">
        <w:rPr>
          <w:b/>
          <w:bCs/>
          <w:color w:val="365F91"/>
          <w:sz w:val="20"/>
          <w:lang w:val="sr-Cyrl-BA"/>
        </w:rPr>
        <w:t>с</w:t>
      </w:r>
      <w:proofErr w:type="spellStart"/>
      <w:r w:rsidR="00334975" w:rsidRPr="0066300F">
        <w:rPr>
          <w:b/>
          <w:bCs/>
          <w:color w:val="365F91"/>
          <w:sz w:val="20"/>
        </w:rPr>
        <w:t>ектора</w:t>
      </w:r>
      <w:proofErr w:type="spellEnd"/>
      <w:r w:rsidR="00334975" w:rsidRPr="0066300F">
        <w:rPr>
          <w:b/>
          <w:bCs/>
          <w:color w:val="365F91"/>
          <w:sz w:val="20"/>
        </w:rPr>
        <w:t xml:space="preserve"> </w:t>
      </w:r>
      <w:r w:rsidR="00334975" w:rsidRPr="0066300F">
        <w:rPr>
          <w:b/>
          <w:bCs/>
          <w:color w:val="365F91"/>
          <w:sz w:val="20"/>
          <w:lang w:val="sr-Cyrl-RS"/>
        </w:rPr>
        <w:t>јединице локалне</w:t>
      </w:r>
      <w:r w:rsidR="00D07E80" w:rsidRPr="0066300F">
        <w:rPr>
          <w:b/>
          <w:bCs/>
          <w:color w:val="365F91"/>
          <w:sz w:val="20"/>
          <w:lang w:val="sr-Cyrl-RS"/>
        </w:rPr>
        <w:t xml:space="preserve"> </w:t>
      </w:r>
      <w:r w:rsidR="00334975" w:rsidRPr="0066300F">
        <w:rPr>
          <w:b/>
          <w:bCs/>
          <w:color w:val="365F91"/>
          <w:sz w:val="20"/>
          <w:lang w:val="sr-Cyrl-RS"/>
        </w:rPr>
        <w:t>самоуправе</w:t>
      </w:r>
      <w:r w:rsidR="00334975" w:rsidRPr="0066300F">
        <w:rPr>
          <w:b/>
          <w:bCs/>
          <w:color w:val="365F91"/>
          <w:sz w:val="20"/>
        </w:rPr>
        <w:t xml:space="preserve"> у </w:t>
      </w:r>
      <w:proofErr w:type="spellStart"/>
      <w:r w:rsidR="00334975" w:rsidRPr="0066300F">
        <w:rPr>
          <w:b/>
          <w:bCs/>
          <w:color w:val="365F91"/>
          <w:sz w:val="20"/>
        </w:rPr>
        <w:t>периоду</w:t>
      </w:r>
      <w:proofErr w:type="spellEnd"/>
      <w:r w:rsidR="00334975" w:rsidRPr="0066300F">
        <w:rPr>
          <w:b/>
          <w:bCs/>
          <w:color w:val="365F91"/>
          <w:sz w:val="20"/>
        </w:rPr>
        <w:t xml:space="preserve"> </w:t>
      </w:r>
      <w:r w:rsidR="0064553E" w:rsidRPr="0066300F">
        <w:rPr>
          <w:b/>
          <w:bCs/>
          <w:color w:val="365F91"/>
          <w:sz w:val="20"/>
        </w:rPr>
        <w:t>2021</w:t>
      </w:r>
      <w:r w:rsidR="00334975" w:rsidRPr="0066300F">
        <w:rPr>
          <w:b/>
          <w:bCs/>
          <w:color w:val="365F91"/>
          <w:sz w:val="20"/>
        </w:rPr>
        <w:t>-</w:t>
      </w:r>
      <w:r w:rsidR="0064553E" w:rsidRPr="0066300F">
        <w:rPr>
          <w:b/>
          <w:bCs/>
          <w:color w:val="365F91"/>
          <w:sz w:val="20"/>
        </w:rPr>
        <w:t>2023</w:t>
      </w:r>
      <w:r w:rsidR="00334975" w:rsidRPr="0066300F">
        <w:rPr>
          <w:b/>
          <w:bCs/>
          <w:color w:val="365F91"/>
          <w:sz w:val="20"/>
        </w:rPr>
        <w:t xml:space="preserve">. </w:t>
      </w:r>
      <w:proofErr w:type="spellStart"/>
      <w:r w:rsidR="00334975" w:rsidRPr="0066300F">
        <w:rPr>
          <w:b/>
          <w:bCs/>
          <w:color w:val="365F91"/>
          <w:sz w:val="20"/>
          <w:szCs w:val="20"/>
        </w:rPr>
        <w:t>годинa</w:t>
      </w:r>
      <w:proofErr w:type="spellEnd"/>
      <w:r w:rsidR="00334975" w:rsidRPr="0066300F">
        <w:rPr>
          <w:b/>
          <w:bCs/>
          <w:color w:val="365F91"/>
          <w:sz w:val="20"/>
          <w:szCs w:val="20"/>
          <w:lang w:val="sr-Cyrl-RS"/>
        </w:rPr>
        <w:t xml:space="preserve">  </w:t>
      </w:r>
      <w:r w:rsidR="00A82B11" w:rsidRPr="0066300F">
        <w:rPr>
          <w:b/>
          <w:bCs/>
          <w:color w:val="365F91"/>
          <w:sz w:val="20"/>
          <w:szCs w:val="20"/>
          <w:lang w:val="sr-Cyrl-RS"/>
        </w:rPr>
        <w:t xml:space="preserve">                                                  </w:t>
      </w:r>
      <w:r w:rsidR="0066300F">
        <w:rPr>
          <w:b/>
          <w:bCs/>
          <w:color w:val="365F91"/>
          <w:sz w:val="20"/>
          <w:szCs w:val="20"/>
          <w:lang w:val="sr-Cyrl-RS"/>
        </w:rPr>
        <w:t xml:space="preserve">                           </w:t>
      </w:r>
      <w:r w:rsidR="00A82B11" w:rsidRPr="0066300F">
        <w:rPr>
          <w:b/>
          <w:bCs/>
          <w:color w:val="365F91"/>
          <w:sz w:val="20"/>
          <w:szCs w:val="20"/>
          <w:lang w:val="sr-Cyrl-RS"/>
        </w:rPr>
        <w:t xml:space="preserve">                </w:t>
      </w:r>
      <w:r w:rsidR="00334975" w:rsidRPr="0066300F">
        <w:rPr>
          <w:b/>
          <w:bCs/>
          <w:color w:val="365F91"/>
          <w:sz w:val="20"/>
          <w:szCs w:val="20"/>
          <w:lang w:val="sr-Cyrl-RS"/>
        </w:rPr>
        <w:t xml:space="preserve"> </w:t>
      </w:r>
      <w:r w:rsidR="00365ABE" w:rsidRPr="0066300F">
        <w:rPr>
          <w:b/>
          <w:bCs/>
          <w:color w:val="365F91"/>
          <w:sz w:val="20"/>
          <w:szCs w:val="20"/>
          <w:lang w:val="sr-Cyrl-RS"/>
        </w:rPr>
        <w:t xml:space="preserve">(у </w:t>
      </w:r>
      <w:proofErr w:type="spellStart"/>
      <w:r w:rsidR="00365ABE" w:rsidRPr="0066300F">
        <w:rPr>
          <w:b/>
          <w:bCs/>
          <w:color w:val="365F91"/>
          <w:sz w:val="20"/>
          <w:szCs w:val="20"/>
          <w:lang w:val="sr-Cyrl-RS"/>
        </w:rPr>
        <w:t>мил</w:t>
      </w:r>
      <w:proofErr w:type="spellEnd"/>
      <w:r w:rsidR="00365ABE" w:rsidRPr="0066300F">
        <w:rPr>
          <w:b/>
          <w:bCs/>
          <w:color w:val="365F91"/>
          <w:sz w:val="20"/>
          <w:szCs w:val="20"/>
          <w:lang w:val="sr-Cyrl-RS"/>
        </w:rPr>
        <w:t>.</w:t>
      </w:r>
      <w:r w:rsidR="00145C69" w:rsidRPr="0066300F">
        <w:rPr>
          <w:b/>
          <w:bCs/>
          <w:color w:val="365F91"/>
          <w:sz w:val="20"/>
          <w:szCs w:val="20"/>
          <w:lang w:val="sr-Cyrl-RS"/>
        </w:rPr>
        <w:t xml:space="preserve"> </w:t>
      </w:r>
      <w:r w:rsidR="00365ABE" w:rsidRPr="0066300F">
        <w:rPr>
          <w:b/>
          <w:bCs/>
          <w:color w:val="365F91"/>
          <w:sz w:val="20"/>
          <w:szCs w:val="20"/>
          <w:lang w:val="sr-Cyrl-RS"/>
        </w:rPr>
        <w:t>КМ</w:t>
      </w:r>
      <w:r w:rsidR="00334975" w:rsidRPr="0066300F">
        <w:rPr>
          <w:b/>
          <w:bCs/>
          <w:color w:val="365F91"/>
          <w:sz w:val="20"/>
          <w:szCs w:val="20"/>
          <w:lang w:val="sr-Cyrl-RS"/>
        </w:rPr>
        <w:t xml:space="preserve"> </w:t>
      </w:r>
      <w:r w:rsidR="00365ABE" w:rsidRPr="0066300F">
        <w:rPr>
          <w:b/>
          <w:bCs/>
          <w:color w:val="365F91"/>
          <w:sz w:val="20"/>
          <w:szCs w:val="20"/>
          <w:lang w:val="sr-Cyrl-RS"/>
        </w:rPr>
        <w:t>)</w:t>
      </w:r>
      <w:r w:rsidR="00334975" w:rsidRPr="0066300F">
        <w:rPr>
          <w:b/>
          <w:bCs/>
          <w:color w:val="365F91"/>
          <w:sz w:val="20"/>
          <w:szCs w:val="20"/>
          <w:lang w:val="sr-Cyrl-RS"/>
        </w:rPr>
        <w:t xml:space="preserve">                          </w:t>
      </w:r>
      <w:r w:rsidR="001775F2" w:rsidRPr="0066300F">
        <w:rPr>
          <w:b/>
          <w:bCs/>
          <w:color w:val="365F91"/>
          <w:sz w:val="20"/>
          <w:szCs w:val="20"/>
          <w:lang w:val="sr-Cyrl-RS"/>
        </w:rPr>
        <w:t xml:space="preserve">                  </w:t>
      </w:r>
      <w:r w:rsidR="00334975" w:rsidRPr="0066300F">
        <w:rPr>
          <w:b/>
          <w:bCs/>
          <w:color w:val="365F91"/>
          <w:sz w:val="20"/>
          <w:szCs w:val="20"/>
          <w:lang w:val="sr-Cyrl-RS"/>
        </w:rPr>
        <w:t xml:space="preserve">              </w:t>
      </w:r>
      <w:r w:rsidR="00D07E80" w:rsidRPr="0066300F">
        <w:rPr>
          <w:b/>
          <w:bCs/>
          <w:color w:val="365F91"/>
          <w:sz w:val="20"/>
          <w:szCs w:val="20"/>
          <w:lang w:val="sr-Cyrl-RS"/>
        </w:rPr>
        <w:t xml:space="preserve">           </w:t>
      </w:r>
      <w:r w:rsidR="00334975" w:rsidRPr="0066300F">
        <w:rPr>
          <w:b/>
          <w:bCs/>
          <w:color w:val="365F91"/>
          <w:sz w:val="20"/>
          <w:szCs w:val="20"/>
          <w:lang w:val="sr-Cyrl-RS"/>
        </w:rPr>
        <w:t xml:space="preserve">                           </w:t>
      </w:r>
      <w:r w:rsidRPr="0066300F">
        <w:rPr>
          <w:b/>
          <w:bCs/>
          <w:color w:val="365F91"/>
          <w:sz w:val="20"/>
          <w:szCs w:val="20"/>
          <w:lang w:val="sr-Cyrl-RS"/>
        </w:rPr>
        <w:t xml:space="preserve">           </w:t>
      </w:r>
    </w:p>
    <w:tbl>
      <w:tblPr>
        <w:tblStyle w:val="TableGrid"/>
        <w:tblpPr w:leftFromText="141" w:rightFromText="141" w:vertAnchor="text" w:horzAnchor="margin" w:tblpY="203"/>
        <w:tblW w:w="9918" w:type="dxa"/>
        <w:tblLayout w:type="fixed"/>
        <w:tblLook w:val="04A0" w:firstRow="1" w:lastRow="0" w:firstColumn="1" w:lastColumn="0" w:noHBand="0" w:noVBand="1"/>
      </w:tblPr>
      <w:tblGrid>
        <w:gridCol w:w="726"/>
        <w:gridCol w:w="3380"/>
        <w:gridCol w:w="1134"/>
        <w:gridCol w:w="1134"/>
        <w:gridCol w:w="1134"/>
        <w:gridCol w:w="1134"/>
        <w:gridCol w:w="1276"/>
      </w:tblGrid>
      <w:tr w:rsidR="00326B1C" w:rsidRPr="00A82B11" w14:paraId="44519CF4" w14:textId="77777777" w:rsidTr="00E9414A">
        <w:trPr>
          <w:trHeight w:val="422"/>
        </w:trPr>
        <w:tc>
          <w:tcPr>
            <w:tcW w:w="726" w:type="dxa"/>
            <w:shd w:val="clear" w:color="auto" w:fill="auto"/>
            <w:hideMark/>
          </w:tcPr>
          <w:p w14:paraId="2A48C151" w14:textId="5F443860" w:rsidR="00326B1C" w:rsidRPr="00A82B11" w:rsidRDefault="00326B1C" w:rsidP="0032157D">
            <w:pPr>
              <w:jc w:val="center"/>
              <w:rPr>
                <w:bCs/>
                <w:sz w:val="20"/>
                <w:szCs w:val="20"/>
              </w:rPr>
            </w:pPr>
            <w:r w:rsidRPr="00A82B11">
              <w:rPr>
                <w:bCs/>
                <w:sz w:val="20"/>
                <w:szCs w:val="20"/>
                <w:lang w:val="sr-Cyrl-RS"/>
              </w:rPr>
              <w:t>Е</w:t>
            </w:r>
            <w:r w:rsidRPr="00A82B11">
              <w:rPr>
                <w:bCs/>
                <w:sz w:val="20"/>
                <w:szCs w:val="20"/>
              </w:rPr>
              <w:t>к</w:t>
            </w:r>
            <w:r w:rsidRPr="00A82B11">
              <w:rPr>
                <w:bCs/>
                <w:sz w:val="20"/>
                <w:szCs w:val="20"/>
                <w:lang w:val="sr-Cyrl-RS"/>
              </w:rPr>
              <w:t xml:space="preserve">. </w:t>
            </w:r>
            <w:proofErr w:type="spellStart"/>
            <w:r w:rsidR="00F5516C" w:rsidRPr="00A82B11">
              <w:rPr>
                <w:bCs/>
                <w:sz w:val="20"/>
                <w:szCs w:val="20"/>
              </w:rPr>
              <w:t>К</w:t>
            </w:r>
            <w:r w:rsidRPr="00A82B11">
              <w:rPr>
                <w:bCs/>
                <w:sz w:val="20"/>
                <w:szCs w:val="20"/>
              </w:rPr>
              <w:t>од</w:t>
            </w:r>
            <w:proofErr w:type="spellEnd"/>
          </w:p>
        </w:tc>
        <w:tc>
          <w:tcPr>
            <w:tcW w:w="3380" w:type="dxa"/>
            <w:shd w:val="clear" w:color="auto" w:fill="auto"/>
            <w:noWrap/>
            <w:vAlign w:val="center"/>
            <w:hideMark/>
          </w:tcPr>
          <w:p w14:paraId="442D0CC7" w14:textId="77777777" w:rsidR="00326B1C" w:rsidRPr="00A82B11" w:rsidRDefault="00326B1C" w:rsidP="0032157D">
            <w:pPr>
              <w:jc w:val="center"/>
              <w:rPr>
                <w:bCs/>
                <w:sz w:val="20"/>
                <w:szCs w:val="20"/>
              </w:rPr>
            </w:pPr>
            <w:r w:rsidRPr="00A82B11">
              <w:rPr>
                <w:bCs/>
                <w:sz w:val="20"/>
                <w:szCs w:val="20"/>
              </w:rPr>
              <w:t>ПОЗИЦИЈА</w:t>
            </w:r>
          </w:p>
        </w:tc>
        <w:tc>
          <w:tcPr>
            <w:tcW w:w="1134" w:type="dxa"/>
            <w:shd w:val="clear" w:color="auto" w:fill="auto"/>
            <w:vAlign w:val="center"/>
            <w:hideMark/>
          </w:tcPr>
          <w:p w14:paraId="0F500BA8" w14:textId="77777777" w:rsidR="00326B1C" w:rsidRPr="00A82B11" w:rsidRDefault="00326B1C" w:rsidP="0032157D">
            <w:pPr>
              <w:jc w:val="center"/>
              <w:rPr>
                <w:bCs/>
                <w:sz w:val="20"/>
                <w:szCs w:val="20"/>
              </w:rPr>
            </w:pPr>
            <w:proofErr w:type="spellStart"/>
            <w:r w:rsidRPr="00A82B11">
              <w:rPr>
                <w:bCs/>
                <w:sz w:val="20"/>
                <w:szCs w:val="20"/>
              </w:rPr>
              <w:t>Извршење</w:t>
            </w:r>
            <w:proofErr w:type="spellEnd"/>
            <w:r w:rsidRPr="00A82B11">
              <w:rPr>
                <w:bCs/>
                <w:sz w:val="20"/>
                <w:szCs w:val="20"/>
              </w:rPr>
              <w:t xml:space="preserve"> 201</w:t>
            </w:r>
            <w:r w:rsidR="007A29E5" w:rsidRPr="00A82B11">
              <w:rPr>
                <w:bCs/>
                <w:sz w:val="20"/>
                <w:szCs w:val="20"/>
                <w:lang w:val="sr-Cyrl-RS"/>
              </w:rPr>
              <w:t>9</w:t>
            </w:r>
            <w:r w:rsidRPr="00A82B11">
              <w:rPr>
                <w:bCs/>
                <w:sz w:val="20"/>
                <w:szCs w:val="20"/>
              </w:rPr>
              <w:t>.</w:t>
            </w:r>
          </w:p>
        </w:tc>
        <w:tc>
          <w:tcPr>
            <w:tcW w:w="1134" w:type="dxa"/>
            <w:shd w:val="clear" w:color="auto" w:fill="auto"/>
            <w:vAlign w:val="center"/>
            <w:hideMark/>
          </w:tcPr>
          <w:p w14:paraId="0CDBEBF3" w14:textId="77777777" w:rsidR="00326B1C" w:rsidRPr="00A82B11" w:rsidRDefault="00326B1C" w:rsidP="0032157D">
            <w:pPr>
              <w:jc w:val="center"/>
              <w:rPr>
                <w:bCs/>
                <w:sz w:val="20"/>
                <w:szCs w:val="20"/>
              </w:rPr>
            </w:pPr>
            <w:proofErr w:type="spellStart"/>
            <w:r w:rsidRPr="00A82B11">
              <w:rPr>
                <w:bCs/>
                <w:sz w:val="20"/>
                <w:szCs w:val="20"/>
              </w:rPr>
              <w:t>План</w:t>
            </w:r>
            <w:proofErr w:type="spellEnd"/>
            <w:r w:rsidRPr="00A82B11">
              <w:rPr>
                <w:bCs/>
                <w:sz w:val="20"/>
                <w:szCs w:val="20"/>
              </w:rPr>
              <w:t xml:space="preserve"> </w:t>
            </w:r>
            <w:r w:rsidR="00833C1B" w:rsidRPr="00A82B11">
              <w:rPr>
                <w:bCs/>
                <w:sz w:val="20"/>
                <w:szCs w:val="20"/>
              </w:rPr>
              <w:t>2020</w:t>
            </w:r>
            <w:r w:rsidRPr="00A82B11">
              <w:rPr>
                <w:bCs/>
                <w:sz w:val="20"/>
                <w:szCs w:val="20"/>
              </w:rPr>
              <w:t>.</w:t>
            </w:r>
          </w:p>
        </w:tc>
        <w:tc>
          <w:tcPr>
            <w:tcW w:w="1134" w:type="dxa"/>
            <w:shd w:val="clear" w:color="auto" w:fill="auto"/>
            <w:vAlign w:val="center"/>
            <w:hideMark/>
          </w:tcPr>
          <w:p w14:paraId="6BF77A6E" w14:textId="77777777" w:rsidR="00326B1C" w:rsidRPr="00A82B11" w:rsidRDefault="00BD4EE0" w:rsidP="00C1471F">
            <w:pPr>
              <w:jc w:val="center"/>
              <w:rPr>
                <w:bCs/>
                <w:sz w:val="20"/>
                <w:szCs w:val="20"/>
              </w:rPr>
            </w:pPr>
            <w:proofErr w:type="spellStart"/>
            <w:r w:rsidRPr="00A82B11">
              <w:rPr>
                <w:bCs/>
                <w:sz w:val="20"/>
                <w:szCs w:val="20"/>
                <w:lang w:val="sr-Cyrl-RS"/>
              </w:rPr>
              <w:t>Проје</w:t>
            </w:r>
            <w:r w:rsidR="00C1471F" w:rsidRPr="00A82B11">
              <w:rPr>
                <w:bCs/>
                <w:sz w:val="20"/>
                <w:szCs w:val="20"/>
                <w:lang w:val="sr-Cyrl-RS"/>
              </w:rPr>
              <w:t>кц</w:t>
            </w:r>
            <w:proofErr w:type="spellEnd"/>
            <w:r w:rsidR="00C1471F" w:rsidRPr="00A82B11">
              <w:rPr>
                <w:bCs/>
                <w:sz w:val="20"/>
                <w:szCs w:val="20"/>
                <w:lang w:val="sr-Cyrl-RS"/>
              </w:rPr>
              <w:t>.</w:t>
            </w:r>
            <w:r w:rsidRPr="00A82B11">
              <w:rPr>
                <w:bCs/>
                <w:sz w:val="20"/>
                <w:szCs w:val="20"/>
                <w:lang w:val="sr-Cyrl-RS"/>
              </w:rPr>
              <w:t xml:space="preserve"> </w:t>
            </w:r>
            <w:r w:rsidR="00326B1C" w:rsidRPr="00A82B11">
              <w:rPr>
                <w:bCs/>
                <w:sz w:val="20"/>
                <w:szCs w:val="20"/>
              </w:rPr>
              <w:t xml:space="preserve">  </w:t>
            </w:r>
            <w:r w:rsidR="0064553E" w:rsidRPr="00A82B11">
              <w:rPr>
                <w:bCs/>
                <w:sz w:val="20"/>
                <w:szCs w:val="20"/>
              </w:rPr>
              <w:t>2021</w:t>
            </w:r>
            <w:r w:rsidR="00326B1C" w:rsidRPr="00A82B11">
              <w:rPr>
                <w:bCs/>
                <w:sz w:val="20"/>
                <w:szCs w:val="20"/>
              </w:rPr>
              <w:t>.</w:t>
            </w:r>
          </w:p>
        </w:tc>
        <w:tc>
          <w:tcPr>
            <w:tcW w:w="1134" w:type="dxa"/>
            <w:shd w:val="clear" w:color="auto" w:fill="auto"/>
            <w:vAlign w:val="center"/>
            <w:hideMark/>
          </w:tcPr>
          <w:p w14:paraId="1020ADCC" w14:textId="77777777" w:rsidR="00326B1C" w:rsidRPr="00A82B11" w:rsidRDefault="00326B1C" w:rsidP="0032157D">
            <w:pPr>
              <w:jc w:val="center"/>
              <w:rPr>
                <w:bCs/>
                <w:sz w:val="20"/>
                <w:szCs w:val="20"/>
              </w:rPr>
            </w:pPr>
            <w:proofErr w:type="spellStart"/>
            <w:r w:rsidRPr="00A82B11">
              <w:rPr>
                <w:bCs/>
                <w:sz w:val="20"/>
                <w:szCs w:val="20"/>
              </w:rPr>
              <w:t>Пројек</w:t>
            </w:r>
            <w:proofErr w:type="spellEnd"/>
            <w:r w:rsidR="00C1471F" w:rsidRPr="00A82B11">
              <w:rPr>
                <w:bCs/>
                <w:sz w:val="20"/>
                <w:szCs w:val="20"/>
                <w:lang w:val="sr-Cyrl-RS"/>
              </w:rPr>
              <w:t>ц.</w:t>
            </w:r>
            <w:r w:rsidRPr="00A82B11">
              <w:rPr>
                <w:bCs/>
                <w:sz w:val="20"/>
                <w:szCs w:val="20"/>
              </w:rPr>
              <w:t xml:space="preserve"> </w:t>
            </w:r>
            <w:r w:rsidR="0064553E" w:rsidRPr="00A82B11">
              <w:rPr>
                <w:bCs/>
                <w:sz w:val="20"/>
                <w:szCs w:val="20"/>
              </w:rPr>
              <w:t>2022</w:t>
            </w:r>
            <w:r w:rsidRPr="00A82B11">
              <w:rPr>
                <w:bCs/>
                <w:sz w:val="20"/>
                <w:szCs w:val="20"/>
              </w:rPr>
              <w:t>.</w:t>
            </w:r>
          </w:p>
        </w:tc>
        <w:tc>
          <w:tcPr>
            <w:tcW w:w="1276" w:type="dxa"/>
            <w:shd w:val="clear" w:color="auto" w:fill="auto"/>
            <w:vAlign w:val="center"/>
            <w:hideMark/>
          </w:tcPr>
          <w:p w14:paraId="50B82ADF" w14:textId="77777777" w:rsidR="00326B1C" w:rsidRPr="00A82B11" w:rsidRDefault="00326B1C" w:rsidP="0032157D">
            <w:pPr>
              <w:jc w:val="center"/>
              <w:rPr>
                <w:bCs/>
                <w:sz w:val="20"/>
                <w:szCs w:val="20"/>
              </w:rPr>
            </w:pPr>
            <w:proofErr w:type="spellStart"/>
            <w:r w:rsidRPr="00A82B11">
              <w:rPr>
                <w:bCs/>
                <w:sz w:val="20"/>
                <w:szCs w:val="20"/>
              </w:rPr>
              <w:t>Пројекц</w:t>
            </w:r>
            <w:proofErr w:type="spellEnd"/>
            <w:r w:rsidR="00C1471F" w:rsidRPr="00A82B11">
              <w:rPr>
                <w:bCs/>
                <w:sz w:val="20"/>
                <w:szCs w:val="20"/>
                <w:lang w:val="sr-Cyrl-RS"/>
              </w:rPr>
              <w:t>.</w:t>
            </w:r>
            <w:r w:rsidR="00BD4EE0" w:rsidRPr="00A82B11">
              <w:rPr>
                <w:bCs/>
                <w:sz w:val="20"/>
                <w:szCs w:val="20"/>
                <w:lang w:val="sr-Cyrl-RS"/>
              </w:rPr>
              <w:t xml:space="preserve"> </w:t>
            </w:r>
            <w:r w:rsidR="0064553E" w:rsidRPr="00A82B11">
              <w:rPr>
                <w:bCs/>
                <w:sz w:val="20"/>
                <w:szCs w:val="20"/>
              </w:rPr>
              <w:t>2023</w:t>
            </w:r>
            <w:r w:rsidRPr="00A82B11">
              <w:rPr>
                <w:bCs/>
                <w:sz w:val="20"/>
                <w:szCs w:val="20"/>
              </w:rPr>
              <w:t>.</w:t>
            </w:r>
          </w:p>
        </w:tc>
      </w:tr>
      <w:tr w:rsidR="00326B1C" w:rsidRPr="00A82B11" w14:paraId="734DC79A" w14:textId="77777777" w:rsidTr="00A74F80">
        <w:trPr>
          <w:trHeight w:val="301"/>
        </w:trPr>
        <w:tc>
          <w:tcPr>
            <w:tcW w:w="4106" w:type="dxa"/>
            <w:gridSpan w:val="2"/>
            <w:shd w:val="clear" w:color="auto" w:fill="C6D9F1" w:themeFill="text2" w:themeFillTint="33"/>
            <w:noWrap/>
            <w:hideMark/>
          </w:tcPr>
          <w:p w14:paraId="09FF24B8" w14:textId="77777777" w:rsidR="00326B1C" w:rsidRPr="00A82B11" w:rsidRDefault="00326B1C" w:rsidP="0032157D">
            <w:pPr>
              <w:rPr>
                <w:bCs/>
                <w:sz w:val="20"/>
                <w:szCs w:val="20"/>
              </w:rPr>
            </w:pPr>
            <w:r w:rsidRPr="00A82B11">
              <w:rPr>
                <w:bCs/>
                <w:sz w:val="20"/>
                <w:szCs w:val="20"/>
              </w:rPr>
              <w:t>РАСХОДИ</w:t>
            </w:r>
          </w:p>
        </w:tc>
        <w:tc>
          <w:tcPr>
            <w:tcW w:w="1134" w:type="dxa"/>
            <w:shd w:val="clear" w:color="auto" w:fill="C6D9F1" w:themeFill="text2" w:themeFillTint="33"/>
            <w:noWrap/>
          </w:tcPr>
          <w:p w14:paraId="1C3065C9" w14:textId="77777777" w:rsidR="00326B1C" w:rsidRPr="00A82B11" w:rsidRDefault="00326B1C" w:rsidP="0032157D">
            <w:pPr>
              <w:jc w:val="right"/>
              <w:rPr>
                <w:bCs/>
                <w:sz w:val="20"/>
                <w:szCs w:val="20"/>
              </w:rPr>
            </w:pPr>
          </w:p>
        </w:tc>
        <w:tc>
          <w:tcPr>
            <w:tcW w:w="1134" w:type="dxa"/>
            <w:shd w:val="clear" w:color="auto" w:fill="C6D9F1" w:themeFill="text2" w:themeFillTint="33"/>
            <w:noWrap/>
          </w:tcPr>
          <w:p w14:paraId="07BD99AE" w14:textId="77777777" w:rsidR="00326B1C" w:rsidRPr="00A82B11" w:rsidRDefault="00326B1C" w:rsidP="0032157D">
            <w:pPr>
              <w:jc w:val="right"/>
              <w:rPr>
                <w:bCs/>
                <w:sz w:val="20"/>
                <w:szCs w:val="20"/>
              </w:rPr>
            </w:pPr>
          </w:p>
        </w:tc>
        <w:tc>
          <w:tcPr>
            <w:tcW w:w="1134" w:type="dxa"/>
            <w:shd w:val="clear" w:color="auto" w:fill="C6D9F1" w:themeFill="text2" w:themeFillTint="33"/>
            <w:noWrap/>
          </w:tcPr>
          <w:p w14:paraId="0FBD4A88" w14:textId="77777777" w:rsidR="00326B1C" w:rsidRPr="00A82B11" w:rsidRDefault="00326B1C" w:rsidP="0032157D">
            <w:pPr>
              <w:jc w:val="right"/>
              <w:rPr>
                <w:bCs/>
                <w:sz w:val="20"/>
                <w:szCs w:val="20"/>
              </w:rPr>
            </w:pPr>
          </w:p>
        </w:tc>
        <w:tc>
          <w:tcPr>
            <w:tcW w:w="1134" w:type="dxa"/>
            <w:shd w:val="clear" w:color="auto" w:fill="C6D9F1" w:themeFill="text2" w:themeFillTint="33"/>
            <w:noWrap/>
          </w:tcPr>
          <w:p w14:paraId="6BE0FE39" w14:textId="77777777" w:rsidR="00326B1C" w:rsidRPr="00A82B11" w:rsidRDefault="00326B1C" w:rsidP="0032157D">
            <w:pPr>
              <w:jc w:val="right"/>
              <w:rPr>
                <w:bCs/>
                <w:sz w:val="20"/>
                <w:szCs w:val="20"/>
              </w:rPr>
            </w:pPr>
          </w:p>
        </w:tc>
        <w:tc>
          <w:tcPr>
            <w:tcW w:w="1276" w:type="dxa"/>
            <w:shd w:val="clear" w:color="auto" w:fill="C6D9F1" w:themeFill="text2" w:themeFillTint="33"/>
            <w:noWrap/>
          </w:tcPr>
          <w:p w14:paraId="3185C11A" w14:textId="77777777" w:rsidR="00326B1C" w:rsidRPr="00A82B11" w:rsidRDefault="00326B1C" w:rsidP="0032157D">
            <w:pPr>
              <w:jc w:val="right"/>
              <w:rPr>
                <w:bCs/>
                <w:sz w:val="20"/>
                <w:szCs w:val="20"/>
              </w:rPr>
            </w:pPr>
          </w:p>
        </w:tc>
      </w:tr>
      <w:tr w:rsidR="00326B1C" w:rsidRPr="00A82B11" w14:paraId="4242A671" w14:textId="77777777" w:rsidTr="00A74F80">
        <w:trPr>
          <w:trHeight w:val="301"/>
        </w:trPr>
        <w:tc>
          <w:tcPr>
            <w:tcW w:w="726" w:type="dxa"/>
            <w:noWrap/>
            <w:hideMark/>
          </w:tcPr>
          <w:p w14:paraId="09EF51E4" w14:textId="77777777" w:rsidR="00326B1C" w:rsidRPr="00A82B11" w:rsidRDefault="00326B1C" w:rsidP="0032157D">
            <w:pPr>
              <w:rPr>
                <w:bCs/>
                <w:sz w:val="20"/>
                <w:szCs w:val="20"/>
              </w:rPr>
            </w:pPr>
            <w:r w:rsidRPr="00A82B11">
              <w:rPr>
                <w:bCs/>
                <w:sz w:val="20"/>
                <w:szCs w:val="20"/>
              </w:rPr>
              <w:t>41</w:t>
            </w:r>
          </w:p>
        </w:tc>
        <w:tc>
          <w:tcPr>
            <w:tcW w:w="3380" w:type="dxa"/>
            <w:noWrap/>
            <w:hideMark/>
          </w:tcPr>
          <w:p w14:paraId="3D253D84" w14:textId="77777777" w:rsidR="00326B1C" w:rsidRPr="00A82B11" w:rsidRDefault="00326B1C" w:rsidP="0032157D">
            <w:pPr>
              <w:rPr>
                <w:bCs/>
                <w:sz w:val="20"/>
                <w:szCs w:val="20"/>
              </w:rPr>
            </w:pPr>
            <w:proofErr w:type="spellStart"/>
            <w:r w:rsidRPr="00A82B11">
              <w:rPr>
                <w:bCs/>
                <w:sz w:val="20"/>
                <w:szCs w:val="20"/>
              </w:rPr>
              <w:t>Текући</w:t>
            </w:r>
            <w:proofErr w:type="spellEnd"/>
            <w:r w:rsidRPr="00A82B11">
              <w:rPr>
                <w:bCs/>
                <w:sz w:val="20"/>
                <w:szCs w:val="20"/>
              </w:rPr>
              <w:t xml:space="preserve"> </w:t>
            </w:r>
            <w:proofErr w:type="spellStart"/>
            <w:r w:rsidRPr="00A82B11">
              <w:rPr>
                <w:bCs/>
                <w:sz w:val="20"/>
                <w:szCs w:val="20"/>
              </w:rPr>
              <w:t>расходи</w:t>
            </w:r>
            <w:proofErr w:type="spellEnd"/>
          </w:p>
        </w:tc>
        <w:tc>
          <w:tcPr>
            <w:tcW w:w="1134" w:type="dxa"/>
            <w:noWrap/>
          </w:tcPr>
          <w:p w14:paraId="58B5D8CD" w14:textId="77777777" w:rsidR="00326B1C" w:rsidRPr="00A82B11" w:rsidRDefault="00A34650" w:rsidP="0032157D">
            <w:pPr>
              <w:jc w:val="right"/>
              <w:rPr>
                <w:bCs/>
                <w:sz w:val="20"/>
                <w:szCs w:val="20"/>
                <w:lang w:val="en-US"/>
              </w:rPr>
            </w:pPr>
            <w:r w:rsidRPr="00A82B11">
              <w:rPr>
                <w:bCs/>
                <w:sz w:val="20"/>
                <w:szCs w:val="20"/>
                <w:lang w:val="en-US"/>
              </w:rPr>
              <w:t>553,5</w:t>
            </w:r>
          </w:p>
        </w:tc>
        <w:tc>
          <w:tcPr>
            <w:tcW w:w="1134" w:type="dxa"/>
            <w:noWrap/>
          </w:tcPr>
          <w:p w14:paraId="534B273C" w14:textId="77777777" w:rsidR="00326B1C" w:rsidRPr="00A82B11" w:rsidRDefault="00CD4406" w:rsidP="0032157D">
            <w:pPr>
              <w:jc w:val="right"/>
              <w:rPr>
                <w:bCs/>
                <w:sz w:val="20"/>
                <w:szCs w:val="20"/>
                <w:lang w:val="en-US"/>
              </w:rPr>
            </w:pPr>
            <w:r w:rsidRPr="00A82B11">
              <w:rPr>
                <w:bCs/>
                <w:sz w:val="20"/>
                <w:szCs w:val="20"/>
                <w:lang w:val="en-US"/>
              </w:rPr>
              <w:t>599,6</w:t>
            </w:r>
          </w:p>
        </w:tc>
        <w:tc>
          <w:tcPr>
            <w:tcW w:w="1134" w:type="dxa"/>
            <w:noWrap/>
          </w:tcPr>
          <w:p w14:paraId="052CFED2" w14:textId="77777777" w:rsidR="00326B1C" w:rsidRPr="00A82B11" w:rsidRDefault="00456080" w:rsidP="0032157D">
            <w:pPr>
              <w:jc w:val="right"/>
              <w:rPr>
                <w:bCs/>
                <w:sz w:val="20"/>
                <w:szCs w:val="20"/>
                <w:lang w:val="en-US"/>
              </w:rPr>
            </w:pPr>
            <w:r w:rsidRPr="00A82B11">
              <w:rPr>
                <w:bCs/>
                <w:sz w:val="20"/>
                <w:szCs w:val="20"/>
                <w:lang w:val="en-US"/>
              </w:rPr>
              <w:t>579,2</w:t>
            </w:r>
          </w:p>
        </w:tc>
        <w:tc>
          <w:tcPr>
            <w:tcW w:w="1134" w:type="dxa"/>
            <w:noWrap/>
          </w:tcPr>
          <w:p w14:paraId="2A385F7C" w14:textId="77777777" w:rsidR="00326B1C" w:rsidRPr="00A82B11" w:rsidRDefault="00B65496" w:rsidP="0032157D">
            <w:pPr>
              <w:jc w:val="right"/>
              <w:rPr>
                <w:bCs/>
                <w:sz w:val="20"/>
                <w:szCs w:val="20"/>
                <w:lang w:val="en-US"/>
              </w:rPr>
            </w:pPr>
            <w:r w:rsidRPr="00A82B11">
              <w:rPr>
                <w:bCs/>
                <w:sz w:val="20"/>
                <w:szCs w:val="20"/>
                <w:lang w:val="en-US"/>
              </w:rPr>
              <w:t>577,5</w:t>
            </w:r>
          </w:p>
        </w:tc>
        <w:tc>
          <w:tcPr>
            <w:tcW w:w="1276" w:type="dxa"/>
            <w:noWrap/>
          </w:tcPr>
          <w:p w14:paraId="4FB3DD6E" w14:textId="77777777" w:rsidR="00326B1C" w:rsidRPr="00A82B11" w:rsidRDefault="005910E1" w:rsidP="0032157D">
            <w:pPr>
              <w:jc w:val="right"/>
              <w:rPr>
                <w:bCs/>
                <w:sz w:val="20"/>
                <w:szCs w:val="20"/>
                <w:lang w:val="en-US"/>
              </w:rPr>
            </w:pPr>
            <w:r w:rsidRPr="00A82B11">
              <w:rPr>
                <w:bCs/>
                <w:sz w:val="20"/>
                <w:szCs w:val="20"/>
                <w:lang w:val="en-US"/>
              </w:rPr>
              <w:t>577,7</w:t>
            </w:r>
          </w:p>
        </w:tc>
      </w:tr>
      <w:tr w:rsidR="00326B1C" w:rsidRPr="00A82B11" w14:paraId="1DC9E96A" w14:textId="77777777" w:rsidTr="00A74F80">
        <w:trPr>
          <w:trHeight w:val="373"/>
        </w:trPr>
        <w:tc>
          <w:tcPr>
            <w:tcW w:w="726" w:type="dxa"/>
            <w:noWrap/>
            <w:hideMark/>
          </w:tcPr>
          <w:p w14:paraId="11F822F5" w14:textId="77777777" w:rsidR="00326B1C" w:rsidRPr="00A82B11" w:rsidRDefault="00326B1C" w:rsidP="0032157D">
            <w:pPr>
              <w:rPr>
                <w:bCs/>
                <w:sz w:val="20"/>
                <w:szCs w:val="20"/>
              </w:rPr>
            </w:pPr>
            <w:r w:rsidRPr="00A82B11">
              <w:rPr>
                <w:bCs/>
                <w:sz w:val="20"/>
                <w:szCs w:val="20"/>
              </w:rPr>
              <w:t>48</w:t>
            </w:r>
          </w:p>
        </w:tc>
        <w:tc>
          <w:tcPr>
            <w:tcW w:w="3380" w:type="dxa"/>
            <w:noWrap/>
            <w:hideMark/>
          </w:tcPr>
          <w:p w14:paraId="7761C5AD" w14:textId="77777777" w:rsidR="00326B1C" w:rsidRPr="00A82B11" w:rsidRDefault="00326B1C" w:rsidP="0032157D">
            <w:pPr>
              <w:rPr>
                <w:bCs/>
                <w:sz w:val="20"/>
                <w:szCs w:val="20"/>
              </w:rPr>
            </w:pPr>
            <w:proofErr w:type="spellStart"/>
            <w:r w:rsidRPr="00A82B11">
              <w:rPr>
                <w:bCs/>
                <w:sz w:val="20"/>
                <w:szCs w:val="20"/>
              </w:rPr>
              <w:t>Трансфери</w:t>
            </w:r>
            <w:proofErr w:type="spellEnd"/>
            <w:r w:rsidRPr="00A82B11">
              <w:rPr>
                <w:bCs/>
                <w:sz w:val="20"/>
                <w:szCs w:val="20"/>
              </w:rPr>
              <w:t xml:space="preserve"> </w:t>
            </w:r>
            <w:proofErr w:type="spellStart"/>
            <w:r w:rsidRPr="00A82B11">
              <w:rPr>
                <w:bCs/>
                <w:sz w:val="20"/>
                <w:szCs w:val="20"/>
              </w:rPr>
              <w:t>између</w:t>
            </w:r>
            <w:proofErr w:type="spellEnd"/>
            <w:r w:rsidRPr="00A82B11">
              <w:rPr>
                <w:bCs/>
                <w:sz w:val="20"/>
                <w:szCs w:val="20"/>
              </w:rPr>
              <w:t xml:space="preserve"> </w:t>
            </w:r>
            <w:proofErr w:type="spellStart"/>
            <w:r w:rsidRPr="00A82B11">
              <w:rPr>
                <w:bCs/>
                <w:sz w:val="20"/>
                <w:szCs w:val="20"/>
              </w:rPr>
              <w:t>или</w:t>
            </w:r>
            <w:proofErr w:type="spellEnd"/>
            <w:r w:rsidRPr="00A82B11">
              <w:rPr>
                <w:bCs/>
                <w:sz w:val="20"/>
                <w:szCs w:val="20"/>
              </w:rPr>
              <w:t xml:space="preserve"> </w:t>
            </w:r>
            <w:proofErr w:type="spellStart"/>
            <w:r w:rsidRPr="00A82B11">
              <w:rPr>
                <w:bCs/>
                <w:sz w:val="20"/>
                <w:szCs w:val="20"/>
              </w:rPr>
              <w:t>унутар</w:t>
            </w:r>
            <w:proofErr w:type="spellEnd"/>
            <w:r w:rsidRPr="00A82B11">
              <w:rPr>
                <w:bCs/>
                <w:sz w:val="20"/>
                <w:szCs w:val="20"/>
              </w:rPr>
              <w:t xml:space="preserve"> </w:t>
            </w:r>
            <w:proofErr w:type="spellStart"/>
            <w:r w:rsidRPr="00A82B11">
              <w:rPr>
                <w:bCs/>
                <w:sz w:val="20"/>
                <w:szCs w:val="20"/>
              </w:rPr>
              <w:t>јединица</w:t>
            </w:r>
            <w:proofErr w:type="spellEnd"/>
            <w:r w:rsidRPr="00A82B11">
              <w:rPr>
                <w:bCs/>
                <w:sz w:val="20"/>
                <w:szCs w:val="20"/>
              </w:rPr>
              <w:t xml:space="preserve"> </w:t>
            </w:r>
            <w:proofErr w:type="spellStart"/>
            <w:r w:rsidRPr="00A82B11">
              <w:rPr>
                <w:bCs/>
                <w:sz w:val="20"/>
                <w:szCs w:val="20"/>
              </w:rPr>
              <w:t>власти</w:t>
            </w:r>
            <w:proofErr w:type="spellEnd"/>
          </w:p>
        </w:tc>
        <w:tc>
          <w:tcPr>
            <w:tcW w:w="1134" w:type="dxa"/>
            <w:noWrap/>
          </w:tcPr>
          <w:p w14:paraId="7CE97248" w14:textId="77777777" w:rsidR="00326B1C" w:rsidRPr="00A82B11" w:rsidRDefault="00A34650" w:rsidP="0032157D">
            <w:pPr>
              <w:jc w:val="right"/>
              <w:rPr>
                <w:bCs/>
                <w:sz w:val="20"/>
                <w:szCs w:val="20"/>
                <w:lang w:val="en-US"/>
              </w:rPr>
            </w:pPr>
            <w:r w:rsidRPr="00A82B11">
              <w:rPr>
                <w:bCs/>
                <w:sz w:val="20"/>
                <w:szCs w:val="20"/>
                <w:lang w:val="en-US"/>
              </w:rPr>
              <w:t>8,1</w:t>
            </w:r>
          </w:p>
        </w:tc>
        <w:tc>
          <w:tcPr>
            <w:tcW w:w="1134" w:type="dxa"/>
            <w:noWrap/>
          </w:tcPr>
          <w:p w14:paraId="22D23EDA" w14:textId="77777777" w:rsidR="00326B1C" w:rsidRPr="00A82B11" w:rsidRDefault="00CD4406" w:rsidP="0032157D">
            <w:pPr>
              <w:jc w:val="right"/>
              <w:rPr>
                <w:bCs/>
                <w:sz w:val="20"/>
                <w:szCs w:val="20"/>
                <w:lang w:val="en-US"/>
              </w:rPr>
            </w:pPr>
            <w:r w:rsidRPr="00A82B11">
              <w:rPr>
                <w:bCs/>
                <w:sz w:val="20"/>
                <w:szCs w:val="20"/>
                <w:lang w:val="en-US"/>
              </w:rPr>
              <w:t>6,6</w:t>
            </w:r>
          </w:p>
        </w:tc>
        <w:tc>
          <w:tcPr>
            <w:tcW w:w="1134" w:type="dxa"/>
            <w:noWrap/>
          </w:tcPr>
          <w:p w14:paraId="76C1ED0F" w14:textId="77777777" w:rsidR="00326B1C" w:rsidRPr="00A82B11" w:rsidRDefault="00456080" w:rsidP="0032157D">
            <w:pPr>
              <w:jc w:val="right"/>
              <w:rPr>
                <w:bCs/>
                <w:sz w:val="20"/>
                <w:szCs w:val="20"/>
                <w:lang w:val="en-US"/>
              </w:rPr>
            </w:pPr>
            <w:r w:rsidRPr="00A82B11">
              <w:rPr>
                <w:bCs/>
                <w:sz w:val="20"/>
                <w:szCs w:val="20"/>
                <w:lang w:val="en-US"/>
              </w:rPr>
              <w:t>6,9</w:t>
            </w:r>
          </w:p>
        </w:tc>
        <w:tc>
          <w:tcPr>
            <w:tcW w:w="1134" w:type="dxa"/>
            <w:noWrap/>
          </w:tcPr>
          <w:p w14:paraId="08B05DAD" w14:textId="77777777" w:rsidR="00326B1C" w:rsidRPr="00A82B11" w:rsidRDefault="00B65496" w:rsidP="0032157D">
            <w:pPr>
              <w:jc w:val="right"/>
              <w:rPr>
                <w:bCs/>
                <w:sz w:val="20"/>
                <w:szCs w:val="20"/>
                <w:lang w:val="en-US"/>
              </w:rPr>
            </w:pPr>
            <w:r w:rsidRPr="00A82B11">
              <w:rPr>
                <w:bCs/>
                <w:sz w:val="20"/>
                <w:szCs w:val="20"/>
                <w:lang w:val="en-US"/>
              </w:rPr>
              <w:t>6,9</w:t>
            </w:r>
          </w:p>
        </w:tc>
        <w:tc>
          <w:tcPr>
            <w:tcW w:w="1276" w:type="dxa"/>
            <w:noWrap/>
          </w:tcPr>
          <w:p w14:paraId="710667D2" w14:textId="77777777" w:rsidR="00326B1C" w:rsidRPr="00A82B11" w:rsidRDefault="005910E1" w:rsidP="0032157D">
            <w:pPr>
              <w:jc w:val="right"/>
              <w:rPr>
                <w:bCs/>
                <w:sz w:val="20"/>
                <w:szCs w:val="20"/>
                <w:lang w:val="en-US"/>
              </w:rPr>
            </w:pPr>
            <w:r w:rsidRPr="00A82B11">
              <w:rPr>
                <w:bCs/>
                <w:sz w:val="20"/>
                <w:szCs w:val="20"/>
                <w:lang w:val="en-US"/>
              </w:rPr>
              <w:t>6,9</w:t>
            </w:r>
          </w:p>
        </w:tc>
      </w:tr>
      <w:tr w:rsidR="00326B1C" w:rsidRPr="00A82B11" w14:paraId="7F7A921C" w14:textId="77777777" w:rsidTr="00A74F80">
        <w:trPr>
          <w:trHeight w:val="56"/>
        </w:trPr>
        <w:tc>
          <w:tcPr>
            <w:tcW w:w="726" w:type="dxa"/>
            <w:noWrap/>
            <w:hideMark/>
          </w:tcPr>
          <w:p w14:paraId="660C4060" w14:textId="77777777" w:rsidR="00326B1C" w:rsidRPr="00A82B11" w:rsidRDefault="00326B1C" w:rsidP="0032157D">
            <w:pPr>
              <w:rPr>
                <w:bCs/>
                <w:sz w:val="20"/>
                <w:szCs w:val="20"/>
              </w:rPr>
            </w:pPr>
            <w:r w:rsidRPr="00A82B11">
              <w:rPr>
                <w:bCs/>
                <w:sz w:val="20"/>
                <w:szCs w:val="20"/>
              </w:rPr>
              <w:t> </w:t>
            </w:r>
          </w:p>
        </w:tc>
        <w:tc>
          <w:tcPr>
            <w:tcW w:w="3380" w:type="dxa"/>
            <w:noWrap/>
            <w:hideMark/>
          </w:tcPr>
          <w:p w14:paraId="7F0E9DE7" w14:textId="77777777" w:rsidR="00326B1C" w:rsidRPr="00A82B11" w:rsidRDefault="00326B1C" w:rsidP="0032157D">
            <w:pPr>
              <w:rPr>
                <w:bCs/>
                <w:sz w:val="20"/>
                <w:szCs w:val="20"/>
              </w:rPr>
            </w:pPr>
            <w:proofErr w:type="spellStart"/>
            <w:r w:rsidRPr="00A82B11">
              <w:rPr>
                <w:bCs/>
                <w:sz w:val="20"/>
                <w:szCs w:val="20"/>
              </w:rPr>
              <w:t>Буџетска</w:t>
            </w:r>
            <w:proofErr w:type="spellEnd"/>
            <w:r w:rsidRPr="00A82B11">
              <w:rPr>
                <w:bCs/>
                <w:sz w:val="20"/>
                <w:szCs w:val="20"/>
              </w:rPr>
              <w:t xml:space="preserve"> </w:t>
            </w:r>
            <w:proofErr w:type="spellStart"/>
            <w:r w:rsidRPr="00A82B11">
              <w:rPr>
                <w:bCs/>
                <w:sz w:val="20"/>
                <w:szCs w:val="20"/>
              </w:rPr>
              <w:t>резерва</w:t>
            </w:r>
            <w:proofErr w:type="spellEnd"/>
          </w:p>
        </w:tc>
        <w:tc>
          <w:tcPr>
            <w:tcW w:w="1134" w:type="dxa"/>
            <w:noWrap/>
          </w:tcPr>
          <w:p w14:paraId="6ECCB0DC" w14:textId="77777777" w:rsidR="00326B1C" w:rsidRPr="00A82B11" w:rsidRDefault="00326B1C" w:rsidP="0032157D">
            <w:pPr>
              <w:jc w:val="right"/>
              <w:rPr>
                <w:bCs/>
                <w:sz w:val="20"/>
                <w:szCs w:val="20"/>
                <w:lang w:val="sr-Cyrl-RS"/>
              </w:rPr>
            </w:pPr>
            <w:r w:rsidRPr="00A82B11">
              <w:rPr>
                <w:bCs/>
                <w:sz w:val="20"/>
                <w:szCs w:val="20"/>
                <w:lang w:val="sr-Cyrl-RS"/>
              </w:rPr>
              <w:t>0</w:t>
            </w:r>
          </w:p>
        </w:tc>
        <w:tc>
          <w:tcPr>
            <w:tcW w:w="1134" w:type="dxa"/>
            <w:noWrap/>
          </w:tcPr>
          <w:p w14:paraId="3DA9D132" w14:textId="77777777" w:rsidR="00326B1C" w:rsidRPr="00A82B11" w:rsidRDefault="00CD4406" w:rsidP="0032157D">
            <w:pPr>
              <w:jc w:val="right"/>
              <w:rPr>
                <w:bCs/>
                <w:sz w:val="20"/>
                <w:szCs w:val="20"/>
                <w:lang w:val="en-US"/>
              </w:rPr>
            </w:pPr>
            <w:r w:rsidRPr="00A82B11">
              <w:rPr>
                <w:bCs/>
                <w:sz w:val="20"/>
                <w:szCs w:val="20"/>
                <w:lang w:val="en-US"/>
              </w:rPr>
              <w:t>5,0</w:t>
            </w:r>
          </w:p>
        </w:tc>
        <w:tc>
          <w:tcPr>
            <w:tcW w:w="1134" w:type="dxa"/>
            <w:noWrap/>
          </w:tcPr>
          <w:p w14:paraId="36CB4CF2" w14:textId="77777777" w:rsidR="00326B1C" w:rsidRPr="00A82B11" w:rsidRDefault="00456080" w:rsidP="0032157D">
            <w:pPr>
              <w:jc w:val="right"/>
              <w:rPr>
                <w:bCs/>
                <w:sz w:val="20"/>
                <w:szCs w:val="20"/>
                <w:lang w:val="en-US"/>
              </w:rPr>
            </w:pPr>
            <w:r w:rsidRPr="00A82B11">
              <w:rPr>
                <w:bCs/>
                <w:sz w:val="20"/>
                <w:szCs w:val="20"/>
                <w:lang w:val="en-US"/>
              </w:rPr>
              <w:t>5,0</w:t>
            </w:r>
          </w:p>
        </w:tc>
        <w:tc>
          <w:tcPr>
            <w:tcW w:w="1134" w:type="dxa"/>
            <w:noWrap/>
          </w:tcPr>
          <w:p w14:paraId="3053BB54" w14:textId="77777777" w:rsidR="00326B1C" w:rsidRPr="00A82B11" w:rsidRDefault="00B65496" w:rsidP="0032157D">
            <w:pPr>
              <w:jc w:val="right"/>
              <w:rPr>
                <w:bCs/>
                <w:sz w:val="20"/>
                <w:szCs w:val="20"/>
                <w:lang w:val="en-US"/>
              </w:rPr>
            </w:pPr>
            <w:r w:rsidRPr="00A82B11">
              <w:rPr>
                <w:bCs/>
                <w:sz w:val="20"/>
                <w:szCs w:val="20"/>
                <w:lang w:val="en-US"/>
              </w:rPr>
              <w:t>5,0</w:t>
            </w:r>
          </w:p>
        </w:tc>
        <w:tc>
          <w:tcPr>
            <w:tcW w:w="1276" w:type="dxa"/>
            <w:noWrap/>
          </w:tcPr>
          <w:p w14:paraId="17465012" w14:textId="77777777" w:rsidR="00326B1C" w:rsidRPr="00A82B11" w:rsidRDefault="005910E1" w:rsidP="0032157D">
            <w:pPr>
              <w:jc w:val="right"/>
              <w:rPr>
                <w:bCs/>
                <w:sz w:val="20"/>
                <w:szCs w:val="20"/>
                <w:lang w:val="en-US"/>
              </w:rPr>
            </w:pPr>
            <w:r w:rsidRPr="00A82B11">
              <w:rPr>
                <w:bCs/>
                <w:sz w:val="20"/>
                <w:szCs w:val="20"/>
                <w:lang w:val="en-US"/>
              </w:rPr>
              <w:t>5,0</w:t>
            </w:r>
          </w:p>
        </w:tc>
      </w:tr>
      <w:tr w:rsidR="00326B1C" w:rsidRPr="00A82B11" w14:paraId="003D4718" w14:textId="77777777" w:rsidTr="00A74F80">
        <w:trPr>
          <w:trHeight w:val="222"/>
        </w:trPr>
        <w:tc>
          <w:tcPr>
            <w:tcW w:w="9918" w:type="dxa"/>
            <w:gridSpan w:val="7"/>
            <w:shd w:val="clear" w:color="auto" w:fill="B8CCE4" w:themeFill="accent1" w:themeFillTint="66"/>
            <w:noWrap/>
          </w:tcPr>
          <w:p w14:paraId="1C4438A1" w14:textId="77777777" w:rsidR="00326B1C" w:rsidRPr="00A82B11" w:rsidRDefault="00326B1C" w:rsidP="0032157D">
            <w:pPr>
              <w:tabs>
                <w:tab w:val="left" w:pos="7799"/>
              </w:tabs>
              <w:rPr>
                <w:sz w:val="20"/>
                <w:szCs w:val="20"/>
                <w:lang w:val="sr-Cyrl-RS"/>
              </w:rPr>
            </w:pPr>
            <w:r w:rsidRPr="00A82B11">
              <w:rPr>
                <w:sz w:val="20"/>
                <w:szCs w:val="20"/>
                <w:lang w:val="sr-Cyrl-RS"/>
              </w:rPr>
              <w:t>ИЗДАЦИ ЗА НЕФИНАНСИЈСКУ ИМОВИНУ</w:t>
            </w:r>
            <w:r w:rsidRPr="00A82B11">
              <w:rPr>
                <w:sz w:val="20"/>
                <w:szCs w:val="20"/>
                <w:lang w:val="sr-Cyrl-RS"/>
              </w:rPr>
              <w:tab/>
            </w:r>
          </w:p>
        </w:tc>
      </w:tr>
      <w:tr w:rsidR="00326B1C" w:rsidRPr="00A82B11" w14:paraId="2389F39E" w14:textId="77777777" w:rsidTr="00E9414A">
        <w:trPr>
          <w:trHeight w:val="223"/>
        </w:trPr>
        <w:tc>
          <w:tcPr>
            <w:tcW w:w="726" w:type="dxa"/>
            <w:noWrap/>
          </w:tcPr>
          <w:p w14:paraId="49DD0596" w14:textId="77777777" w:rsidR="00326B1C" w:rsidRPr="00A82B11" w:rsidRDefault="00326B1C" w:rsidP="0032157D">
            <w:pPr>
              <w:rPr>
                <w:sz w:val="20"/>
                <w:szCs w:val="20"/>
              </w:rPr>
            </w:pPr>
            <w:r w:rsidRPr="00A82B11">
              <w:rPr>
                <w:sz w:val="20"/>
                <w:szCs w:val="20"/>
              </w:rPr>
              <w:t>51</w:t>
            </w:r>
          </w:p>
        </w:tc>
        <w:tc>
          <w:tcPr>
            <w:tcW w:w="3380" w:type="dxa"/>
            <w:noWrap/>
          </w:tcPr>
          <w:p w14:paraId="3F2C293B" w14:textId="77777777" w:rsidR="00326B1C" w:rsidRPr="00A82B11" w:rsidRDefault="00326B1C" w:rsidP="0032157D">
            <w:pPr>
              <w:rPr>
                <w:sz w:val="20"/>
                <w:szCs w:val="20"/>
              </w:rPr>
            </w:pPr>
            <w:proofErr w:type="spellStart"/>
            <w:r w:rsidRPr="00A82B11">
              <w:rPr>
                <w:sz w:val="20"/>
                <w:szCs w:val="20"/>
              </w:rPr>
              <w:t>Издаци</w:t>
            </w:r>
            <w:proofErr w:type="spellEnd"/>
            <w:r w:rsidRPr="00A82B11">
              <w:rPr>
                <w:sz w:val="20"/>
                <w:szCs w:val="20"/>
              </w:rPr>
              <w:t xml:space="preserve"> </w:t>
            </w:r>
            <w:proofErr w:type="spellStart"/>
            <w:r w:rsidRPr="00A82B11">
              <w:rPr>
                <w:sz w:val="20"/>
                <w:szCs w:val="20"/>
              </w:rPr>
              <w:t>за</w:t>
            </w:r>
            <w:proofErr w:type="spellEnd"/>
            <w:r w:rsidRPr="00A82B11">
              <w:rPr>
                <w:sz w:val="20"/>
                <w:szCs w:val="20"/>
              </w:rPr>
              <w:t xml:space="preserve"> </w:t>
            </w:r>
            <w:proofErr w:type="spellStart"/>
            <w:r w:rsidRPr="00A82B11">
              <w:rPr>
                <w:sz w:val="20"/>
                <w:szCs w:val="20"/>
              </w:rPr>
              <w:t>нефинансијску</w:t>
            </w:r>
            <w:proofErr w:type="spellEnd"/>
            <w:r w:rsidRPr="00A82B11">
              <w:rPr>
                <w:sz w:val="20"/>
                <w:szCs w:val="20"/>
              </w:rPr>
              <w:t xml:space="preserve"> </w:t>
            </w:r>
            <w:proofErr w:type="spellStart"/>
            <w:r w:rsidRPr="00A82B11">
              <w:rPr>
                <w:sz w:val="20"/>
                <w:szCs w:val="20"/>
              </w:rPr>
              <w:t>имовину</w:t>
            </w:r>
            <w:proofErr w:type="spellEnd"/>
          </w:p>
        </w:tc>
        <w:tc>
          <w:tcPr>
            <w:tcW w:w="1134" w:type="dxa"/>
            <w:noWrap/>
          </w:tcPr>
          <w:p w14:paraId="1C368737" w14:textId="77777777" w:rsidR="00326B1C" w:rsidRPr="00A82B11" w:rsidRDefault="00A34650" w:rsidP="0032157D">
            <w:pPr>
              <w:jc w:val="right"/>
              <w:rPr>
                <w:sz w:val="20"/>
                <w:szCs w:val="20"/>
                <w:lang w:val="en-US"/>
              </w:rPr>
            </w:pPr>
            <w:r w:rsidRPr="00A82B11">
              <w:rPr>
                <w:sz w:val="20"/>
                <w:szCs w:val="20"/>
                <w:lang w:val="en-US"/>
              </w:rPr>
              <w:t>165,3</w:t>
            </w:r>
          </w:p>
        </w:tc>
        <w:tc>
          <w:tcPr>
            <w:tcW w:w="1134" w:type="dxa"/>
            <w:noWrap/>
          </w:tcPr>
          <w:p w14:paraId="72EE0718" w14:textId="77777777" w:rsidR="00326B1C" w:rsidRPr="00A82B11" w:rsidRDefault="00CD4406" w:rsidP="0032157D">
            <w:pPr>
              <w:jc w:val="right"/>
              <w:rPr>
                <w:sz w:val="20"/>
                <w:szCs w:val="20"/>
                <w:lang w:val="en-US"/>
              </w:rPr>
            </w:pPr>
            <w:r w:rsidRPr="00A82B11">
              <w:rPr>
                <w:sz w:val="20"/>
                <w:szCs w:val="20"/>
                <w:lang w:val="en-US"/>
              </w:rPr>
              <w:t>278,0</w:t>
            </w:r>
          </w:p>
        </w:tc>
        <w:tc>
          <w:tcPr>
            <w:tcW w:w="1134" w:type="dxa"/>
            <w:noWrap/>
          </w:tcPr>
          <w:p w14:paraId="309313D0" w14:textId="77777777" w:rsidR="00326B1C" w:rsidRPr="00A82B11" w:rsidRDefault="00456080" w:rsidP="0032157D">
            <w:pPr>
              <w:jc w:val="right"/>
              <w:rPr>
                <w:sz w:val="20"/>
                <w:szCs w:val="20"/>
                <w:lang w:val="en-US"/>
              </w:rPr>
            </w:pPr>
            <w:r w:rsidRPr="00A82B11">
              <w:rPr>
                <w:sz w:val="20"/>
                <w:szCs w:val="20"/>
                <w:lang w:val="en-US"/>
              </w:rPr>
              <w:t>79,1</w:t>
            </w:r>
          </w:p>
        </w:tc>
        <w:tc>
          <w:tcPr>
            <w:tcW w:w="1134" w:type="dxa"/>
            <w:noWrap/>
          </w:tcPr>
          <w:p w14:paraId="156BE237" w14:textId="77777777" w:rsidR="00326B1C" w:rsidRPr="00A82B11" w:rsidRDefault="00B65496" w:rsidP="0032157D">
            <w:pPr>
              <w:jc w:val="right"/>
              <w:rPr>
                <w:sz w:val="20"/>
                <w:szCs w:val="20"/>
                <w:lang w:val="en-US"/>
              </w:rPr>
            </w:pPr>
            <w:r w:rsidRPr="00A82B11">
              <w:rPr>
                <w:sz w:val="20"/>
                <w:szCs w:val="20"/>
                <w:lang w:val="en-US"/>
              </w:rPr>
              <w:t>82,9</w:t>
            </w:r>
          </w:p>
        </w:tc>
        <w:tc>
          <w:tcPr>
            <w:tcW w:w="1276" w:type="dxa"/>
            <w:noWrap/>
          </w:tcPr>
          <w:p w14:paraId="66D20EAD" w14:textId="77777777" w:rsidR="00326B1C" w:rsidRPr="00A82B11" w:rsidRDefault="005910E1" w:rsidP="0032157D">
            <w:pPr>
              <w:jc w:val="right"/>
              <w:rPr>
                <w:sz w:val="20"/>
                <w:szCs w:val="20"/>
                <w:lang w:val="en-US"/>
              </w:rPr>
            </w:pPr>
            <w:r w:rsidRPr="00A82B11">
              <w:rPr>
                <w:sz w:val="20"/>
                <w:szCs w:val="20"/>
                <w:lang w:val="en-US"/>
              </w:rPr>
              <w:t>78,7</w:t>
            </w:r>
          </w:p>
        </w:tc>
      </w:tr>
      <w:tr w:rsidR="00C010AD" w:rsidRPr="00A82B11" w14:paraId="1A0931A1" w14:textId="77777777" w:rsidTr="00A74F80">
        <w:trPr>
          <w:trHeight w:val="301"/>
        </w:trPr>
        <w:tc>
          <w:tcPr>
            <w:tcW w:w="4106" w:type="dxa"/>
            <w:gridSpan w:val="2"/>
            <w:noWrap/>
          </w:tcPr>
          <w:p w14:paraId="7E53B608" w14:textId="77777777" w:rsidR="00C010AD" w:rsidRPr="00A82B11" w:rsidRDefault="00C010AD" w:rsidP="00C010AD">
            <w:pPr>
              <w:rPr>
                <w:sz w:val="20"/>
                <w:szCs w:val="20"/>
                <w:lang w:val="sr-Cyrl-RS"/>
              </w:rPr>
            </w:pPr>
            <w:r w:rsidRPr="00A82B11">
              <w:rPr>
                <w:sz w:val="20"/>
                <w:szCs w:val="20"/>
                <w:lang w:val="sr-Cyrl-RS"/>
              </w:rPr>
              <w:t xml:space="preserve">УКУПНА ПОТРОШЊА (расходи и издаци за </w:t>
            </w:r>
            <w:proofErr w:type="spellStart"/>
            <w:r w:rsidRPr="00A82B11">
              <w:rPr>
                <w:sz w:val="20"/>
                <w:szCs w:val="20"/>
                <w:lang w:val="sr-Cyrl-RS"/>
              </w:rPr>
              <w:t>нефинан</w:t>
            </w:r>
            <w:proofErr w:type="spellEnd"/>
            <w:r w:rsidRPr="00A82B11">
              <w:rPr>
                <w:sz w:val="20"/>
                <w:szCs w:val="20"/>
                <w:lang w:val="sr-Cyrl-RS"/>
              </w:rPr>
              <w:t>. имовину)</w:t>
            </w:r>
          </w:p>
        </w:tc>
        <w:tc>
          <w:tcPr>
            <w:tcW w:w="1134" w:type="dxa"/>
            <w:noWrap/>
            <w:vAlign w:val="center"/>
          </w:tcPr>
          <w:p w14:paraId="6C7B559A" w14:textId="77777777" w:rsidR="00C010AD" w:rsidRPr="00A82B11" w:rsidRDefault="00C010AD" w:rsidP="00C010AD">
            <w:pPr>
              <w:jc w:val="right"/>
              <w:rPr>
                <w:sz w:val="20"/>
                <w:szCs w:val="20"/>
              </w:rPr>
            </w:pPr>
            <w:r w:rsidRPr="00A82B11">
              <w:rPr>
                <w:sz w:val="20"/>
                <w:szCs w:val="20"/>
              </w:rPr>
              <w:t>726,9</w:t>
            </w:r>
          </w:p>
        </w:tc>
        <w:tc>
          <w:tcPr>
            <w:tcW w:w="1134" w:type="dxa"/>
            <w:noWrap/>
            <w:vAlign w:val="center"/>
          </w:tcPr>
          <w:p w14:paraId="528FE929" w14:textId="77777777" w:rsidR="00C010AD" w:rsidRPr="00A82B11" w:rsidRDefault="00C010AD" w:rsidP="00C010AD">
            <w:pPr>
              <w:jc w:val="right"/>
              <w:rPr>
                <w:sz w:val="20"/>
                <w:szCs w:val="20"/>
              </w:rPr>
            </w:pPr>
            <w:r w:rsidRPr="00A82B11">
              <w:rPr>
                <w:sz w:val="20"/>
                <w:szCs w:val="20"/>
              </w:rPr>
              <w:t>889,2</w:t>
            </w:r>
          </w:p>
        </w:tc>
        <w:tc>
          <w:tcPr>
            <w:tcW w:w="1134" w:type="dxa"/>
            <w:noWrap/>
            <w:vAlign w:val="center"/>
          </w:tcPr>
          <w:p w14:paraId="75F0993E" w14:textId="77777777" w:rsidR="00C010AD" w:rsidRPr="00A82B11" w:rsidRDefault="00C010AD" w:rsidP="00C010AD">
            <w:pPr>
              <w:jc w:val="right"/>
              <w:rPr>
                <w:sz w:val="20"/>
                <w:szCs w:val="20"/>
              </w:rPr>
            </w:pPr>
            <w:r w:rsidRPr="00A82B11">
              <w:rPr>
                <w:sz w:val="20"/>
                <w:szCs w:val="20"/>
              </w:rPr>
              <w:t>670,2</w:t>
            </w:r>
          </w:p>
        </w:tc>
        <w:tc>
          <w:tcPr>
            <w:tcW w:w="1134" w:type="dxa"/>
            <w:noWrap/>
            <w:vAlign w:val="center"/>
          </w:tcPr>
          <w:p w14:paraId="2A33C713" w14:textId="77777777" w:rsidR="00C010AD" w:rsidRPr="00A82B11" w:rsidRDefault="00C010AD" w:rsidP="00C010AD">
            <w:pPr>
              <w:jc w:val="right"/>
              <w:rPr>
                <w:sz w:val="20"/>
                <w:szCs w:val="20"/>
              </w:rPr>
            </w:pPr>
            <w:r w:rsidRPr="00A82B11">
              <w:rPr>
                <w:sz w:val="20"/>
                <w:szCs w:val="20"/>
              </w:rPr>
              <w:t>672,3</w:t>
            </w:r>
          </w:p>
        </w:tc>
        <w:tc>
          <w:tcPr>
            <w:tcW w:w="1276" w:type="dxa"/>
            <w:noWrap/>
            <w:vAlign w:val="center"/>
          </w:tcPr>
          <w:p w14:paraId="1F68FEF1" w14:textId="77777777" w:rsidR="00C010AD" w:rsidRPr="00A82B11" w:rsidRDefault="00C010AD" w:rsidP="00C010AD">
            <w:pPr>
              <w:jc w:val="right"/>
              <w:rPr>
                <w:sz w:val="20"/>
                <w:szCs w:val="20"/>
              </w:rPr>
            </w:pPr>
            <w:r w:rsidRPr="00A82B11">
              <w:rPr>
                <w:sz w:val="20"/>
                <w:szCs w:val="20"/>
              </w:rPr>
              <w:t>668,3</w:t>
            </w:r>
          </w:p>
        </w:tc>
      </w:tr>
      <w:tr w:rsidR="00326B1C" w:rsidRPr="00A82B11" w14:paraId="39D5A38E" w14:textId="77777777" w:rsidTr="00A74F80">
        <w:trPr>
          <w:trHeight w:val="161"/>
        </w:trPr>
        <w:tc>
          <w:tcPr>
            <w:tcW w:w="9918" w:type="dxa"/>
            <w:gridSpan w:val="7"/>
            <w:shd w:val="clear" w:color="auto" w:fill="B8CCE4" w:themeFill="accent1" w:themeFillTint="66"/>
            <w:noWrap/>
          </w:tcPr>
          <w:p w14:paraId="6DC1AB4D" w14:textId="77777777" w:rsidR="00326B1C" w:rsidRPr="00A82B11" w:rsidRDefault="00326B1C" w:rsidP="0032157D">
            <w:pPr>
              <w:rPr>
                <w:sz w:val="20"/>
                <w:szCs w:val="20"/>
                <w:lang w:val="sr-Cyrl-RS"/>
              </w:rPr>
            </w:pPr>
            <w:r w:rsidRPr="00A82B11">
              <w:rPr>
                <w:sz w:val="20"/>
                <w:szCs w:val="20"/>
                <w:lang w:val="sr-Cyrl-RS"/>
              </w:rPr>
              <w:t>ИЗДАЦИ ЗА ФИНАНСИЈСКУ ИМОВИНУ, ОТПЛАТУ ДУГОВА И ОСТАЛИ ИЗДАЦИ</w:t>
            </w:r>
          </w:p>
        </w:tc>
      </w:tr>
      <w:tr w:rsidR="00326B1C" w:rsidRPr="00A82B11" w14:paraId="3495CEE4" w14:textId="77777777" w:rsidTr="00A74F80">
        <w:trPr>
          <w:trHeight w:val="135"/>
        </w:trPr>
        <w:tc>
          <w:tcPr>
            <w:tcW w:w="726" w:type="dxa"/>
            <w:noWrap/>
            <w:hideMark/>
          </w:tcPr>
          <w:p w14:paraId="53F05EB8" w14:textId="77777777" w:rsidR="00326B1C" w:rsidRPr="00A82B11" w:rsidRDefault="00326B1C" w:rsidP="0032157D">
            <w:pPr>
              <w:rPr>
                <w:sz w:val="20"/>
                <w:szCs w:val="20"/>
              </w:rPr>
            </w:pPr>
            <w:r w:rsidRPr="00A82B11">
              <w:rPr>
                <w:sz w:val="20"/>
                <w:szCs w:val="20"/>
              </w:rPr>
              <w:t>61</w:t>
            </w:r>
          </w:p>
        </w:tc>
        <w:tc>
          <w:tcPr>
            <w:tcW w:w="3380" w:type="dxa"/>
            <w:noWrap/>
            <w:hideMark/>
          </w:tcPr>
          <w:p w14:paraId="476E9468" w14:textId="77777777" w:rsidR="00326B1C" w:rsidRPr="00A82B11" w:rsidRDefault="00326B1C" w:rsidP="0032157D">
            <w:pPr>
              <w:rPr>
                <w:sz w:val="20"/>
                <w:szCs w:val="20"/>
                <w:lang w:val="sr-Cyrl-RS"/>
              </w:rPr>
            </w:pPr>
            <w:r w:rsidRPr="00A82B11">
              <w:rPr>
                <w:sz w:val="20"/>
                <w:szCs w:val="20"/>
                <w:lang w:val="sr-Cyrl-RS"/>
              </w:rPr>
              <w:t>Издаци за финансијску имовину</w:t>
            </w:r>
          </w:p>
        </w:tc>
        <w:tc>
          <w:tcPr>
            <w:tcW w:w="1134" w:type="dxa"/>
            <w:noWrap/>
          </w:tcPr>
          <w:p w14:paraId="78403245" w14:textId="77777777" w:rsidR="00326B1C" w:rsidRPr="00A82B11" w:rsidRDefault="00A34650" w:rsidP="0032157D">
            <w:pPr>
              <w:jc w:val="right"/>
              <w:rPr>
                <w:sz w:val="20"/>
                <w:szCs w:val="20"/>
                <w:lang w:val="en-US"/>
              </w:rPr>
            </w:pPr>
            <w:r w:rsidRPr="00A82B11">
              <w:rPr>
                <w:sz w:val="20"/>
                <w:szCs w:val="20"/>
                <w:lang w:val="en-US"/>
              </w:rPr>
              <w:t>3,3</w:t>
            </w:r>
          </w:p>
        </w:tc>
        <w:tc>
          <w:tcPr>
            <w:tcW w:w="1134" w:type="dxa"/>
            <w:noWrap/>
          </w:tcPr>
          <w:p w14:paraId="51D56EC3" w14:textId="77777777" w:rsidR="00326B1C" w:rsidRPr="00A82B11" w:rsidRDefault="00CD4406" w:rsidP="0032157D">
            <w:pPr>
              <w:jc w:val="right"/>
              <w:rPr>
                <w:sz w:val="20"/>
                <w:szCs w:val="20"/>
                <w:lang w:val="en-US"/>
              </w:rPr>
            </w:pPr>
            <w:r w:rsidRPr="00A82B11">
              <w:rPr>
                <w:sz w:val="20"/>
                <w:szCs w:val="20"/>
                <w:lang w:val="en-US"/>
              </w:rPr>
              <w:t>1,8</w:t>
            </w:r>
          </w:p>
        </w:tc>
        <w:tc>
          <w:tcPr>
            <w:tcW w:w="1134" w:type="dxa"/>
            <w:noWrap/>
          </w:tcPr>
          <w:p w14:paraId="040705B0" w14:textId="77777777" w:rsidR="00326B1C" w:rsidRPr="00A82B11" w:rsidRDefault="00456080" w:rsidP="0032157D">
            <w:pPr>
              <w:jc w:val="right"/>
              <w:rPr>
                <w:sz w:val="20"/>
                <w:szCs w:val="20"/>
                <w:lang w:val="en-US"/>
              </w:rPr>
            </w:pPr>
            <w:r w:rsidRPr="00A82B11">
              <w:rPr>
                <w:sz w:val="20"/>
                <w:szCs w:val="20"/>
                <w:lang w:val="en-US"/>
              </w:rPr>
              <w:t>0,0</w:t>
            </w:r>
          </w:p>
        </w:tc>
        <w:tc>
          <w:tcPr>
            <w:tcW w:w="1134" w:type="dxa"/>
            <w:noWrap/>
          </w:tcPr>
          <w:p w14:paraId="1C71D20F" w14:textId="77777777" w:rsidR="00326B1C" w:rsidRPr="00A82B11" w:rsidRDefault="00B65496" w:rsidP="0032157D">
            <w:pPr>
              <w:jc w:val="right"/>
              <w:rPr>
                <w:sz w:val="20"/>
                <w:szCs w:val="20"/>
                <w:lang w:val="en-US"/>
              </w:rPr>
            </w:pPr>
            <w:r w:rsidRPr="00A82B11">
              <w:rPr>
                <w:sz w:val="20"/>
                <w:szCs w:val="20"/>
                <w:lang w:val="en-US"/>
              </w:rPr>
              <w:t>0,0</w:t>
            </w:r>
          </w:p>
        </w:tc>
        <w:tc>
          <w:tcPr>
            <w:tcW w:w="1276" w:type="dxa"/>
            <w:noWrap/>
          </w:tcPr>
          <w:p w14:paraId="559447DD" w14:textId="77777777" w:rsidR="00326B1C" w:rsidRPr="00A82B11" w:rsidRDefault="005910E1" w:rsidP="0032157D">
            <w:pPr>
              <w:jc w:val="right"/>
              <w:rPr>
                <w:sz w:val="20"/>
                <w:szCs w:val="20"/>
                <w:lang w:val="en-US"/>
              </w:rPr>
            </w:pPr>
            <w:r w:rsidRPr="00A82B11">
              <w:rPr>
                <w:sz w:val="20"/>
                <w:szCs w:val="20"/>
                <w:lang w:val="en-US"/>
              </w:rPr>
              <w:t>0,0</w:t>
            </w:r>
          </w:p>
        </w:tc>
      </w:tr>
      <w:tr w:rsidR="00326B1C" w:rsidRPr="00A82B11" w14:paraId="14C2EFA0" w14:textId="77777777" w:rsidTr="00A74F80">
        <w:trPr>
          <w:trHeight w:val="236"/>
        </w:trPr>
        <w:tc>
          <w:tcPr>
            <w:tcW w:w="726" w:type="dxa"/>
            <w:noWrap/>
            <w:hideMark/>
          </w:tcPr>
          <w:p w14:paraId="722EBFFD" w14:textId="77777777" w:rsidR="00326B1C" w:rsidRPr="00A82B11" w:rsidRDefault="00326B1C" w:rsidP="0032157D">
            <w:pPr>
              <w:rPr>
                <w:sz w:val="20"/>
                <w:szCs w:val="20"/>
                <w:lang w:val="sr-Cyrl-RS"/>
              </w:rPr>
            </w:pPr>
            <w:r w:rsidRPr="00A82B11">
              <w:rPr>
                <w:sz w:val="20"/>
                <w:szCs w:val="20"/>
                <w:lang w:val="sr-Cyrl-RS"/>
              </w:rPr>
              <w:t>62</w:t>
            </w:r>
          </w:p>
        </w:tc>
        <w:tc>
          <w:tcPr>
            <w:tcW w:w="3380" w:type="dxa"/>
            <w:hideMark/>
          </w:tcPr>
          <w:p w14:paraId="068851D6" w14:textId="77777777" w:rsidR="00326B1C" w:rsidRPr="00A82B11" w:rsidRDefault="00326B1C" w:rsidP="0032157D">
            <w:pPr>
              <w:rPr>
                <w:sz w:val="20"/>
                <w:szCs w:val="20"/>
                <w:lang w:val="sr-Cyrl-RS"/>
              </w:rPr>
            </w:pPr>
            <w:r w:rsidRPr="00A82B11">
              <w:rPr>
                <w:sz w:val="20"/>
                <w:szCs w:val="20"/>
                <w:lang w:val="sr-Cyrl-RS"/>
              </w:rPr>
              <w:t>Издаци за отплату дугова</w:t>
            </w:r>
          </w:p>
        </w:tc>
        <w:tc>
          <w:tcPr>
            <w:tcW w:w="1134" w:type="dxa"/>
            <w:noWrap/>
          </w:tcPr>
          <w:p w14:paraId="36B83B36" w14:textId="77777777" w:rsidR="00326B1C" w:rsidRPr="00A82B11" w:rsidRDefault="00A34650" w:rsidP="0032157D">
            <w:pPr>
              <w:jc w:val="right"/>
              <w:rPr>
                <w:sz w:val="20"/>
                <w:szCs w:val="20"/>
                <w:lang w:val="en-US"/>
              </w:rPr>
            </w:pPr>
            <w:r w:rsidRPr="00A82B11">
              <w:rPr>
                <w:sz w:val="20"/>
                <w:szCs w:val="20"/>
                <w:lang w:val="en-US"/>
              </w:rPr>
              <w:t>118,6</w:t>
            </w:r>
          </w:p>
        </w:tc>
        <w:tc>
          <w:tcPr>
            <w:tcW w:w="1134" w:type="dxa"/>
            <w:noWrap/>
          </w:tcPr>
          <w:p w14:paraId="54C4507F" w14:textId="77777777" w:rsidR="00326B1C" w:rsidRPr="00A82B11" w:rsidRDefault="00CD4406" w:rsidP="0032157D">
            <w:pPr>
              <w:jc w:val="right"/>
              <w:rPr>
                <w:sz w:val="20"/>
                <w:szCs w:val="20"/>
                <w:lang w:val="en-US"/>
              </w:rPr>
            </w:pPr>
            <w:r w:rsidRPr="00A82B11">
              <w:rPr>
                <w:sz w:val="20"/>
                <w:szCs w:val="20"/>
                <w:lang w:val="en-US"/>
              </w:rPr>
              <w:t>58,0</w:t>
            </w:r>
          </w:p>
        </w:tc>
        <w:tc>
          <w:tcPr>
            <w:tcW w:w="1134" w:type="dxa"/>
            <w:noWrap/>
          </w:tcPr>
          <w:p w14:paraId="0A50F5BA" w14:textId="77777777" w:rsidR="00326B1C" w:rsidRPr="00A82B11" w:rsidRDefault="00456080" w:rsidP="0032157D">
            <w:pPr>
              <w:jc w:val="right"/>
              <w:rPr>
                <w:sz w:val="20"/>
                <w:szCs w:val="20"/>
                <w:lang w:val="en-US"/>
              </w:rPr>
            </w:pPr>
            <w:r w:rsidRPr="00A82B11">
              <w:rPr>
                <w:sz w:val="20"/>
                <w:szCs w:val="20"/>
                <w:lang w:val="en-US"/>
              </w:rPr>
              <w:t>50,0</w:t>
            </w:r>
          </w:p>
        </w:tc>
        <w:tc>
          <w:tcPr>
            <w:tcW w:w="1134" w:type="dxa"/>
            <w:noWrap/>
          </w:tcPr>
          <w:p w14:paraId="5EEF8F06" w14:textId="77777777" w:rsidR="00326B1C" w:rsidRPr="00A82B11" w:rsidRDefault="00B65496" w:rsidP="0032157D">
            <w:pPr>
              <w:jc w:val="right"/>
              <w:rPr>
                <w:sz w:val="20"/>
                <w:szCs w:val="20"/>
                <w:lang w:val="en-US"/>
              </w:rPr>
            </w:pPr>
            <w:r w:rsidRPr="00A82B11">
              <w:rPr>
                <w:sz w:val="20"/>
                <w:szCs w:val="20"/>
                <w:lang w:val="en-US"/>
              </w:rPr>
              <w:t>55,0</w:t>
            </w:r>
          </w:p>
        </w:tc>
        <w:tc>
          <w:tcPr>
            <w:tcW w:w="1276" w:type="dxa"/>
            <w:noWrap/>
          </w:tcPr>
          <w:p w14:paraId="274ECAB3" w14:textId="77777777" w:rsidR="00326B1C" w:rsidRPr="00A82B11" w:rsidRDefault="005910E1" w:rsidP="0032157D">
            <w:pPr>
              <w:jc w:val="right"/>
              <w:rPr>
                <w:sz w:val="20"/>
                <w:szCs w:val="20"/>
                <w:lang w:val="en-US"/>
              </w:rPr>
            </w:pPr>
            <w:r w:rsidRPr="00A82B11">
              <w:rPr>
                <w:sz w:val="20"/>
                <w:szCs w:val="20"/>
                <w:lang w:val="en-US"/>
              </w:rPr>
              <w:t>54,3</w:t>
            </w:r>
          </w:p>
        </w:tc>
      </w:tr>
      <w:tr w:rsidR="00326B1C" w:rsidRPr="00A82B11" w14:paraId="790B43EA" w14:textId="77777777" w:rsidTr="00A74F80">
        <w:trPr>
          <w:trHeight w:val="56"/>
        </w:trPr>
        <w:tc>
          <w:tcPr>
            <w:tcW w:w="726" w:type="dxa"/>
            <w:noWrap/>
            <w:hideMark/>
          </w:tcPr>
          <w:p w14:paraId="156F8241" w14:textId="77777777" w:rsidR="00326B1C" w:rsidRPr="00A82B11" w:rsidRDefault="00326B1C" w:rsidP="0032157D">
            <w:pPr>
              <w:rPr>
                <w:sz w:val="20"/>
                <w:szCs w:val="20"/>
                <w:lang w:val="sr-Cyrl-RS"/>
              </w:rPr>
            </w:pPr>
            <w:r w:rsidRPr="00A82B11">
              <w:rPr>
                <w:sz w:val="20"/>
                <w:szCs w:val="20"/>
                <w:lang w:val="sr-Cyrl-RS"/>
              </w:rPr>
              <w:t>63</w:t>
            </w:r>
          </w:p>
        </w:tc>
        <w:tc>
          <w:tcPr>
            <w:tcW w:w="3380" w:type="dxa"/>
            <w:noWrap/>
            <w:hideMark/>
          </w:tcPr>
          <w:p w14:paraId="71E4A2C5" w14:textId="77777777" w:rsidR="00326B1C" w:rsidRPr="00A82B11" w:rsidRDefault="00326B1C" w:rsidP="0032157D">
            <w:pPr>
              <w:rPr>
                <w:sz w:val="20"/>
                <w:szCs w:val="20"/>
                <w:lang w:val="sr-Cyrl-RS"/>
              </w:rPr>
            </w:pPr>
            <w:r w:rsidRPr="00A82B11">
              <w:rPr>
                <w:sz w:val="20"/>
                <w:szCs w:val="20"/>
                <w:lang w:val="sr-Cyrl-RS"/>
              </w:rPr>
              <w:t>Остали издаци</w:t>
            </w:r>
          </w:p>
        </w:tc>
        <w:tc>
          <w:tcPr>
            <w:tcW w:w="1134" w:type="dxa"/>
            <w:noWrap/>
          </w:tcPr>
          <w:p w14:paraId="6B455161" w14:textId="77777777" w:rsidR="00326B1C" w:rsidRPr="00A82B11" w:rsidRDefault="00A34650" w:rsidP="0032157D">
            <w:pPr>
              <w:jc w:val="right"/>
              <w:rPr>
                <w:sz w:val="20"/>
                <w:szCs w:val="20"/>
                <w:lang w:val="en-US"/>
              </w:rPr>
            </w:pPr>
            <w:r w:rsidRPr="00A82B11">
              <w:rPr>
                <w:sz w:val="20"/>
                <w:szCs w:val="20"/>
                <w:lang w:val="en-US"/>
              </w:rPr>
              <w:t>32,2</w:t>
            </w:r>
          </w:p>
        </w:tc>
        <w:tc>
          <w:tcPr>
            <w:tcW w:w="1134" w:type="dxa"/>
            <w:noWrap/>
          </w:tcPr>
          <w:p w14:paraId="5D4FF324" w14:textId="77777777" w:rsidR="00326B1C" w:rsidRPr="00A82B11" w:rsidRDefault="00CD4406" w:rsidP="0032157D">
            <w:pPr>
              <w:jc w:val="right"/>
              <w:rPr>
                <w:sz w:val="20"/>
                <w:szCs w:val="20"/>
                <w:lang w:val="en-US"/>
              </w:rPr>
            </w:pPr>
            <w:r w:rsidRPr="00A82B11">
              <w:rPr>
                <w:sz w:val="20"/>
                <w:szCs w:val="20"/>
                <w:lang w:val="en-US"/>
              </w:rPr>
              <w:t>22,2</w:t>
            </w:r>
          </w:p>
        </w:tc>
        <w:tc>
          <w:tcPr>
            <w:tcW w:w="1134" w:type="dxa"/>
            <w:noWrap/>
          </w:tcPr>
          <w:p w14:paraId="5F2FA47C" w14:textId="77777777" w:rsidR="00326B1C" w:rsidRPr="00A82B11" w:rsidRDefault="00456080" w:rsidP="0032157D">
            <w:pPr>
              <w:jc w:val="right"/>
              <w:rPr>
                <w:sz w:val="20"/>
                <w:szCs w:val="20"/>
                <w:lang w:val="en-US"/>
              </w:rPr>
            </w:pPr>
            <w:r w:rsidRPr="00A82B11">
              <w:rPr>
                <w:sz w:val="20"/>
                <w:szCs w:val="20"/>
                <w:lang w:val="en-US"/>
              </w:rPr>
              <w:t>20,5</w:t>
            </w:r>
          </w:p>
        </w:tc>
        <w:tc>
          <w:tcPr>
            <w:tcW w:w="1134" w:type="dxa"/>
            <w:noWrap/>
          </w:tcPr>
          <w:p w14:paraId="41C62547" w14:textId="77777777" w:rsidR="00326B1C" w:rsidRPr="00A82B11" w:rsidRDefault="00B65496" w:rsidP="0032157D">
            <w:pPr>
              <w:jc w:val="right"/>
              <w:rPr>
                <w:sz w:val="20"/>
                <w:szCs w:val="20"/>
                <w:lang w:val="en-US"/>
              </w:rPr>
            </w:pPr>
            <w:r w:rsidRPr="00A82B11">
              <w:rPr>
                <w:sz w:val="20"/>
                <w:szCs w:val="20"/>
                <w:lang w:val="en-US"/>
              </w:rPr>
              <w:t>29,0</w:t>
            </w:r>
          </w:p>
        </w:tc>
        <w:tc>
          <w:tcPr>
            <w:tcW w:w="1276" w:type="dxa"/>
            <w:noWrap/>
          </w:tcPr>
          <w:p w14:paraId="6990F4C6" w14:textId="77777777" w:rsidR="00326B1C" w:rsidRPr="00A82B11" w:rsidRDefault="005910E1" w:rsidP="0032157D">
            <w:pPr>
              <w:jc w:val="right"/>
              <w:rPr>
                <w:sz w:val="20"/>
                <w:szCs w:val="20"/>
                <w:lang w:val="en-US"/>
              </w:rPr>
            </w:pPr>
            <w:r w:rsidRPr="00A82B11">
              <w:rPr>
                <w:sz w:val="20"/>
                <w:szCs w:val="20"/>
                <w:lang w:val="en-US"/>
              </w:rPr>
              <w:t>26,7</w:t>
            </w:r>
          </w:p>
        </w:tc>
      </w:tr>
      <w:tr w:rsidR="00B80699" w:rsidRPr="00A82B11" w14:paraId="4CA1C6C8" w14:textId="77777777" w:rsidTr="00E9414A">
        <w:trPr>
          <w:trHeight w:val="234"/>
        </w:trPr>
        <w:tc>
          <w:tcPr>
            <w:tcW w:w="4106" w:type="dxa"/>
            <w:gridSpan w:val="2"/>
            <w:shd w:val="clear" w:color="auto" w:fill="C6D9F1" w:themeFill="text2" w:themeFillTint="33"/>
            <w:noWrap/>
            <w:vAlign w:val="center"/>
            <w:hideMark/>
          </w:tcPr>
          <w:p w14:paraId="40396F1B" w14:textId="77777777" w:rsidR="00B80699" w:rsidRPr="00A82B11" w:rsidRDefault="00B80699" w:rsidP="00B80699">
            <w:pPr>
              <w:rPr>
                <w:bCs/>
                <w:color w:val="000000"/>
                <w:sz w:val="20"/>
                <w:szCs w:val="20"/>
              </w:rPr>
            </w:pPr>
            <w:r w:rsidRPr="00A82B11">
              <w:rPr>
                <w:bCs/>
                <w:color w:val="000000"/>
                <w:sz w:val="20"/>
                <w:szCs w:val="20"/>
              </w:rPr>
              <w:t>УКУПНА ЈАВНА ПОТРОШЊА</w:t>
            </w:r>
            <w:r w:rsidRPr="00A82B11">
              <w:rPr>
                <w:color w:val="000000"/>
                <w:sz w:val="20"/>
                <w:szCs w:val="20"/>
              </w:rPr>
              <w:t> </w:t>
            </w:r>
          </w:p>
        </w:tc>
        <w:tc>
          <w:tcPr>
            <w:tcW w:w="1134" w:type="dxa"/>
            <w:shd w:val="clear" w:color="auto" w:fill="C6D9F1" w:themeFill="text2" w:themeFillTint="33"/>
            <w:noWrap/>
            <w:vAlign w:val="center"/>
          </w:tcPr>
          <w:p w14:paraId="76682577" w14:textId="77777777" w:rsidR="00B80699" w:rsidRPr="00A82B11" w:rsidRDefault="00B80699" w:rsidP="00B80699">
            <w:pPr>
              <w:jc w:val="right"/>
              <w:rPr>
                <w:sz w:val="20"/>
                <w:szCs w:val="20"/>
              </w:rPr>
            </w:pPr>
            <w:r w:rsidRPr="00A82B11">
              <w:rPr>
                <w:sz w:val="20"/>
                <w:szCs w:val="20"/>
              </w:rPr>
              <w:t>881,0</w:t>
            </w:r>
          </w:p>
        </w:tc>
        <w:tc>
          <w:tcPr>
            <w:tcW w:w="1134" w:type="dxa"/>
            <w:shd w:val="clear" w:color="auto" w:fill="C6D9F1" w:themeFill="text2" w:themeFillTint="33"/>
            <w:noWrap/>
            <w:vAlign w:val="center"/>
          </w:tcPr>
          <w:p w14:paraId="14722B16" w14:textId="77777777" w:rsidR="00B80699" w:rsidRPr="00A82B11" w:rsidRDefault="00B80699" w:rsidP="00B80699">
            <w:pPr>
              <w:jc w:val="right"/>
              <w:rPr>
                <w:sz w:val="20"/>
                <w:szCs w:val="20"/>
              </w:rPr>
            </w:pPr>
            <w:r w:rsidRPr="00A82B11">
              <w:rPr>
                <w:sz w:val="20"/>
                <w:szCs w:val="20"/>
              </w:rPr>
              <w:t>971,2</w:t>
            </w:r>
          </w:p>
        </w:tc>
        <w:tc>
          <w:tcPr>
            <w:tcW w:w="1134" w:type="dxa"/>
            <w:shd w:val="clear" w:color="auto" w:fill="C6D9F1" w:themeFill="text2" w:themeFillTint="33"/>
            <w:noWrap/>
            <w:vAlign w:val="center"/>
          </w:tcPr>
          <w:p w14:paraId="7AEBB159" w14:textId="77777777" w:rsidR="00B80699" w:rsidRPr="00A82B11" w:rsidRDefault="00B80699" w:rsidP="00B80699">
            <w:pPr>
              <w:jc w:val="right"/>
              <w:rPr>
                <w:sz w:val="20"/>
                <w:szCs w:val="20"/>
              </w:rPr>
            </w:pPr>
            <w:r w:rsidRPr="00A82B11">
              <w:rPr>
                <w:sz w:val="20"/>
                <w:szCs w:val="20"/>
              </w:rPr>
              <w:t>740,7</w:t>
            </w:r>
          </w:p>
        </w:tc>
        <w:tc>
          <w:tcPr>
            <w:tcW w:w="1134" w:type="dxa"/>
            <w:shd w:val="clear" w:color="auto" w:fill="C6D9F1" w:themeFill="text2" w:themeFillTint="33"/>
            <w:noWrap/>
            <w:vAlign w:val="center"/>
          </w:tcPr>
          <w:p w14:paraId="3EFF92AD" w14:textId="77777777" w:rsidR="00B80699" w:rsidRPr="00A82B11" w:rsidRDefault="00B80699" w:rsidP="00B80699">
            <w:pPr>
              <w:jc w:val="right"/>
              <w:rPr>
                <w:sz w:val="20"/>
                <w:szCs w:val="20"/>
              </w:rPr>
            </w:pPr>
            <w:r w:rsidRPr="00A82B11">
              <w:rPr>
                <w:sz w:val="20"/>
                <w:szCs w:val="20"/>
              </w:rPr>
              <w:t>756,3</w:t>
            </w:r>
          </w:p>
        </w:tc>
        <w:tc>
          <w:tcPr>
            <w:tcW w:w="1276" w:type="dxa"/>
            <w:shd w:val="clear" w:color="auto" w:fill="C6D9F1" w:themeFill="text2" w:themeFillTint="33"/>
            <w:noWrap/>
            <w:vAlign w:val="center"/>
          </w:tcPr>
          <w:p w14:paraId="6DAACDB0" w14:textId="77777777" w:rsidR="00B80699" w:rsidRPr="00A82B11" w:rsidRDefault="00B80699" w:rsidP="00B80699">
            <w:pPr>
              <w:jc w:val="right"/>
              <w:rPr>
                <w:sz w:val="20"/>
                <w:szCs w:val="20"/>
              </w:rPr>
            </w:pPr>
            <w:r w:rsidRPr="00A82B11">
              <w:rPr>
                <w:sz w:val="20"/>
                <w:szCs w:val="20"/>
              </w:rPr>
              <w:t>749,3</w:t>
            </w:r>
          </w:p>
        </w:tc>
      </w:tr>
    </w:tbl>
    <w:p w14:paraId="7553CB95" w14:textId="77777777" w:rsidR="00334975" w:rsidRPr="00672C6A" w:rsidRDefault="00334975" w:rsidP="00334975">
      <w:pPr>
        <w:widowControl w:val="0"/>
        <w:autoSpaceDE w:val="0"/>
        <w:autoSpaceDN w:val="0"/>
        <w:adjustRightInd w:val="0"/>
        <w:spacing w:line="283" w:lineRule="exact"/>
        <w:rPr>
          <w:i/>
          <w:sz w:val="20"/>
          <w:lang w:val="sr-Cyrl-RS"/>
        </w:rPr>
      </w:pPr>
      <w:r w:rsidRPr="00672C6A">
        <w:rPr>
          <w:i/>
          <w:sz w:val="20"/>
          <w:lang w:val="sr-Cyrl-RS"/>
        </w:rPr>
        <w:t xml:space="preserve">Извор: </w:t>
      </w:r>
      <w:proofErr w:type="spellStart"/>
      <w:r w:rsidRPr="00672C6A">
        <w:rPr>
          <w:i/>
          <w:sz w:val="20"/>
          <w:lang w:val="sr-Cyrl-RS"/>
        </w:rPr>
        <w:t>Докум</w:t>
      </w:r>
      <w:proofErr w:type="spellEnd"/>
      <w:r w:rsidRPr="00672C6A">
        <w:rPr>
          <w:i/>
          <w:sz w:val="20"/>
          <w:lang w:val="sr-Latn-BA"/>
        </w:rPr>
        <w:t>e</w:t>
      </w:r>
      <w:proofErr w:type="spellStart"/>
      <w:r w:rsidRPr="00672C6A">
        <w:rPr>
          <w:i/>
          <w:sz w:val="20"/>
          <w:lang w:val="sr-Cyrl-RS"/>
        </w:rPr>
        <w:t>нт</w:t>
      </w:r>
      <w:proofErr w:type="spellEnd"/>
      <w:r w:rsidRPr="00672C6A">
        <w:rPr>
          <w:i/>
          <w:sz w:val="20"/>
          <w:lang w:val="sr-Cyrl-RS"/>
        </w:rPr>
        <w:t xml:space="preserve"> оквирног буџета РС за период </w:t>
      </w:r>
      <w:r w:rsidR="0064553E" w:rsidRPr="00672C6A">
        <w:rPr>
          <w:i/>
          <w:sz w:val="20"/>
          <w:lang w:val="sr-Cyrl-RS"/>
        </w:rPr>
        <w:t>2021</w:t>
      </w:r>
      <w:r w:rsidRPr="00672C6A">
        <w:rPr>
          <w:i/>
          <w:sz w:val="20"/>
          <w:lang w:val="sr-Cyrl-RS"/>
        </w:rPr>
        <w:t>-</w:t>
      </w:r>
      <w:r w:rsidR="0064553E" w:rsidRPr="00672C6A">
        <w:rPr>
          <w:i/>
          <w:sz w:val="20"/>
          <w:lang w:val="sr-Cyrl-RS"/>
        </w:rPr>
        <w:t>2023</w:t>
      </w:r>
      <w:r w:rsidRPr="00672C6A">
        <w:rPr>
          <w:i/>
          <w:sz w:val="20"/>
          <w:lang w:val="sr-Cyrl-RS"/>
        </w:rPr>
        <w:t>. година</w:t>
      </w:r>
    </w:p>
    <w:p w14:paraId="2AB606AC" w14:textId="77777777" w:rsidR="00326B1C" w:rsidRPr="00EC49B4" w:rsidRDefault="00326B1C" w:rsidP="00326B1C">
      <w:pPr>
        <w:autoSpaceDE w:val="0"/>
        <w:autoSpaceDN w:val="0"/>
        <w:adjustRightInd w:val="0"/>
        <w:spacing w:line="276" w:lineRule="auto"/>
        <w:jc w:val="both"/>
        <w:rPr>
          <w:lang w:val="sr-Cyrl-RS"/>
        </w:rPr>
      </w:pPr>
    </w:p>
    <w:p w14:paraId="242AAB8F" w14:textId="77777777" w:rsidR="009B7EAB" w:rsidRPr="00C44369" w:rsidRDefault="004F2CBC" w:rsidP="00D91678">
      <w:pPr>
        <w:spacing w:line="276" w:lineRule="auto"/>
        <w:ind w:firstLine="709"/>
        <w:jc w:val="both"/>
        <w:rPr>
          <w:color w:val="000000"/>
          <w:sz w:val="22"/>
          <w:lang w:val="sr-Cyrl-RS"/>
        </w:rPr>
      </w:pPr>
      <w:proofErr w:type="spellStart"/>
      <w:r w:rsidRPr="00A82B11">
        <w:rPr>
          <w:color w:val="000000"/>
          <w:sz w:val="22"/>
        </w:rPr>
        <w:t>Очекивана</w:t>
      </w:r>
      <w:proofErr w:type="spellEnd"/>
      <w:r w:rsidRPr="00A82B11">
        <w:rPr>
          <w:color w:val="000000"/>
          <w:sz w:val="22"/>
        </w:rPr>
        <w:t xml:space="preserve"> </w:t>
      </w:r>
      <w:r w:rsidR="003403CA" w:rsidRPr="00A82B11">
        <w:rPr>
          <w:color w:val="000000"/>
          <w:sz w:val="22"/>
          <w:lang w:val="sr-Cyrl-BA"/>
        </w:rPr>
        <w:t>уку</w:t>
      </w:r>
      <w:r w:rsidR="003403CA" w:rsidRPr="00C44369">
        <w:rPr>
          <w:color w:val="000000"/>
          <w:sz w:val="22"/>
          <w:lang w:val="sr-Cyrl-BA"/>
        </w:rPr>
        <w:t>пна</w:t>
      </w:r>
      <w:r w:rsidR="00D91678" w:rsidRPr="00C44369">
        <w:rPr>
          <w:color w:val="000000"/>
          <w:sz w:val="22"/>
          <w:lang w:val="sr-Cyrl-BA"/>
        </w:rPr>
        <w:t xml:space="preserve"> јавна</w:t>
      </w:r>
      <w:r w:rsidR="003403CA" w:rsidRPr="00C44369">
        <w:rPr>
          <w:color w:val="000000"/>
          <w:sz w:val="22"/>
          <w:lang w:val="sr-Cyrl-BA"/>
        </w:rPr>
        <w:t xml:space="preserve"> </w:t>
      </w:r>
      <w:proofErr w:type="spellStart"/>
      <w:r w:rsidRPr="00C44369">
        <w:rPr>
          <w:color w:val="000000"/>
          <w:sz w:val="22"/>
        </w:rPr>
        <w:t>потрошња</w:t>
      </w:r>
      <w:proofErr w:type="spellEnd"/>
      <w:r w:rsidRPr="00C44369">
        <w:rPr>
          <w:color w:val="000000"/>
          <w:sz w:val="22"/>
        </w:rPr>
        <w:t xml:space="preserve"> </w:t>
      </w:r>
      <w:proofErr w:type="spellStart"/>
      <w:r w:rsidRPr="00C44369">
        <w:rPr>
          <w:color w:val="000000"/>
          <w:sz w:val="22"/>
        </w:rPr>
        <w:t>подсектора</w:t>
      </w:r>
      <w:proofErr w:type="spellEnd"/>
      <w:r w:rsidRPr="00C44369">
        <w:rPr>
          <w:color w:val="000000"/>
          <w:sz w:val="22"/>
        </w:rPr>
        <w:t xml:space="preserve"> </w:t>
      </w:r>
      <w:proofErr w:type="spellStart"/>
      <w:r w:rsidRPr="00C44369">
        <w:rPr>
          <w:bCs/>
          <w:sz w:val="22"/>
        </w:rPr>
        <w:t>јединице</w:t>
      </w:r>
      <w:proofErr w:type="spellEnd"/>
      <w:r w:rsidRPr="00C44369">
        <w:rPr>
          <w:bCs/>
          <w:sz w:val="22"/>
        </w:rPr>
        <w:t xml:space="preserve"> </w:t>
      </w:r>
      <w:proofErr w:type="spellStart"/>
      <w:r w:rsidRPr="00C44369">
        <w:rPr>
          <w:bCs/>
          <w:sz w:val="22"/>
        </w:rPr>
        <w:t>локалне</w:t>
      </w:r>
      <w:proofErr w:type="spellEnd"/>
      <w:r w:rsidRPr="00C44369">
        <w:rPr>
          <w:bCs/>
          <w:sz w:val="22"/>
        </w:rPr>
        <w:t xml:space="preserve"> </w:t>
      </w:r>
      <w:proofErr w:type="spellStart"/>
      <w:r w:rsidRPr="00C44369">
        <w:rPr>
          <w:bCs/>
          <w:sz w:val="22"/>
        </w:rPr>
        <w:t>самоупаве</w:t>
      </w:r>
      <w:proofErr w:type="spellEnd"/>
      <w:r w:rsidRPr="00C44369">
        <w:rPr>
          <w:bCs/>
          <w:sz w:val="22"/>
        </w:rPr>
        <w:t xml:space="preserve"> </w:t>
      </w:r>
      <w:proofErr w:type="spellStart"/>
      <w:r w:rsidRPr="00C44369">
        <w:rPr>
          <w:color w:val="000000"/>
          <w:sz w:val="22"/>
        </w:rPr>
        <w:t>износи</w:t>
      </w:r>
      <w:proofErr w:type="spellEnd"/>
      <w:r w:rsidRPr="00C44369">
        <w:rPr>
          <w:color w:val="000000"/>
          <w:sz w:val="22"/>
        </w:rPr>
        <w:t xml:space="preserve"> </w:t>
      </w:r>
      <w:r w:rsidR="003403CA" w:rsidRPr="00C44369">
        <w:rPr>
          <w:color w:val="000000"/>
          <w:sz w:val="22"/>
          <w:lang w:val="sr-Cyrl-BA"/>
        </w:rPr>
        <w:t>740,7</w:t>
      </w:r>
      <w:r w:rsidRPr="00C44369">
        <w:rPr>
          <w:color w:val="000000"/>
          <w:sz w:val="22"/>
        </w:rPr>
        <w:t xml:space="preserve"> </w:t>
      </w:r>
      <w:proofErr w:type="spellStart"/>
      <w:r w:rsidRPr="00C44369">
        <w:rPr>
          <w:color w:val="000000"/>
          <w:sz w:val="22"/>
        </w:rPr>
        <w:t>милиона</w:t>
      </w:r>
      <w:proofErr w:type="spellEnd"/>
      <w:r w:rsidRPr="00C44369">
        <w:rPr>
          <w:color w:val="000000"/>
          <w:sz w:val="22"/>
        </w:rPr>
        <w:t xml:space="preserve"> КМ у 2021. </w:t>
      </w:r>
      <w:proofErr w:type="spellStart"/>
      <w:r w:rsidRPr="00C44369">
        <w:rPr>
          <w:color w:val="000000"/>
          <w:sz w:val="22"/>
        </w:rPr>
        <w:t>години</w:t>
      </w:r>
      <w:proofErr w:type="spellEnd"/>
      <w:r w:rsidRPr="00C44369">
        <w:rPr>
          <w:color w:val="000000"/>
          <w:sz w:val="22"/>
        </w:rPr>
        <w:t xml:space="preserve">, </w:t>
      </w:r>
      <w:r w:rsidR="003403CA" w:rsidRPr="00C44369">
        <w:rPr>
          <w:color w:val="000000"/>
          <w:sz w:val="22"/>
          <w:lang w:val="sr-Cyrl-BA"/>
        </w:rPr>
        <w:t>756,3</w:t>
      </w:r>
      <w:r w:rsidRPr="00C44369">
        <w:rPr>
          <w:color w:val="000000"/>
          <w:sz w:val="22"/>
        </w:rPr>
        <w:t xml:space="preserve"> </w:t>
      </w:r>
      <w:proofErr w:type="spellStart"/>
      <w:r w:rsidRPr="00C44369">
        <w:rPr>
          <w:color w:val="000000"/>
          <w:sz w:val="22"/>
        </w:rPr>
        <w:t>милиона</w:t>
      </w:r>
      <w:proofErr w:type="spellEnd"/>
      <w:r w:rsidRPr="00C44369">
        <w:rPr>
          <w:color w:val="000000"/>
          <w:sz w:val="22"/>
        </w:rPr>
        <w:t xml:space="preserve"> КМ у 2022. </w:t>
      </w:r>
      <w:proofErr w:type="spellStart"/>
      <w:r w:rsidRPr="00C44369">
        <w:rPr>
          <w:color w:val="000000"/>
          <w:sz w:val="22"/>
        </w:rPr>
        <w:t>години</w:t>
      </w:r>
      <w:proofErr w:type="spellEnd"/>
      <w:r w:rsidRPr="00C44369">
        <w:rPr>
          <w:color w:val="000000"/>
          <w:sz w:val="22"/>
        </w:rPr>
        <w:t xml:space="preserve"> и </w:t>
      </w:r>
      <w:r w:rsidR="003403CA" w:rsidRPr="00C44369">
        <w:rPr>
          <w:color w:val="000000"/>
          <w:sz w:val="22"/>
          <w:lang w:val="sr-Cyrl-BA"/>
        </w:rPr>
        <w:t>749,3</w:t>
      </w:r>
      <w:r w:rsidR="003403CA" w:rsidRPr="00C44369">
        <w:rPr>
          <w:color w:val="000000"/>
          <w:sz w:val="22"/>
        </w:rPr>
        <w:t xml:space="preserve"> </w:t>
      </w:r>
      <w:proofErr w:type="spellStart"/>
      <w:r w:rsidR="003403CA" w:rsidRPr="00C44369">
        <w:rPr>
          <w:color w:val="000000"/>
          <w:sz w:val="22"/>
        </w:rPr>
        <w:t>милиона</w:t>
      </w:r>
      <w:proofErr w:type="spellEnd"/>
      <w:r w:rsidR="003403CA" w:rsidRPr="00C44369">
        <w:rPr>
          <w:color w:val="000000"/>
          <w:sz w:val="22"/>
        </w:rPr>
        <w:t xml:space="preserve"> КМ у 2023. </w:t>
      </w:r>
      <w:proofErr w:type="spellStart"/>
      <w:r w:rsidR="003403CA" w:rsidRPr="00C44369">
        <w:rPr>
          <w:color w:val="000000"/>
          <w:sz w:val="22"/>
        </w:rPr>
        <w:t>години</w:t>
      </w:r>
      <w:proofErr w:type="spellEnd"/>
      <w:r w:rsidR="003403CA" w:rsidRPr="00C44369">
        <w:rPr>
          <w:color w:val="000000"/>
          <w:sz w:val="22"/>
        </w:rPr>
        <w:t xml:space="preserve">. </w:t>
      </w:r>
      <w:r w:rsidRPr="00C44369">
        <w:rPr>
          <w:color w:val="000000"/>
          <w:sz w:val="22"/>
        </w:rPr>
        <w:t xml:space="preserve">У </w:t>
      </w:r>
      <w:proofErr w:type="spellStart"/>
      <w:r w:rsidRPr="00C44369">
        <w:rPr>
          <w:color w:val="000000"/>
          <w:sz w:val="22"/>
        </w:rPr>
        <w:t>структури</w:t>
      </w:r>
      <w:proofErr w:type="spellEnd"/>
      <w:r w:rsidRPr="00C44369">
        <w:rPr>
          <w:color w:val="000000"/>
          <w:sz w:val="22"/>
        </w:rPr>
        <w:t xml:space="preserve"> </w:t>
      </w:r>
      <w:proofErr w:type="spellStart"/>
      <w:r w:rsidRPr="00C44369">
        <w:rPr>
          <w:color w:val="000000"/>
          <w:sz w:val="22"/>
        </w:rPr>
        <w:t>расхода</w:t>
      </w:r>
      <w:proofErr w:type="spellEnd"/>
      <w:r w:rsidRPr="00C44369">
        <w:rPr>
          <w:color w:val="000000"/>
          <w:sz w:val="22"/>
        </w:rPr>
        <w:t xml:space="preserve"> </w:t>
      </w:r>
      <w:proofErr w:type="spellStart"/>
      <w:r w:rsidRPr="00C44369">
        <w:rPr>
          <w:color w:val="000000"/>
          <w:sz w:val="22"/>
        </w:rPr>
        <w:t>најзначајнији</w:t>
      </w:r>
      <w:proofErr w:type="spellEnd"/>
      <w:r w:rsidRPr="00C44369">
        <w:rPr>
          <w:color w:val="000000"/>
          <w:sz w:val="22"/>
        </w:rPr>
        <w:t xml:space="preserve"> </w:t>
      </w:r>
      <w:proofErr w:type="spellStart"/>
      <w:r w:rsidRPr="00C44369">
        <w:rPr>
          <w:color w:val="000000"/>
          <w:sz w:val="22"/>
        </w:rPr>
        <w:t>су</w:t>
      </w:r>
      <w:proofErr w:type="spellEnd"/>
      <w:r w:rsidRPr="00C44369">
        <w:rPr>
          <w:color w:val="000000"/>
          <w:sz w:val="22"/>
        </w:rPr>
        <w:t xml:space="preserve"> </w:t>
      </w:r>
      <w:proofErr w:type="spellStart"/>
      <w:r w:rsidRPr="00C44369">
        <w:rPr>
          <w:color w:val="000000"/>
          <w:sz w:val="22"/>
        </w:rPr>
        <w:t>расходи</w:t>
      </w:r>
      <w:proofErr w:type="spellEnd"/>
      <w:r w:rsidRPr="00C44369">
        <w:rPr>
          <w:color w:val="000000"/>
          <w:sz w:val="22"/>
        </w:rPr>
        <w:t xml:space="preserve"> </w:t>
      </w:r>
      <w:proofErr w:type="spellStart"/>
      <w:r w:rsidRPr="00C44369">
        <w:rPr>
          <w:color w:val="000000"/>
          <w:sz w:val="22"/>
        </w:rPr>
        <w:t>за</w:t>
      </w:r>
      <w:proofErr w:type="spellEnd"/>
      <w:r w:rsidRPr="00C44369">
        <w:rPr>
          <w:color w:val="000000"/>
          <w:sz w:val="22"/>
        </w:rPr>
        <w:t xml:space="preserve"> </w:t>
      </w:r>
      <w:proofErr w:type="spellStart"/>
      <w:r w:rsidRPr="00C44369">
        <w:rPr>
          <w:color w:val="000000"/>
          <w:sz w:val="22"/>
        </w:rPr>
        <w:t>лична</w:t>
      </w:r>
      <w:proofErr w:type="spellEnd"/>
      <w:r w:rsidRPr="00C44369">
        <w:rPr>
          <w:color w:val="000000"/>
          <w:sz w:val="22"/>
        </w:rPr>
        <w:t xml:space="preserve"> </w:t>
      </w:r>
      <w:proofErr w:type="spellStart"/>
      <w:r w:rsidRPr="00C44369">
        <w:rPr>
          <w:color w:val="000000"/>
          <w:sz w:val="22"/>
        </w:rPr>
        <w:t>примања</w:t>
      </w:r>
      <w:proofErr w:type="spellEnd"/>
      <w:r w:rsidRPr="00C44369">
        <w:rPr>
          <w:color w:val="000000"/>
          <w:sz w:val="22"/>
        </w:rPr>
        <w:t xml:space="preserve"> </w:t>
      </w:r>
      <w:proofErr w:type="spellStart"/>
      <w:r w:rsidRPr="00C44369">
        <w:rPr>
          <w:color w:val="000000"/>
          <w:sz w:val="22"/>
        </w:rPr>
        <w:t>запослених</w:t>
      </w:r>
      <w:proofErr w:type="spellEnd"/>
      <w:r w:rsidRPr="00C44369">
        <w:rPr>
          <w:color w:val="000000"/>
          <w:sz w:val="22"/>
        </w:rPr>
        <w:t xml:space="preserve">, </w:t>
      </w:r>
      <w:proofErr w:type="spellStart"/>
      <w:r w:rsidRPr="00C44369">
        <w:rPr>
          <w:color w:val="000000"/>
          <w:sz w:val="22"/>
        </w:rPr>
        <w:t>расходи</w:t>
      </w:r>
      <w:proofErr w:type="spellEnd"/>
      <w:r w:rsidRPr="00C44369">
        <w:rPr>
          <w:color w:val="000000"/>
          <w:sz w:val="22"/>
        </w:rPr>
        <w:t xml:space="preserve"> </w:t>
      </w:r>
      <w:proofErr w:type="spellStart"/>
      <w:r w:rsidRPr="00C44369">
        <w:rPr>
          <w:color w:val="000000"/>
          <w:sz w:val="22"/>
        </w:rPr>
        <w:t>по</w:t>
      </w:r>
      <w:proofErr w:type="spellEnd"/>
      <w:r w:rsidRPr="00C44369">
        <w:rPr>
          <w:color w:val="000000"/>
          <w:sz w:val="22"/>
        </w:rPr>
        <w:t xml:space="preserve"> </w:t>
      </w:r>
      <w:proofErr w:type="spellStart"/>
      <w:r w:rsidRPr="00C44369">
        <w:rPr>
          <w:color w:val="000000"/>
          <w:sz w:val="22"/>
        </w:rPr>
        <w:t>основу</w:t>
      </w:r>
      <w:proofErr w:type="spellEnd"/>
      <w:r w:rsidRPr="00C44369">
        <w:rPr>
          <w:color w:val="000000"/>
          <w:sz w:val="22"/>
        </w:rPr>
        <w:t xml:space="preserve"> к</w:t>
      </w:r>
      <w:r w:rsidR="003403CA" w:rsidRPr="00C44369">
        <w:rPr>
          <w:color w:val="000000"/>
          <w:sz w:val="22"/>
          <w:lang w:val="sr-Cyrl-BA"/>
        </w:rPr>
        <w:t>о</w:t>
      </w:r>
      <w:proofErr w:type="spellStart"/>
      <w:r w:rsidRPr="00C44369">
        <w:rPr>
          <w:color w:val="000000"/>
          <w:sz w:val="22"/>
        </w:rPr>
        <w:t>ришћења</w:t>
      </w:r>
      <w:proofErr w:type="spellEnd"/>
      <w:r w:rsidRPr="00C44369">
        <w:rPr>
          <w:color w:val="000000"/>
          <w:sz w:val="22"/>
        </w:rPr>
        <w:t xml:space="preserve"> </w:t>
      </w:r>
      <w:proofErr w:type="spellStart"/>
      <w:r w:rsidRPr="00C44369">
        <w:rPr>
          <w:color w:val="000000"/>
          <w:sz w:val="22"/>
        </w:rPr>
        <w:t>роба</w:t>
      </w:r>
      <w:proofErr w:type="spellEnd"/>
      <w:r w:rsidRPr="00C44369">
        <w:rPr>
          <w:color w:val="000000"/>
          <w:sz w:val="22"/>
        </w:rPr>
        <w:t xml:space="preserve"> и </w:t>
      </w:r>
      <w:proofErr w:type="spellStart"/>
      <w:r w:rsidRPr="00C44369">
        <w:rPr>
          <w:color w:val="000000"/>
          <w:sz w:val="22"/>
        </w:rPr>
        <w:t>услуга</w:t>
      </w:r>
      <w:proofErr w:type="spellEnd"/>
      <w:r w:rsidRPr="00C44369">
        <w:rPr>
          <w:color w:val="000000"/>
          <w:sz w:val="22"/>
        </w:rPr>
        <w:t xml:space="preserve">, </w:t>
      </w:r>
      <w:proofErr w:type="spellStart"/>
      <w:r w:rsidR="003403CA" w:rsidRPr="00C44369">
        <w:rPr>
          <w:color w:val="000000"/>
          <w:sz w:val="22"/>
        </w:rPr>
        <w:t>издаци</w:t>
      </w:r>
      <w:proofErr w:type="spellEnd"/>
      <w:r w:rsidR="003403CA" w:rsidRPr="00C44369">
        <w:rPr>
          <w:color w:val="000000"/>
          <w:sz w:val="22"/>
        </w:rPr>
        <w:t xml:space="preserve"> </w:t>
      </w:r>
      <w:proofErr w:type="spellStart"/>
      <w:r w:rsidR="003403CA" w:rsidRPr="00C44369">
        <w:rPr>
          <w:color w:val="000000"/>
          <w:sz w:val="22"/>
        </w:rPr>
        <w:t>за</w:t>
      </w:r>
      <w:proofErr w:type="spellEnd"/>
      <w:r w:rsidR="003403CA" w:rsidRPr="00C44369">
        <w:rPr>
          <w:color w:val="000000"/>
          <w:sz w:val="22"/>
        </w:rPr>
        <w:t xml:space="preserve"> </w:t>
      </w:r>
      <w:proofErr w:type="spellStart"/>
      <w:r w:rsidR="003403CA" w:rsidRPr="00C44369">
        <w:rPr>
          <w:color w:val="000000"/>
          <w:sz w:val="22"/>
        </w:rPr>
        <w:t>нефинансијску</w:t>
      </w:r>
      <w:proofErr w:type="spellEnd"/>
      <w:r w:rsidR="003403CA" w:rsidRPr="00C44369">
        <w:rPr>
          <w:color w:val="000000"/>
          <w:sz w:val="22"/>
        </w:rPr>
        <w:t xml:space="preserve"> </w:t>
      </w:r>
      <w:proofErr w:type="spellStart"/>
      <w:r w:rsidR="003403CA" w:rsidRPr="00C44369">
        <w:rPr>
          <w:color w:val="000000"/>
          <w:sz w:val="22"/>
        </w:rPr>
        <w:t>имовину</w:t>
      </w:r>
      <w:proofErr w:type="spellEnd"/>
      <w:r w:rsidR="00D91678" w:rsidRPr="00C44369">
        <w:rPr>
          <w:color w:val="000000"/>
          <w:sz w:val="22"/>
          <w:lang w:val="sr-Cyrl-RS"/>
        </w:rPr>
        <w:t>,</w:t>
      </w:r>
      <w:r w:rsidR="003403CA" w:rsidRPr="00C44369">
        <w:rPr>
          <w:color w:val="000000"/>
          <w:sz w:val="22"/>
        </w:rPr>
        <w:t xml:space="preserve"> </w:t>
      </w:r>
      <w:proofErr w:type="spellStart"/>
      <w:r w:rsidRPr="00C44369">
        <w:rPr>
          <w:color w:val="000000"/>
          <w:sz w:val="22"/>
        </w:rPr>
        <w:t>али</w:t>
      </w:r>
      <w:proofErr w:type="spellEnd"/>
      <w:r w:rsidRPr="00C44369">
        <w:rPr>
          <w:color w:val="000000"/>
          <w:sz w:val="22"/>
        </w:rPr>
        <w:t xml:space="preserve"> и </w:t>
      </w:r>
      <w:proofErr w:type="spellStart"/>
      <w:r w:rsidRPr="00C44369">
        <w:rPr>
          <w:color w:val="000000"/>
          <w:sz w:val="22"/>
        </w:rPr>
        <w:t>дознаке</w:t>
      </w:r>
      <w:proofErr w:type="spellEnd"/>
      <w:r w:rsidRPr="00C44369">
        <w:rPr>
          <w:color w:val="000000"/>
          <w:sz w:val="22"/>
        </w:rPr>
        <w:t xml:space="preserve"> </w:t>
      </w:r>
      <w:proofErr w:type="spellStart"/>
      <w:r w:rsidRPr="00C44369">
        <w:rPr>
          <w:color w:val="000000"/>
          <w:sz w:val="22"/>
        </w:rPr>
        <w:t>на</w:t>
      </w:r>
      <w:proofErr w:type="spellEnd"/>
      <w:r w:rsidRPr="00C44369">
        <w:rPr>
          <w:color w:val="000000"/>
          <w:sz w:val="22"/>
        </w:rPr>
        <w:t xml:space="preserve"> </w:t>
      </w:r>
      <w:proofErr w:type="spellStart"/>
      <w:r w:rsidRPr="00C44369">
        <w:rPr>
          <w:color w:val="000000"/>
          <w:sz w:val="22"/>
        </w:rPr>
        <w:t>име</w:t>
      </w:r>
      <w:proofErr w:type="spellEnd"/>
      <w:r w:rsidRPr="00C44369">
        <w:rPr>
          <w:color w:val="000000"/>
          <w:sz w:val="22"/>
        </w:rPr>
        <w:t xml:space="preserve"> </w:t>
      </w:r>
      <w:proofErr w:type="spellStart"/>
      <w:r w:rsidRPr="00C44369">
        <w:rPr>
          <w:color w:val="000000"/>
          <w:sz w:val="22"/>
        </w:rPr>
        <w:t>социјалне</w:t>
      </w:r>
      <w:proofErr w:type="spellEnd"/>
      <w:r w:rsidRPr="00C44369">
        <w:rPr>
          <w:color w:val="000000"/>
          <w:sz w:val="22"/>
        </w:rPr>
        <w:t xml:space="preserve"> </w:t>
      </w:r>
      <w:proofErr w:type="spellStart"/>
      <w:r w:rsidRPr="00C44369">
        <w:rPr>
          <w:color w:val="000000"/>
          <w:sz w:val="22"/>
        </w:rPr>
        <w:t>заштите</w:t>
      </w:r>
      <w:proofErr w:type="spellEnd"/>
      <w:r w:rsidR="009B7EAB" w:rsidRPr="00C44369">
        <w:rPr>
          <w:color w:val="000000"/>
          <w:sz w:val="22"/>
          <w:lang w:val="sr-Cyrl-RS"/>
        </w:rPr>
        <w:t>.</w:t>
      </w:r>
    </w:p>
    <w:p w14:paraId="140453D6" w14:textId="77777777" w:rsidR="00BD4EE0" w:rsidRPr="00C44369" w:rsidRDefault="009B7EAB" w:rsidP="004D71F5">
      <w:pPr>
        <w:spacing w:line="276" w:lineRule="auto"/>
        <w:ind w:firstLine="709"/>
        <w:jc w:val="both"/>
        <w:rPr>
          <w:color w:val="000000"/>
          <w:sz w:val="22"/>
        </w:rPr>
      </w:pPr>
      <w:r w:rsidRPr="00C44369">
        <w:rPr>
          <w:color w:val="000000"/>
          <w:sz w:val="22"/>
        </w:rPr>
        <w:t xml:space="preserve"> </w:t>
      </w:r>
    </w:p>
    <w:p w14:paraId="0510E5C7" w14:textId="77777777" w:rsidR="00C370DA" w:rsidRPr="00C44369" w:rsidRDefault="00F50CCF" w:rsidP="00A74F80">
      <w:pPr>
        <w:spacing w:line="276" w:lineRule="auto"/>
        <w:ind w:firstLine="709"/>
        <w:jc w:val="both"/>
        <w:rPr>
          <w:sz w:val="22"/>
        </w:rPr>
      </w:pPr>
      <w:r w:rsidRPr="00C44369">
        <w:rPr>
          <w:sz w:val="22"/>
        </w:rPr>
        <w:t xml:space="preserve">И </w:t>
      </w:r>
      <w:proofErr w:type="spellStart"/>
      <w:r w:rsidRPr="00C44369">
        <w:rPr>
          <w:sz w:val="22"/>
        </w:rPr>
        <w:t>поред</w:t>
      </w:r>
      <w:proofErr w:type="spellEnd"/>
      <w:r w:rsidRPr="00C44369">
        <w:rPr>
          <w:sz w:val="22"/>
        </w:rPr>
        <w:t xml:space="preserve"> </w:t>
      </w:r>
      <w:proofErr w:type="spellStart"/>
      <w:r w:rsidRPr="00C44369">
        <w:rPr>
          <w:sz w:val="22"/>
        </w:rPr>
        <w:t>опредјељења</w:t>
      </w:r>
      <w:proofErr w:type="spellEnd"/>
      <w:r w:rsidRPr="00C44369">
        <w:rPr>
          <w:sz w:val="22"/>
        </w:rPr>
        <w:t xml:space="preserve"> </w:t>
      </w:r>
      <w:proofErr w:type="spellStart"/>
      <w:r w:rsidRPr="00C44369">
        <w:rPr>
          <w:sz w:val="22"/>
        </w:rPr>
        <w:t>Владе</w:t>
      </w:r>
      <w:proofErr w:type="spellEnd"/>
      <w:r w:rsidRPr="00C44369">
        <w:rPr>
          <w:sz w:val="22"/>
        </w:rPr>
        <w:t xml:space="preserve"> </w:t>
      </w:r>
      <w:proofErr w:type="spellStart"/>
      <w:r w:rsidRPr="00C44369">
        <w:rPr>
          <w:sz w:val="22"/>
        </w:rPr>
        <w:t>Републике</w:t>
      </w:r>
      <w:proofErr w:type="spellEnd"/>
      <w:r w:rsidRPr="00C44369">
        <w:rPr>
          <w:sz w:val="22"/>
        </w:rPr>
        <w:t xml:space="preserve"> </w:t>
      </w:r>
      <w:proofErr w:type="spellStart"/>
      <w:r w:rsidRPr="00C44369">
        <w:rPr>
          <w:sz w:val="22"/>
        </w:rPr>
        <w:t>Српске</w:t>
      </w:r>
      <w:proofErr w:type="spellEnd"/>
      <w:r w:rsidRPr="00C44369">
        <w:rPr>
          <w:sz w:val="22"/>
        </w:rPr>
        <w:t xml:space="preserve"> </w:t>
      </w:r>
      <w:proofErr w:type="spellStart"/>
      <w:r w:rsidRPr="00C44369">
        <w:rPr>
          <w:sz w:val="22"/>
        </w:rPr>
        <w:t>да</w:t>
      </w:r>
      <w:proofErr w:type="spellEnd"/>
      <w:r w:rsidRPr="00C44369">
        <w:rPr>
          <w:sz w:val="22"/>
        </w:rPr>
        <w:t xml:space="preserve"> </w:t>
      </w:r>
      <w:proofErr w:type="spellStart"/>
      <w:r w:rsidRPr="00C44369">
        <w:rPr>
          <w:sz w:val="22"/>
        </w:rPr>
        <w:t>ко</w:t>
      </w:r>
      <w:proofErr w:type="spellEnd"/>
      <w:r w:rsidR="00096235" w:rsidRPr="00C44369">
        <w:rPr>
          <w:sz w:val="22"/>
          <w:lang w:val="sr-Cyrl-RS"/>
        </w:rPr>
        <w:t>н</w:t>
      </w:r>
      <w:proofErr w:type="spellStart"/>
      <w:r w:rsidRPr="00C44369">
        <w:rPr>
          <w:sz w:val="22"/>
        </w:rPr>
        <w:t>солидује</w:t>
      </w:r>
      <w:proofErr w:type="spellEnd"/>
      <w:r w:rsidRPr="00C44369">
        <w:rPr>
          <w:sz w:val="22"/>
        </w:rPr>
        <w:t xml:space="preserve"> </w:t>
      </w:r>
      <w:proofErr w:type="spellStart"/>
      <w:r w:rsidRPr="00C44369">
        <w:rPr>
          <w:sz w:val="22"/>
        </w:rPr>
        <w:t>јавне</w:t>
      </w:r>
      <w:proofErr w:type="spellEnd"/>
      <w:r w:rsidRPr="00C44369">
        <w:rPr>
          <w:sz w:val="22"/>
        </w:rPr>
        <w:t xml:space="preserve"> </w:t>
      </w:r>
      <w:proofErr w:type="spellStart"/>
      <w:r w:rsidRPr="00C44369">
        <w:rPr>
          <w:sz w:val="22"/>
        </w:rPr>
        <w:t>финансије</w:t>
      </w:r>
      <w:proofErr w:type="spellEnd"/>
      <w:r w:rsidRPr="00C44369">
        <w:rPr>
          <w:sz w:val="22"/>
        </w:rPr>
        <w:t xml:space="preserve">, </w:t>
      </w:r>
      <w:proofErr w:type="spellStart"/>
      <w:r w:rsidRPr="00C44369">
        <w:rPr>
          <w:sz w:val="22"/>
        </w:rPr>
        <w:t>појава</w:t>
      </w:r>
      <w:proofErr w:type="spellEnd"/>
      <w:r w:rsidRPr="00C44369">
        <w:rPr>
          <w:sz w:val="22"/>
        </w:rPr>
        <w:t xml:space="preserve"> </w:t>
      </w:r>
      <w:proofErr w:type="spellStart"/>
      <w:r w:rsidR="00096235" w:rsidRPr="00C44369">
        <w:rPr>
          <w:sz w:val="22"/>
          <w:lang w:val="sr-Cyrl-RS"/>
        </w:rPr>
        <w:t>пандемије</w:t>
      </w:r>
      <w:proofErr w:type="spellEnd"/>
      <w:r w:rsidRPr="00C44369">
        <w:rPr>
          <w:sz w:val="22"/>
        </w:rPr>
        <w:t xml:space="preserve"> COVID-19, </w:t>
      </w:r>
      <w:proofErr w:type="spellStart"/>
      <w:r w:rsidRPr="00C44369">
        <w:rPr>
          <w:sz w:val="22"/>
        </w:rPr>
        <w:t>те</w:t>
      </w:r>
      <w:proofErr w:type="spellEnd"/>
      <w:r w:rsidRPr="00C44369">
        <w:rPr>
          <w:sz w:val="22"/>
        </w:rPr>
        <w:t xml:space="preserve"> </w:t>
      </w:r>
      <w:proofErr w:type="spellStart"/>
      <w:r w:rsidRPr="00C44369">
        <w:rPr>
          <w:sz w:val="22"/>
        </w:rPr>
        <w:t>потребе</w:t>
      </w:r>
      <w:proofErr w:type="spellEnd"/>
      <w:r w:rsidRPr="00C44369">
        <w:rPr>
          <w:sz w:val="22"/>
        </w:rPr>
        <w:t xml:space="preserve"> </w:t>
      </w:r>
      <w:proofErr w:type="spellStart"/>
      <w:r w:rsidRPr="00C44369">
        <w:rPr>
          <w:sz w:val="22"/>
        </w:rPr>
        <w:t>за</w:t>
      </w:r>
      <w:proofErr w:type="spellEnd"/>
      <w:r w:rsidRPr="00C44369">
        <w:rPr>
          <w:sz w:val="22"/>
        </w:rPr>
        <w:t xml:space="preserve"> </w:t>
      </w:r>
      <w:proofErr w:type="spellStart"/>
      <w:r w:rsidRPr="00C44369">
        <w:rPr>
          <w:sz w:val="22"/>
        </w:rPr>
        <w:t>санирањем</w:t>
      </w:r>
      <w:proofErr w:type="spellEnd"/>
      <w:r w:rsidRPr="00C44369">
        <w:rPr>
          <w:sz w:val="22"/>
        </w:rPr>
        <w:t xml:space="preserve"> </w:t>
      </w:r>
      <w:proofErr w:type="spellStart"/>
      <w:r w:rsidR="00096235" w:rsidRPr="00C44369">
        <w:rPr>
          <w:sz w:val="22"/>
        </w:rPr>
        <w:t>посљедица</w:t>
      </w:r>
      <w:proofErr w:type="spellEnd"/>
      <w:r w:rsidR="00096235" w:rsidRPr="00C44369">
        <w:rPr>
          <w:sz w:val="22"/>
        </w:rPr>
        <w:t xml:space="preserve"> </w:t>
      </w:r>
      <w:proofErr w:type="spellStart"/>
      <w:r w:rsidR="00096235" w:rsidRPr="00C44369">
        <w:rPr>
          <w:sz w:val="22"/>
        </w:rPr>
        <w:t>изазваних</w:t>
      </w:r>
      <w:proofErr w:type="spellEnd"/>
      <w:r w:rsidR="00096235" w:rsidRPr="00C44369">
        <w:rPr>
          <w:sz w:val="22"/>
        </w:rPr>
        <w:t xml:space="preserve"> </w:t>
      </w:r>
      <w:proofErr w:type="spellStart"/>
      <w:r w:rsidR="00096235" w:rsidRPr="00C44369">
        <w:rPr>
          <w:sz w:val="22"/>
        </w:rPr>
        <w:t>пандемијом</w:t>
      </w:r>
      <w:proofErr w:type="spellEnd"/>
      <w:r w:rsidRPr="00C44369">
        <w:rPr>
          <w:sz w:val="22"/>
        </w:rPr>
        <w:t xml:space="preserve">, </w:t>
      </w:r>
      <w:proofErr w:type="spellStart"/>
      <w:r w:rsidRPr="00C44369">
        <w:rPr>
          <w:sz w:val="22"/>
        </w:rPr>
        <w:t>одразиле</w:t>
      </w:r>
      <w:proofErr w:type="spellEnd"/>
      <w:r w:rsidRPr="00C44369">
        <w:rPr>
          <w:sz w:val="22"/>
        </w:rPr>
        <w:t xml:space="preserve"> </w:t>
      </w:r>
      <w:proofErr w:type="spellStart"/>
      <w:r w:rsidRPr="00C44369">
        <w:rPr>
          <w:sz w:val="22"/>
        </w:rPr>
        <w:t>су</w:t>
      </w:r>
      <w:proofErr w:type="spellEnd"/>
      <w:r w:rsidRPr="00C44369">
        <w:rPr>
          <w:sz w:val="22"/>
        </w:rPr>
        <w:t xml:space="preserve"> </w:t>
      </w:r>
      <w:proofErr w:type="spellStart"/>
      <w:r w:rsidRPr="00C44369">
        <w:rPr>
          <w:sz w:val="22"/>
        </w:rPr>
        <w:t>се</w:t>
      </w:r>
      <w:proofErr w:type="spellEnd"/>
      <w:r w:rsidRPr="00C44369">
        <w:rPr>
          <w:sz w:val="22"/>
        </w:rPr>
        <w:t xml:space="preserve"> </w:t>
      </w:r>
      <w:proofErr w:type="spellStart"/>
      <w:r w:rsidRPr="00C44369">
        <w:rPr>
          <w:sz w:val="22"/>
        </w:rPr>
        <w:t>нег</w:t>
      </w:r>
      <w:r w:rsidR="009B7EAB" w:rsidRPr="00C44369">
        <w:rPr>
          <w:sz w:val="22"/>
        </w:rPr>
        <w:t>ативно</w:t>
      </w:r>
      <w:proofErr w:type="spellEnd"/>
      <w:r w:rsidR="009B7EAB" w:rsidRPr="00C44369">
        <w:rPr>
          <w:sz w:val="22"/>
        </w:rPr>
        <w:t xml:space="preserve"> </w:t>
      </w:r>
      <w:proofErr w:type="spellStart"/>
      <w:r w:rsidR="009B7EAB" w:rsidRPr="00C44369">
        <w:rPr>
          <w:sz w:val="22"/>
        </w:rPr>
        <w:t>на</w:t>
      </w:r>
      <w:proofErr w:type="spellEnd"/>
      <w:r w:rsidR="009B7EAB" w:rsidRPr="00C44369">
        <w:rPr>
          <w:sz w:val="22"/>
        </w:rPr>
        <w:t xml:space="preserve"> </w:t>
      </w:r>
      <w:proofErr w:type="spellStart"/>
      <w:r w:rsidRPr="00C44369">
        <w:rPr>
          <w:sz w:val="22"/>
        </w:rPr>
        <w:t>пројектоване</w:t>
      </w:r>
      <w:proofErr w:type="spellEnd"/>
      <w:r w:rsidRPr="00C44369">
        <w:rPr>
          <w:sz w:val="22"/>
        </w:rPr>
        <w:t xml:space="preserve"> </w:t>
      </w:r>
      <w:proofErr w:type="spellStart"/>
      <w:r w:rsidRPr="00C44369">
        <w:rPr>
          <w:sz w:val="22"/>
        </w:rPr>
        <w:t>буџетске</w:t>
      </w:r>
      <w:proofErr w:type="spellEnd"/>
      <w:r w:rsidRPr="00C44369">
        <w:rPr>
          <w:sz w:val="22"/>
        </w:rPr>
        <w:t xml:space="preserve"> </w:t>
      </w:r>
      <w:proofErr w:type="spellStart"/>
      <w:r w:rsidRPr="00C44369">
        <w:rPr>
          <w:sz w:val="22"/>
        </w:rPr>
        <w:t>оквире</w:t>
      </w:r>
      <w:proofErr w:type="spellEnd"/>
      <w:r w:rsidRPr="00C44369">
        <w:rPr>
          <w:sz w:val="22"/>
        </w:rPr>
        <w:t xml:space="preserve"> </w:t>
      </w:r>
      <w:proofErr w:type="spellStart"/>
      <w:r w:rsidRPr="00C44369">
        <w:rPr>
          <w:sz w:val="22"/>
        </w:rPr>
        <w:t>на</w:t>
      </w:r>
      <w:proofErr w:type="spellEnd"/>
      <w:r w:rsidRPr="00C44369">
        <w:rPr>
          <w:sz w:val="22"/>
        </w:rPr>
        <w:t xml:space="preserve"> </w:t>
      </w:r>
      <w:proofErr w:type="spellStart"/>
      <w:r w:rsidRPr="00C44369">
        <w:rPr>
          <w:sz w:val="22"/>
        </w:rPr>
        <w:t>нивоу</w:t>
      </w:r>
      <w:proofErr w:type="spellEnd"/>
      <w:r w:rsidRPr="00C44369">
        <w:rPr>
          <w:sz w:val="22"/>
        </w:rPr>
        <w:t xml:space="preserve"> </w:t>
      </w:r>
      <w:proofErr w:type="spellStart"/>
      <w:r w:rsidRPr="00C44369">
        <w:rPr>
          <w:sz w:val="22"/>
        </w:rPr>
        <w:t>сектора</w:t>
      </w:r>
      <w:proofErr w:type="spellEnd"/>
      <w:r w:rsidRPr="00C44369">
        <w:rPr>
          <w:sz w:val="22"/>
        </w:rPr>
        <w:t xml:space="preserve"> </w:t>
      </w:r>
      <w:proofErr w:type="spellStart"/>
      <w:r w:rsidRPr="00C44369">
        <w:rPr>
          <w:sz w:val="22"/>
        </w:rPr>
        <w:t>опште</w:t>
      </w:r>
      <w:proofErr w:type="spellEnd"/>
      <w:r w:rsidRPr="00C44369">
        <w:rPr>
          <w:sz w:val="22"/>
        </w:rPr>
        <w:t xml:space="preserve"> </w:t>
      </w:r>
      <w:proofErr w:type="spellStart"/>
      <w:r w:rsidRPr="00C44369">
        <w:rPr>
          <w:sz w:val="22"/>
        </w:rPr>
        <w:t>владе</w:t>
      </w:r>
      <w:proofErr w:type="spellEnd"/>
      <w:r w:rsidR="009B7EAB" w:rsidRPr="00C44369">
        <w:rPr>
          <w:sz w:val="22"/>
        </w:rPr>
        <w:t xml:space="preserve"> </w:t>
      </w:r>
      <w:proofErr w:type="spellStart"/>
      <w:r w:rsidR="009B7EAB" w:rsidRPr="00C44369">
        <w:rPr>
          <w:sz w:val="22"/>
        </w:rPr>
        <w:t>за</w:t>
      </w:r>
      <w:proofErr w:type="spellEnd"/>
      <w:r w:rsidR="009B7EAB" w:rsidRPr="00C44369">
        <w:rPr>
          <w:sz w:val="22"/>
        </w:rPr>
        <w:t xml:space="preserve"> </w:t>
      </w:r>
      <w:proofErr w:type="spellStart"/>
      <w:r w:rsidR="009B7EAB" w:rsidRPr="00C44369">
        <w:rPr>
          <w:sz w:val="22"/>
        </w:rPr>
        <w:t>период</w:t>
      </w:r>
      <w:proofErr w:type="spellEnd"/>
      <w:r w:rsidR="009B7EAB" w:rsidRPr="00C44369">
        <w:rPr>
          <w:sz w:val="22"/>
        </w:rPr>
        <w:t xml:space="preserve"> 2021-2023. </w:t>
      </w:r>
      <w:proofErr w:type="spellStart"/>
      <w:r w:rsidR="009B7EAB" w:rsidRPr="00C44369">
        <w:rPr>
          <w:sz w:val="22"/>
        </w:rPr>
        <w:t>година</w:t>
      </w:r>
      <w:proofErr w:type="spellEnd"/>
      <w:r w:rsidR="009B7EAB" w:rsidRPr="00C44369">
        <w:rPr>
          <w:sz w:val="22"/>
        </w:rPr>
        <w:t>.</w:t>
      </w:r>
      <w:r w:rsidR="00C44369">
        <w:rPr>
          <w:sz w:val="22"/>
          <w:lang w:val="sr-Cyrl-RS"/>
        </w:rPr>
        <w:t xml:space="preserve"> </w:t>
      </w:r>
      <w:proofErr w:type="spellStart"/>
      <w:r w:rsidR="009B7EAB" w:rsidRPr="00C44369">
        <w:rPr>
          <w:sz w:val="22"/>
        </w:rPr>
        <w:t>Као</w:t>
      </w:r>
      <w:proofErr w:type="spellEnd"/>
      <w:r w:rsidR="009B7EAB" w:rsidRPr="00C44369">
        <w:rPr>
          <w:sz w:val="22"/>
        </w:rPr>
        <w:t xml:space="preserve"> </w:t>
      </w:r>
      <w:proofErr w:type="spellStart"/>
      <w:r w:rsidRPr="00C44369">
        <w:rPr>
          <w:sz w:val="22"/>
        </w:rPr>
        <w:t>резултат</w:t>
      </w:r>
      <w:proofErr w:type="spellEnd"/>
      <w:r w:rsidRPr="00C44369">
        <w:rPr>
          <w:sz w:val="22"/>
        </w:rPr>
        <w:t xml:space="preserve"> </w:t>
      </w:r>
      <w:proofErr w:type="spellStart"/>
      <w:r w:rsidRPr="00C44369">
        <w:rPr>
          <w:sz w:val="22"/>
        </w:rPr>
        <w:t>пројектованих</w:t>
      </w:r>
      <w:proofErr w:type="spellEnd"/>
      <w:r w:rsidRPr="00C44369">
        <w:rPr>
          <w:sz w:val="22"/>
        </w:rPr>
        <w:t xml:space="preserve"> </w:t>
      </w:r>
      <w:proofErr w:type="spellStart"/>
      <w:r w:rsidRPr="00C44369">
        <w:rPr>
          <w:sz w:val="22"/>
        </w:rPr>
        <w:t>буџетских</w:t>
      </w:r>
      <w:proofErr w:type="spellEnd"/>
      <w:r w:rsidRPr="00C44369">
        <w:rPr>
          <w:sz w:val="22"/>
        </w:rPr>
        <w:t xml:space="preserve"> </w:t>
      </w:r>
      <w:proofErr w:type="spellStart"/>
      <w:r w:rsidRPr="00C44369">
        <w:rPr>
          <w:sz w:val="22"/>
        </w:rPr>
        <w:t>оквира</w:t>
      </w:r>
      <w:proofErr w:type="spellEnd"/>
      <w:r w:rsidRPr="00C44369">
        <w:rPr>
          <w:sz w:val="22"/>
        </w:rPr>
        <w:t xml:space="preserve">, у </w:t>
      </w:r>
      <w:proofErr w:type="spellStart"/>
      <w:r w:rsidRPr="00C44369">
        <w:rPr>
          <w:sz w:val="22"/>
        </w:rPr>
        <w:t>посматраном</w:t>
      </w:r>
      <w:proofErr w:type="spellEnd"/>
      <w:r w:rsidRPr="00C44369">
        <w:rPr>
          <w:sz w:val="22"/>
        </w:rPr>
        <w:t xml:space="preserve"> </w:t>
      </w:r>
      <w:proofErr w:type="spellStart"/>
      <w:r w:rsidRPr="00C44369">
        <w:rPr>
          <w:sz w:val="22"/>
        </w:rPr>
        <w:t>перио</w:t>
      </w:r>
      <w:r w:rsidR="009B7EAB" w:rsidRPr="00C44369">
        <w:rPr>
          <w:sz w:val="22"/>
        </w:rPr>
        <w:t>ду</w:t>
      </w:r>
      <w:proofErr w:type="spellEnd"/>
      <w:r w:rsidR="009B7EAB" w:rsidRPr="00C44369">
        <w:rPr>
          <w:sz w:val="22"/>
        </w:rPr>
        <w:t xml:space="preserve"> </w:t>
      </w:r>
      <w:r w:rsidR="00C44369">
        <w:rPr>
          <w:sz w:val="22"/>
          <w:lang w:val="sr-Cyrl-RS"/>
        </w:rPr>
        <w:t>на нивоу сектора опште владе</w:t>
      </w:r>
      <w:r w:rsidR="009B7EAB" w:rsidRPr="00C44369">
        <w:rPr>
          <w:sz w:val="22"/>
        </w:rPr>
        <w:t xml:space="preserve"> </w:t>
      </w:r>
      <w:proofErr w:type="spellStart"/>
      <w:r w:rsidR="009B7EAB" w:rsidRPr="00C44369">
        <w:rPr>
          <w:sz w:val="22"/>
        </w:rPr>
        <w:t>планиран</w:t>
      </w:r>
      <w:proofErr w:type="spellEnd"/>
      <w:r w:rsidR="00C44369">
        <w:rPr>
          <w:sz w:val="22"/>
          <w:lang w:val="sr-Cyrl-RS"/>
        </w:rPr>
        <w:t xml:space="preserve"> је дефицит 2021-2022. година, и </w:t>
      </w:r>
      <w:proofErr w:type="spellStart"/>
      <w:r w:rsidR="00C44369">
        <w:rPr>
          <w:sz w:val="22"/>
          <w:lang w:val="sr-Cyrl-RS"/>
        </w:rPr>
        <w:t>блаи</w:t>
      </w:r>
      <w:proofErr w:type="spellEnd"/>
      <w:r w:rsidR="00C44369">
        <w:rPr>
          <w:sz w:val="22"/>
          <w:lang w:val="sr-Cyrl-RS"/>
        </w:rPr>
        <w:t xml:space="preserve"> суфицит 2023. године</w:t>
      </w:r>
      <w:r w:rsidRPr="00C44369">
        <w:rPr>
          <w:sz w:val="22"/>
        </w:rPr>
        <w:t xml:space="preserve">. У </w:t>
      </w:r>
      <w:proofErr w:type="spellStart"/>
      <w:r w:rsidRPr="00C44369">
        <w:rPr>
          <w:sz w:val="22"/>
        </w:rPr>
        <w:t>планираном</w:t>
      </w:r>
      <w:proofErr w:type="spellEnd"/>
      <w:r w:rsidRPr="00C44369">
        <w:rPr>
          <w:sz w:val="22"/>
        </w:rPr>
        <w:t xml:space="preserve"> </w:t>
      </w:r>
      <w:proofErr w:type="spellStart"/>
      <w:r w:rsidRPr="00C44369">
        <w:rPr>
          <w:sz w:val="22"/>
        </w:rPr>
        <w:t>буџетском</w:t>
      </w:r>
      <w:proofErr w:type="spellEnd"/>
      <w:r w:rsidRPr="00C44369">
        <w:rPr>
          <w:sz w:val="22"/>
        </w:rPr>
        <w:t xml:space="preserve"> </w:t>
      </w:r>
      <w:proofErr w:type="spellStart"/>
      <w:r w:rsidRPr="00C44369">
        <w:rPr>
          <w:sz w:val="22"/>
        </w:rPr>
        <w:t>оквиру</w:t>
      </w:r>
      <w:proofErr w:type="spellEnd"/>
      <w:r w:rsidRPr="00C44369">
        <w:rPr>
          <w:sz w:val="22"/>
        </w:rPr>
        <w:t>,</w:t>
      </w:r>
      <w:r w:rsidR="00C44369">
        <w:rPr>
          <w:sz w:val="22"/>
          <w:lang w:val="sr-Cyrl-RS"/>
        </w:rPr>
        <w:t xml:space="preserve"> за</w:t>
      </w:r>
      <w:r w:rsidR="00A74F80" w:rsidRPr="00C44369">
        <w:rPr>
          <w:sz w:val="22"/>
        </w:rPr>
        <w:t xml:space="preserve"> </w:t>
      </w:r>
      <w:proofErr w:type="spellStart"/>
      <w:r w:rsidR="00C44369">
        <w:rPr>
          <w:sz w:val="22"/>
        </w:rPr>
        <w:t>п</w:t>
      </w:r>
      <w:r w:rsidR="009B7EAB" w:rsidRPr="00C44369">
        <w:rPr>
          <w:sz w:val="22"/>
        </w:rPr>
        <w:t>одсектор</w:t>
      </w:r>
      <w:proofErr w:type="spellEnd"/>
      <w:r w:rsidR="009B7EAB" w:rsidRPr="00C44369">
        <w:rPr>
          <w:sz w:val="22"/>
        </w:rPr>
        <w:t xml:space="preserve"> </w:t>
      </w:r>
      <w:proofErr w:type="spellStart"/>
      <w:r w:rsidR="009B7EAB" w:rsidRPr="00C44369">
        <w:rPr>
          <w:sz w:val="22"/>
        </w:rPr>
        <w:t>јединице</w:t>
      </w:r>
      <w:proofErr w:type="spellEnd"/>
      <w:r w:rsidR="009B7EAB" w:rsidRPr="00C44369">
        <w:rPr>
          <w:sz w:val="22"/>
        </w:rPr>
        <w:t xml:space="preserve"> </w:t>
      </w:r>
      <w:proofErr w:type="spellStart"/>
      <w:r w:rsidRPr="00C44369">
        <w:rPr>
          <w:sz w:val="22"/>
        </w:rPr>
        <w:t>локалне</w:t>
      </w:r>
      <w:proofErr w:type="spellEnd"/>
      <w:r w:rsidRPr="00C44369">
        <w:rPr>
          <w:sz w:val="22"/>
        </w:rPr>
        <w:t xml:space="preserve"> </w:t>
      </w:r>
      <w:proofErr w:type="spellStart"/>
      <w:r w:rsidRPr="00C44369">
        <w:rPr>
          <w:sz w:val="22"/>
        </w:rPr>
        <w:t>самоуправе</w:t>
      </w:r>
      <w:proofErr w:type="spellEnd"/>
      <w:r w:rsidR="00C44369">
        <w:rPr>
          <w:sz w:val="22"/>
          <w:lang w:val="sr-Cyrl-RS"/>
        </w:rPr>
        <w:t>,</w:t>
      </w:r>
      <w:r w:rsidRPr="00C44369">
        <w:rPr>
          <w:sz w:val="22"/>
        </w:rPr>
        <w:t xml:space="preserve"> </w:t>
      </w:r>
      <w:proofErr w:type="spellStart"/>
      <w:r w:rsidRPr="00C44369">
        <w:rPr>
          <w:sz w:val="22"/>
        </w:rPr>
        <w:t>кроз</w:t>
      </w:r>
      <w:proofErr w:type="spellEnd"/>
      <w:r w:rsidRPr="00C44369">
        <w:rPr>
          <w:sz w:val="22"/>
        </w:rPr>
        <w:t xml:space="preserve"> </w:t>
      </w:r>
      <w:proofErr w:type="spellStart"/>
      <w:r w:rsidRPr="00C44369">
        <w:rPr>
          <w:sz w:val="22"/>
        </w:rPr>
        <w:t>цијели</w:t>
      </w:r>
      <w:proofErr w:type="spellEnd"/>
      <w:r w:rsidRPr="00C44369">
        <w:rPr>
          <w:sz w:val="22"/>
        </w:rPr>
        <w:t xml:space="preserve"> </w:t>
      </w:r>
      <w:proofErr w:type="spellStart"/>
      <w:r w:rsidRPr="00C44369">
        <w:rPr>
          <w:sz w:val="22"/>
        </w:rPr>
        <w:t>посматрани</w:t>
      </w:r>
      <w:proofErr w:type="spellEnd"/>
      <w:r w:rsidRPr="00C44369">
        <w:rPr>
          <w:sz w:val="22"/>
        </w:rPr>
        <w:t xml:space="preserve"> </w:t>
      </w:r>
      <w:proofErr w:type="spellStart"/>
      <w:r w:rsidRPr="00C44369">
        <w:rPr>
          <w:sz w:val="22"/>
        </w:rPr>
        <w:t>период</w:t>
      </w:r>
      <w:proofErr w:type="spellEnd"/>
      <w:r w:rsidR="00C44369">
        <w:rPr>
          <w:sz w:val="22"/>
          <w:lang w:val="sr-Cyrl-RS"/>
        </w:rPr>
        <w:t>,</w:t>
      </w:r>
      <w:r w:rsidRPr="00C44369">
        <w:rPr>
          <w:sz w:val="22"/>
        </w:rPr>
        <w:t xml:space="preserve"> </w:t>
      </w:r>
      <w:proofErr w:type="spellStart"/>
      <w:r w:rsidRPr="00C44369">
        <w:rPr>
          <w:sz w:val="22"/>
        </w:rPr>
        <w:t>планира</w:t>
      </w:r>
      <w:proofErr w:type="spellEnd"/>
      <w:r w:rsidR="00C44369">
        <w:rPr>
          <w:sz w:val="22"/>
          <w:lang w:val="sr-Cyrl-RS"/>
        </w:rPr>
        <w:t>н је</w:t>
      </w:r>
      <w:r w:rsidRPr="00C44369">
        <w:rPr>
          <w:sz w:val="22"/>
        </w:rPr>
        <w:t xml:space="preserve"> </w:t>
      </w:r>
      <w:proofErr w:type="spellStart"/>
      <w:r w:rsidRPr="00C44369">
        <w:rPr>
          <w:sz w:val="22"/>
        </w:rPr>
        <w:t>суфицит</w:t>
      </w:r>
      <w:proofErr w:type="spellEnd"/>
      <w:r w:rsidRPr="00C44369">
        <w:rPr>
          <w:sz w:val="22"/>
        </w:rPr>
        <w:t>.</w:t>
      </w:r>
    </w:p>
    <w:p w14:paraId="744BBD22" w14:textId="77777777" w:rsidR="00A82B11" w:rsidRPr="00A82B11" w:rsidRDefault="00A82B11" w:rsidP="00334757">
      <w:pPr>
        <w:spacing w:line="276" w:lineRule="auto"/>
        <w:ind w:firstLine="709"/>
        <w:jc w:val="both"/>
        <w:rPr>
          <w:sz w:val="22"/>
        </w:rPr>
      </w:pPr>
    </w:p>
    <w:p w14:paraId="18A3CA40" w14:textId="77777777" w:rsidR="00162BD5" w:rsidRPr="00A74F80" w:rsidRDefault="00E71746" w:rsidP="00A74F80">
      <w:pPr>
        <w:pStyle w:val="Heading1"/>
        <w:jc w:val="both"/>
        <w:rPr>
          <w:sz w:val="22"/>
          <w:lang w:val="sr-Cyrl-RS"/>
        </w:rPr>
      </w:pPr>
      <w:bookmarkStart w:id="11" w:name="_Toc59550011"/>
      <w:r w:rsidRPr="00A74F80">
        <w:rPr>
          <w:sz w:val="22"/>
        </w:rPr>
        <w:t>3</w:t>
      </w:r>
      <w:r w:rsidR="000E7AB1" w:rsidRPr="00A74F80">
        <w:rPr>
          <w:sz w:val="22"/>
        </w:rPr>
        <w:t>.</w:t>
      </w:r>
      <w:r w:rsidR="002C1204" w:rsidRPr="00A74F80">
        <w:rPr>
          <w:sz w:val="22"/>
        </w:rPr>
        <w:t xml:space="preserve"> </w:t>
      </w:r>
      <w:r w:rsidR="00792A09" w:rsidRPr="00A74F80">
        <w:rPr>
          <w:sz w:val="22"/>
        </w:rPr>
        <w:t xml:space="preserve"> </w:t>
      </w:r>
      <w:r w:rsidR="005F0A05">
        <w:rPr>
          <w:sz w:val="22"/>
          <w:lang w:val="sr-Cyrl-RS"/>
        </w:rPr>
        <w:t>СТАЊЕ</w:t>
      </w:r>
      <w:r w:rsidR="004B5FC5" w:rsidRPr="00A74F80">
        <w:rPr>
          <w:sz w:val="22"/>
          <w:lang w:val="sr-Cyrl-RS"/>
        </w:rPr>
        <w:t xml:space="preserve"> ПРИХОДА У ЈЕДИНИЦАМА ЛОКАЛНЕ САМОУПРАВЕ У РС ЗА ВРИЈЕМЕ КРИЗЕ ИЗАЗВАНЕ ПАНДЕМИЈОМ </w:t>
      </w:r>
      <w:r w:rsidR="004B5FC5" w:rsidRPr="00A74F80">
        <w:rPr>
          <w:sz w:val="22"/>
          <w:lang w:val="en-US"/>
        </w:rPr>
        <w:t xml:space="preserve">COVID-19 </w:t>
      </w:r>
      <w:r w:rsidR="006B2AA5" w:rsidRPr="00A74F80">
        <w:rPr>
          <w:sz w:val="22"/>
          <w:lang w:val="sr-Cyrl-RS"/>
        </w:rPr>
        <w:t>– УПИТНИК САВЕЗА ОПШТИНА И ГРАДОВА РС</w:t>
      </w:r>
      <w:bookmarkEnd w:id="11"/>
    </w:p>
    <w:p w14:paraId="5E92A754" w14:textId="77777777" w:rsidR="00EA6FFA" w:rsidRPr="00A82B11" w:rsidRDefault="00EA6FFA" w:rsidP="00EA6FFA">
      <w:pPr>
        <w:spacing w:before="120" w:line="276" w:lineRule="auto"/>
        <w:ind w:firstLine="709"/>
        <w:jc w:val="both"/>
        <w:rPr>
          <w:sz w:val="22"/>
          <w:lang w:val="sr-Cyrl-RS"/>
        </w:rPr>
      </w:pPr>
      <w:r w:rsidRPr="00A82B11">
        <w:rPr>
          <w:sz w:val="22"/>
          <w:lang w:val="sr-Cyrl-BA"/>
        </w:rPr>
        <w:t>У н</w:t>
      </w:r>
      <w:r w:rsidR="00162BD5" w:rsidRPr="00A82B11">
        <w:rPr>
          <w:sz w:val="22"/>
          <w:lang w:val="sr-Cyrl-BA"/>
        </w:rPr>
        <w:t>аставку се даје краћи  коментар</w:t>
      </w:r>
      <w:r w:rsidRPr="00A82B11">
        <w:rPr>
          <w:sz w:val="22"/>
          <w:lang w:val="sr-Cyrl-BA"/>
        </w:rPr>
        <w:t xml:space="preserve"> у вези  динамике прихода (пореских и </w:t>
      </w:r>
      <w:proofErr w:type="spellStart"/>
      <w:r w:rsidRPr="00A82B11">
        <w:rPr>
          <w:sz w:val="22"/>
          <w:lang w:val="sr-Cyrl-BA"/>
        </w:rPr>
        <w:t>непореских</w:t>
      </w:r>
      <w:proofErr w:type="spellEnd"/>
      <w:r w:rsidRPr="00A82B11">
        <w:rPr>
          <w:sz w:val="22"/>
          <w:lang w:val="sr-Cyrl-BA"/>
        </w:rPr>
        <w:t>)</w:t>
      </w:r>
      <w:r w:rsidR="00162BD5" w:rsidRPr="00A82B11">
        <w:rPr>
          <w:sz w:val="22"/>
          <w:lang w:val="sr-Cyrl-BA"/>
        </w:rPr>
        <w:t xml:space="preserve"> у периоду јануар- април 2020. године, </w:t>
      </w:r>
      <w:r w:rsidRPr="00A82B11">
        <w:rPr>
          <w:sz w:val="22"/>
          <w:lang w:val="sr-Cyrl-BA"/>
        </w:rPr>
        <w:t xml:space="preserve">према подацима добијеним </w:t>
      </w:r>
      <w:r w:rsidR="00162BD5" w:rsidRPr="00A82B11">
        <w:rPr>
          <w:sz w:val="22"/>
          <w:lang w:val="sr-Cyrl-BA"/>
        </w:rPr>
        <w:t xml:space="preserve">од </w:t>
      </w:r>
      <w:r w:rsidRPr="00A82B11">
        <w:rPr>
          <w:sz w:val="22"/>
          <w:lang w:val="sr-Cyrl-BA"/>
        </w:rPr>
        <w:t xml:space="preserve"> Савеза општина и градова РС</w:t>
      </w:r>
      <w:r w:rsidRPr="00A82B11">
        <w:rPr>
          <w:rStyle w:val="FootnoteReference"/>
          <w:sz w:val="22"/>
          <w:lang w:val="sr-Cyrl-BA"/>
        </w:rPr>
        <w:footnoteReference w:id="6"/>
      </w:r>
      <w:r w:rsidRPr="00A82B11">
        <w:rPr>
          <w:sz w:val="22"/>
          <w:lang w:val="sr-Cyrl-BA"/>
        </w:rPr>
        <w:t xml:space="preserve"> (</w:t>
      </w:r>
      <w:r w:rsidRPr="00A82B11">
        <w:rPr>
          <w:sz w:val="22"/>
          <w:lang w:val="sr-Cyrl-RS"/>
        </w:rPr>
        <w:t>подаци се односе на 36 општина и градова у РС, које су од</w:t>
      </w:r>
      <w:r w:rsidR="00162BD5" w:rsidRPr="00A82B11">
        <w:rPr>
          <w:sz w:val="22"/>
          <w:lang w:val="sr-Cyrl-RS"/>
        </w:rPr>
        <w:t>г</w:t>
      </w:r>
      <w:r w:rsidRPr="00A82B11">
        <w:rPr>
          <w:sz w:val="22"/>
          <w:lang w:val="sr-Cyrl-RS"/>
        </w:rPr>
        <w:t>овориле, иако је упитник послат свим ЈЛС</w:t>
      </w:r>
      <w:r w:rsidRPr="00A82B11">
        <w:rPr>
          <w:sz w:val="22"/>
          <w:lang w:val="sr-Cyrl-BA"/>
        </w:rPr>
        <w:t>)</w:t>
      </w:r>
      <w:r w:rsidRPr="00A82B11">
        <w:rPr>
          <w:sz w:val="22"/>
          <w:lang w:val="sr-Cyrl-RS"/>
        </w:rPr>
        <w:t>.</w:t>
      </w:r>
    </w:p>
    <w:p w14:paraId="3B2A368E" w14:textId="77777777" w:rsidR="00EA6FFA" w:rsidRPr="00A82B11" w:rsidRDefault="00EA6FFA" w:rsidP="00EA6FFA">
      <w:pPr>
        <w:spacing w:before="120" w:line="276" w:lineRule="auto"/>
        <w:ind w:firstLine="709"/>
        <w:jc w:val="both"/>
        <w:rPr>
          <w:sz w:val="22"/>
          <w:lang w:val="sr-Cyrl-RS"/>
        </w:rPr>
      </w:pPr>
      <w:r w:rsidRPr="00A82B11">
        <w:rPr>
          <w:sz w:val="22"/>
          <w:lang w:val="sr-Cyrl-RS"/>
        </w:rPr>
        <w:t>Анализа показује:</w:t>
      </w:r>
    </w:p>
    <w:p w14:paraId="5D7BB4C9" w14:textId="77777777" w:rsidR="00EA6FFA" w:rsidRPr="00A82B11" w:rsidRDefault="00EA6FFA" w:rsidP="00652B74">
      <w:pPr>
        <w:pStyle w:val="ListParagraph"/>
        <w:numPr>
          <w:ilvl w:val="0"/>
          <w:numId w:val="6"/>
        </w:numPr>
        <w:spacing w:before="120" w:line="276" w:lineRule="auto"/>
        <w:ind w:left="284" w:firstLine="283"/>
        <w:jc w:val="both"/>
        <w:rPr>
          <w:sz w:val="22"/>
          <w:lang w:val="sr-Cyrl-RS"/>
        </w:rPr>
      </w:pPr>
      <w:r w:rsidRPr="00A82B11">
        <w:rPr>
          <w:sz w:val="22"/>
          <w:lang w:val="sr-Cyrl-RS"/>
        </w:rPr>
        <w:t xml:space="preserve">У </w:t>
      </w:r>
      <w:r w:rsidRPr="00A82B11">
        <w:rPr>
          <w:sz w:val="22"/>
          <w:lang w:val="sr-Cyrl-BA"/>
        </w:rPr>
        <w:t xml:space="preserve"> свим анкетираним јединицама локалне самоуправе,</w:t>
      </w:r>
      <w:r w:rsidR="00162BD5" w:rsidRPr="00A82B11">
        <w:rPr>
          <w:sz w:val="22"/>
          <w:lang w:val="sr-Cyrl-BA"/>
        </w:rPr>
        <w:t xml:space="preserve"> </w:t>
      </w:r>
      <w:r w:rsidRPr="00A82B11">
        <w:rPr>
          <w:sz w:val="22"/>
          <w:lang w:val="sr-Cyrl-BA"/>
        </w:rPr>
        <w:t xml:space="preserve">осим код једне неразвијене и једне изразито неразвијене,  у првом кварталу 2020. године у односу на исти период 2019. године дошло је до повећања реализације </w:t>
      </w:r>
      <w:r w:rsidRPr="00A82B11">
        <w:rPr>
          <w:b/>
          <w:sz w:val="22"/>
          <w:lang w:val="sr-Cyrl-BA"/>
        </w:rPr>
        <w:t>пореских прихода</w:t>
      </w:r>
      <w:r w:rsidR="00822F5A">
        <w:rPr>
          <w:sz w:val="22"/>
          <w:lang w:val="sr-Cyrl-BA"/>
        </w:rPr>
        <w:t xml:space="preserve">. </w:t>
      </w:r>
      <w:r w:rsidR="00822F5A">
        <w:rPr>
          <w:sz w:val="22"/>
          <w:lang w:val="sr-Cyrl-RS"/>
        </w:rPr>
        <w:t>Номинални раст на нивоу свих анкетираних ЈЛС је око</w:t>
      </w:r>
      <w:r w:rsidRPr="00A82B11">
        <w:rPr>
          <w:sz w:val="22"/>
          <w:lang w:val="sr-Cyrl-BA"/>
        </w:rPr>
        <w:t>7 милиона КМ</w:t>
      </w:r>
      <w:r w:rsidR="00822F5A">
        <w:rPr>
          <w:sz w:val="22"/>
          <w:lang w:val="sr-Cyrl-BA"/>
        </w:rPr>
        <w:t>, односно, за 11% више него у првом кварталу 2019. године</w:t>
      </w:r>
      <w:r w:rsidR="00E664B3">
        <w:rPr>
          <w:sz w:val="22"/>
          <w:lang w:val="sr-Cyrl-BA"/>
        </w:rPr>
        <w:t xml:space="preserve"> (а кретао се од +4%-Хан Пијесак и Соколац, до +79%-И. Н. Сарајево)</w:t>
      </w:r>
      <w:r w:rsidRPr="00A82B11">
        <w:rPr>
          <w:sz w:val="22"/>
          <w:lang w:val="sr-Cyrl-BA"/>
        </w:rPr>
        <w:t xml:space="preserve">. У  овој групи прихода доминирају индиректни порези прикупљени </w:t>
      </w:r>
      <w:proofErr w:type="spellStart"/>
      <w:r w:rsidRPr="00A82B11">
        <w:rPr>
          <w:sz w:val="22"/>
          <w:lang w:val="sr-Cyrl-BA"/>
        </w:rPr>
        <w:t>преко</w:t>
      </w:r>
      <w:proofErr w:type="spellEnd"/>
      <w:r w:rsidRPr="00A82B11">
        <w:rPr>
          <w:sz w:val="22"/>
          <w:lang w:val="sr-Cyrl-BA"/>
        </w:rPr>
        <w:t xml:space="preserve"> УИО БиХ, и кој</w:t>
      </w:r>
      <w:r w:rsidR="004C36B6">
        <w:rPr>
          <w:sz w:val="22"/>
          <w:lang w:val="sr-Cyrl-BA"/>
        </w:rPr>
        <w:t xml:space="preserve">и у структури укупних прихода, </w:t>
      </w:r>
      <w:r w:rsidRPr="00A82B11">
        <w:rPr>
          <w:sz w:val="22"/>
          <w:lang w:val="sr-Cyrl-BA"/>
        </w:rPr>
        <w:t xml:space="preserve">у просјеку,  учествују са око 50%. Изузетак су развијене </w:t>
      </w:r>
      <w:r w:rsidRPr="00A82B11">
        <w:rPr>
          <w:sz w:val="22"/>
          <w:lang w:val="sr-Cyrl-BA"/>
        </w:rPr>
        <w:lastRenderedPageBreak/>
        <w:t xml:space="preserve">ЈЛС, и то оне које имају највећи број становника, гдје све више расте релативни </w:t>
      </w:r>
      <w:proofErr w:type="spellStart"/>
      <w:r w:rsidRPr="00A82B11">
        <w:rPr>
          <w:sz w:val="22"/>
          <w:lang w:val="sr-Cyrl-BA"/>
        </w:rPr>
        <w:t>удио</w:t>
      </w:r>
      <w:proofErr w:type="spellEnd"/>
      <w:r w:rsidRPr="00A82B11">
        <w:rPr>
          <w:sz w:val="22"/>
          <w:lang w:val="sr-Cyrl-BA"/>
        </w:rPr>
        <w:t xml:space="preserve"> прихода од пореза на непокретности. </w:t>
      </w:r>
    </w:p>
    <w:p w14:paraId="6DD35CA2" w14:textId="77777777" w:rsidR="00EA6FFA" w:rsidRPr="00A82B11" w:rsidRDefault="00EA6FFA" w:rsidP="00652B74">
      <w:pPr>
        <w:pStyle w:val="ListParagraph"/>
        <w:numPr>
          <w:ilvl w:val="0"/>
          <w:numId w:val="6"/>
        </w:numPr>
        <w:spacing w:before="120" w:line="276" w:lineRule="auto"/>
        <w:ind w:left="284" w:firstLine="283"/>
        <w:jc w:val="both"/>
        <w:rPr>
          <w:sz w:val="22"/>
          <w:lang w:val="sr-Cyrl-RS"/>
        </w:rPr>
      </w:pPr>
      <w:r w:rsidRPr="00A82B11">
        <w:rPr>
          <w:sz w:val="22"/>
          <w:lang w:val="sr-Cyrl-BA"/>
        </w:rPr>
        <w:t xml:space="preserve">До преокрета долази већ у мјесецу априлу 2020. године, када је евидентан драматичан пад </w:t>
      </w:r>
      <w:r w:rsidRPr="00A82B11">
        <w:rPr>
          <w:b/>
          <w:sz w:val="22"/>
          <w:lang w:val="sr-Cyrl-BA"/>
        </w:rPr>
        <w:t>пореских прихода</w:t>
      </w:r>
      <w:r w:rsidRPr="00A82B11">
        <w:rPr>
          <w:sz w:val="22"/>
          <w:lang w:val="sr-Cyrl-BA"/>
        </w:rPr>
        <w:t xml:space="preserve"> у односу на април</w:t>
      </w:r>
      <w:r w:rsidR="009E660B">
        <w:rPr>
          <w:sz w:val="22"/>
          <w:lang w:val="sr-Cyrl-BA"/>
        </w:rPr>
        <w:t xml:space="preserve"> 2019. године, односно, укупно извршење је номинално мање </w:t>
      </w:r>
      <w:r w:rsidRPr="00A82B11">
        <w:rPr>
          <w:sz w:val="22"/>
          <w:lang w:val="sr-Cyrl-BA"/>
        </w:rPr>
        <w:t xml:space="preserve">за око </w:t>
      </w:r>
      <w:r w:rsidR="009819E2">
        <w:rPr>
          <w:sz w:val="22"/>
          <w:lang w:val="sr-Cyrl-BA"/>
        </w:rPr>
        <w:t>9,9</w:t>
      </w:r>
      <w:r w:rsidR="009E660B">
        <w:rPr>
          <w:sz w:val="22"/>
          <w:lang w:val="sr-Cyrl-BA"/>
        </w:rPr>
        <w:t xml:space="preserve"> милиона КМ или за 36%</w:t>
      </w:r>
      <w:r w:rsidRPr="00A82B11">
        <w:rPr>
          <w:sz w:val="22"/>
          <w:lang w:val="sr-Cyrl-BA"/>
        </w:rPr>
        <w:t xml:space="preserve">, </w:t>
      </w:r>
      <w:r w:rsidR="009E660B">
        <w:rPr>
          <w:sz w:val="22"/>
          <w:lang w:val="sr-Cyrl-BA"/>
        </w:rPr>
        <w:t>а</w:t>
      </w:r>
      <w:r w:rsidRPr="00A82B11">
        <w:rPr>
          <w:sz w:val="22"/>
          <w:lang w:val="sr-Cyrl-BA"/>
        </w:rPr>
        <w:t xml:space="preserve"> прије свега </w:t>
      </w:r>
      <w:r w:rsidR="00CA06B5">
        <w:rPr>
          <w:sz w:val="22"/>
          <w:lang w:val="sr-Cyrl-BA"/>
        </w:rPr>
        <w:t xml:space="preserve">због </w:t>
      </w:r>
      <w:r w:rsidRPr="00A82B11">
        <w:rPr>
          <w:sz w:val="22"/>
          <w:lang w:val="sr-Cyrl-BA"/>
        </w:rPr>
        <w:t xml:space="preserve">пада прихода од индиректних пореза. Мјера </w:t>
      </w:r>
      <w:r w:rsidR="00E756A3" w:rsidRPr="00A82B11">
        <w:rPr>
          <w:sz w:val="22"/>
          <w:lang w:val="sr-Cyrl-RS"/>
        </w:rPr>
        <w:t xml:space="preserve">закључавање </w:t>
      </w:r>
      <w:r w:rsidR="00E756A3" w:rsidRPr="00A82B11">
        <w:rPr>
          <w:sz w:val="22"/>
        </w:rPr>
        <w:t>(</w:t>
      </w:r>
      <w:proofErr w:type="spellStart"/>
      <w:r w:rsidR="00E756A3" w:rsidRPr="00A82B11">
        <w:rPr>
          <w:sz w:val="22"/>
          <w:lang w:val="en-US"/>
        </w:rPr>
        <w:t>engl</w:t>
      </w:r>
      <w:proofErr w:type="spellEnd"/>
      <w:r w:rsidRPr="00A82B11">
        <w:rPr>
          <w:sz w:val="22"/>
        </w:rPr>
        <w:t xml:space="preserve">. </w:t>
      </w:r>
      <w:proofErr w:type="spellStart"/>
      <w:r w:rsidRPr="00A82B11">
        <w:rPr>
          <w:sz w:val="22"/>
        </w:rPr>
        <w:t>lockdown</w:t>
      </w:r>
      <w:proofErr w:type="spellEnd"/>
      <w:r w:rsidRPr="00A82B11">
        <w:rPr>
          <w:sz w:val="22"/>
        </w:rPr>
        <w:t>)</w:t>
      </w:r>
      <w:r w:rsidRPr="00A82B11">
        <w:rPr>
          <w:sz w:val="22"/>
          <w:lang w:val="sr-Cyrl-RS"/>
        </w:rPr>
        <w:t xml:space="preserve"> у циљу сузбијања епидемије</w:t>
      </w:r>
      <w:r w:rsidRPr="00A82B11">
        <w:rPr>
          <w:sz w:val="22"/>
        </w:rPr>
        <w:t>,</w:t>
      </w:r>
      <w:r w:rsidRPr="00A82B11">
        <w:rPr>
          <w:sz w:val="22"/>
          <w:lang w:val="sr-Cyrl-RS"/>
        </w:rPr>
        <w:t xml:space="preserve"> имала је одмах изразит</w:t>
      </w:r>
      <w:r w:rsidR="00E664B3">
        <w:rPr>
          <w:sz w:val="22"/>
          <w:lang w:val="sr-Cyrl-RS"/>
        </w:rPr>
        <w:t>о негативне посљедице. Присутан</w:t>
      </w:r>
      <w:r w:rsidRPr="00A82B11">
        <w:rPr>
          <w:sz w:val="22"/>
          <w:lang w:val="sr-Cyrl-RS"/>
        </w:rPr>
        <w:t xml:space="preserve"> је био и пад прихода од пореза </w:t>
      </w:r>
      <w:r w:rsidR="00E756A3" w:rsidRPr="00A82B11">
        <w:rPr>
          <w:sz w:val="22"/>
          <w:lang w:val="sr-Cyrl-RS"/>
        </w:rPr>
        <w:t xml:space="preserve">на </w:t>
      </w:r>
      <w:r w:rsidRPr="00A82B11">
        <w:rPr>
          <w:sz w:val="22"/>
          <w:lang w:val="sr-Cyrl-RS"/>
        </w:rPr>
        <w:t>л</w:t>
      </w:r>
      <w:r w:rsidR="00E756A3" w:rsidRPr="00A82B11">
        <w:rPr>
          <w:sz w:val="22"/>
          <w:lang w:val="sr-Cyrl-RS"/>
        </w:rPr>
        <w:t>ична примања и прихода</w:t>
      </w:r>
      <w:r w:rsidRPr="00A82B11">
        <w:rPr>
          <w:sz w:val="22"/>
          <w:lang w:val="sr-Cyrl-RS"/>
        </w:rPr>
        <w:t xml:space="preserve"> од самосталних </w:t>
      </w:r>
      <w:proofErr w:type="spellStart"/>
      <w:r w:rsidRPr="00A82B11">
        <w:rPr>
          <w:sz w:val="22"/>
          <w:lang w:val="sr-Cyrl-RS"/>
        </w:rPr>
        <w:t>дјелатности</w:t>
      </w:r>
      <w:proofErr w:type="spellEnd"/>
      <w:r w:rsidRPr="00A82B11">
        <w:rPr>
          <w:sz w:val="22"/>
          <w:lang w:val="sr-Cyrl-RS"/>
        </w:rPr>
        <w:t xml:space="preserve">, што је у наредном периоду компензирано кроз </w:t>
      </w:r>
      <w:proofErr w:type="spellStart"/>
      <w:r w:rsidRPr="00A82B11">
        <w:rPr>
          <w:sz w:val="22"/>
          <w:lang w:val="sr-Cyrl-RS"/>
        </w:rPr>
        <w:t>мјере</w:t>
      </w:r>
      <w:proofErr w:type="spellEnd"/>
      <w:r w:rsidRPr="00A82B11">
        <w:rPr>
          <w:sz w:val="22"/>
          <w:lang w:val="sr-Cyrl-RS"/>
        </w:rPr>
        <w:t xml:space="preserve"> подршке привреди, које је предузела Влада РС. Дакле, најзначајнији приход свих ЈЛС, показао се као </w:t>
      </w:r>
      <w:proofErr w:type="spellStart"/>
      <w:r w:rsidRPr="00A82B11">
        <w:rPr>
          <w:sz w:val="22"/>
          <w:lang w:val="sr-Cyrl-RS"/>
        </w:rPr>
        <w:t>наосјетљивији</w:t>
      </w:r>
      <w:proofErr w:type="spellEnd"/>
      <w:r w:rsidRPr="00A82B11">
        <w:rPr>
          <w:sz w:val="22"/>
          <w:lang w:val="sr-Cyrl-RS"/>
        </w:rPr>
        <w:t xml:space="preserve"> у </w:t>
      </w:r>
      <w:proofErr w:type="spellStart"/>
      <w:r w:rsidRPr="00A82B11">
        <w:rPr>
          <w:sz w:val="22"/>
          <w:lang w:val="sr-Cyrl-RS"/>
        </w:rPr>
        <w:t>вријеме</w:t>
      </w:r>
      <w:proofErr w:type="spellEnd"/>
      <w:r w:rsidRPr="00A82B11">
        <w:rPr>
          <w:sz w:val="22"/>
          <w:lang w:val="sr-Cyrl-RS"/>
        </w:rPr>
        <w:t xml:space="preserve"> текуће економске кризе, и поједине неразвијене ЈЛС дошле </w:t>
      </w:r>
      <w:r w:rsidR="008353E2" w:rsidRPr="00A82B11">
        <w:rPr>
          <w:sz w:val="22"/>
          <w:lang w:val="sr-Cyrl-RS"/>
        </w:rPr>
        <w:t xml:space="preserve">су </w:t>
      </w:r>
      <w:r w:rsidRPr="00A82B11">
        <w:rPr>
          <w:sz w:val="22"/>
          <w:lang w:val="sr-Cyrl-RS"/>
        </w:rPr>
        <w:t xml:space="preserve">заиста </w:t>
      </w:r>
      <w:r w:rsidR="008353E2" w:rsidRPr="00A82B11">
        <w:rPr>
          <w:sz w:val="22"/>
          <w:lang w:val="sr-Cyrl-RS"/>
        </w:rPr>
        <w:t xml:space="preserve">у </w:t>
      </w:r>
      <w:r w:rsidRPr="00A82B11">
        <w:rPr>
          <w:sz w:val="22"/>
          <w:lang w:val="sr-Cyrl-RS"/>
        </w:rPr>
        <w:t>незавидну позицију. Порез на имовину је такође имао номинални пад, али то је</w:t>
      </w:r>
      <w:r w:rsidR="009819E2">
        <w:rPr>
          <w:sz w:val="22"/>
          <w:lang w:val="sr-Cyrl-RS"/>
        </w:rPr>
        <w:t>,</w:t>
      </w:r>
      <w:r w:rsidRPr="00A82B11">
        <w:rPr>
          <w:sz w:val="22"/>
          <w:lang w:val="sr-Cyrl-RS"/>
        </w:rPr>
        <w:t xml:space="preserve"> у првом реду</w:t>
      </w:r>
      <w:r w:rsidR="009819E2">
        <w:rPr>
          <w:sz w:val="22"/>
          <w:lang w:val="sr-Cyrl-RS"/>
        </w:rPr>
        <w:t>,</w:t>
      </w:r>
      <w:r w:rsidRPr="00A82B11">
        <w:rPr>
          <w:sz w:val="22"/>
          <w:lang w:val="sr-Cyrl-RS"/>
        </w:rPr>
        <w:t xml:space="preserve"> одраз пролонгираних рокова за плаћање, мада је за очекивати да поједини порески обвезници могу имати потешкоће у измирењу ове обавезе током цијеле 2020. године</w:t>
      </w:r>
      <w:r w:rsidR="009819E2">
        <w:rPr>
          <w:sz w:val="22"/>
          <w:lang w:val="sr-Cyrl-RS"/>
        </w:rPr>
        <w:t>.</w:t>
      </w:r>
    </w:p>
    <w:p w14:paraId="609595FB" w14:textId="77777777" w:rsidR="00EA6FFA" w:rsidRPr="00CA06B5" w:rsidRDefault="003E0507" w:rsidP="00652B74">
      <w:pPr>
        <w:pStyle w:val="ListParagraph"/>
        <w:numPr>
          <w:ilvl w:val="0"/>
          <w:numId w:val="6"/>
        </w:numPr>
        <w:spacing w:before="120" w:line="276" w:lineRule="auto"/>
        <w:ind w:left="284" w:firstLine="283"/>
        <w:jc w:val="both"/>
        <w:rPr>
          <w:sz w:val="22"/>
          <w:lang w:val="sr-Cyrl-RS"/>
        </w:rPr>
      </w:pPr>
      <w:r>
        <w:rPr>
          <w:sz w:val="22"/>
          <w:lang w:val="sr-Cyrl-RS"/>
        </w:rPr>
        <w:t>Док су код пореских прихода појединачне</w:t>
      </w:r>
      <w:r w:rsidR="00EA6FFA" w:rsidRPr="00A82B11">
        <w:rPr>
          <w:sz w:val="22"/>
          <w:lang w:val="sr-Cyrl-RS"/>
        </w:rPr>
        <w:t xml:space="preserve"> </w:t>
      </w:r>
      <w:r>
        <w:rPr>
          <w:sz w:val="22"/>
          <w:lang w:val="sr-Cyrl-RS"/>
        </w:rPr>
        <w:t>тенденције прилично уједначене са општим</w:t>
      </w:r>
      <w:r w:rsidR="00EA6FFA" w:rsidRPr="00AA4554">
        <w:rPr>
          <w:sz w:val="22"/>
          <w:lang w:val="sr-Cyrl-RS"/>
        </w:rPr>
        <w:t xml:space="preserve">, код </w:t>
      </w:r>
      <w:proofErr w:type="spellStart"/>
      <w:r w:rsidR="00EA6FFA" w:rsidRPr="00AA4554">
        <w:rPr>
          <w:b/>
          <w:sz w:val="22"/>
          <w:lang w:val="sr-Cyrl-RS"/>
        </w:rPr>
        <w:t>непореских</w:t>
      </w:r>
      <w:proofErr w:type="spellEnd"/>
      <w:r w:rsidR="00EA6FFA" w:rsidRPr="00AA4554">
        <w:rPr>
          <w:b/>
          <w:sz w:val="22"/>
          <w:lang w:val="sr-Cyrl-RS"/>
        </w:rPr>
        <w:t xml:space="preserve"> прихода</w:t>
      </w:r>
      <w:r w:rsidR="009819E2" w:rsidRPr="00AA4554">
        <w:rPr>
          <w:sz w:val="22"/>
          <w:lang w:val="sr-Cyrl-RS"/>
        </w:rPr>
        <w:t xml:space="preserve"> постоје значајне разлике.</w:t>
      </w:r>
      <w:r w:rsidR="00EA6FFA" w:rsidRPr="00AA4554">
        <w:rPr>
          <w:sz w:val="22"/>
          <w:lang w:val="sr-Cyrl-RS"/>
        </w:rPr>
        <w:t xml:space="preserve"> Од 36 посматраних ЈЛС, код 20 је дошло до пада реализације </w:t>
      </w:r>
      <w:proofErr w:type="spellStart"/>
      <w:r w:rsidR="00EA6FFA" w:rsidRPr="00AA4554">
        <w:rPr>
          <w:b/>
          <w:sz w:val="22"/>
          <w:lang w:val="sr-Cyrl-RS"/>
        </w:rPr>
        <w:t>непореских</w:t>
      </w:r>
      <w:proofErr w:type="spellEnd"/>
      <w:r w:rsidR="00EA6FFA" w:rsidRPr="00AA4554">
        <w:rPr>
          <w:b/>
          <w:sz w:val="22"/>
          <w:lang w:val="sr-Cyrl-RS"/>
        </w:rPr>
        <w:t xml:space="preserve"> прихода</w:t>
      </w:r>
      <w:r w:rsidR="00EA6FFA" w:rsidRPr="00AA4554">
        <w:rPr>
          <w:sz w:val="22"/>
          <w:lang w:val="sr-Cyrl-RS"/>
        </w:rPr>
        <w:t xml:space="preserve"> </w:t>
      </w:r>
      <w:r>
        <w:rPr>
          <w:sz w:val="22"/>
          <w:lang w:val="sr-Cyrl-RS"/>
        </w:rPr>
        <w:t xml:space="preserve">већ </w:t>
      </w:r>
      <w:r w:rsidR="00EA6FFA" w:rsidRPr="00AA4554">
        <w:rPr>
          <w:sz w:val="22"/>
          <w:lang w:val="sr-Cyrl-RS"/>
        </w:rPr>
        <w:t>у првом кварталу 2020. године у одн</w:t>
      </w:r>
      <w:r w:rsidR="008353E2" w:rsidRPr="00AA4554">
        <w:rPr>
          <w:sz w:val="22"/>
          <w:lang w:val="sr-Cyrl-RS"/>
        </w:rPr>
        <w:t>осу на исти период 2019. године</w:t>
      </w:r>
      <w:r w:rsidR="00EA6FFA" w:rsidRPr="00AA4554">
        <w:rPr>
          <w:sz w:val="22"/>
          <w:lang w:val="sr-Cyrl-RS"/>
        </w:rPr>
        <w:t>,</w:t>
      </w:r>
      <w:r w:rsidR="00C12219" w:rsidRPr="00AA4554">
        <w:rPr>
          <w:sz w:val="22"/>
          <w:lang w:val="sr-Cyrl-RS"/>
        </w:rPr>
        <w:t xml:space="preserve"> што је</w:t>
      </w:r>
      <w:r w:rsidR="008353E2" w:rsidRPr="00AA4554">
        <w:rPr>
          <w:sz w:val="22"/>
          <w:lang w:val="sr-Cyrl-RS"/>
        </w:rPr>
        <w:t xml:space="preserve"> резултирало  укупним  номиналним </w:t>
      </w:r>
      <w:r w:rsidR="00C12219" w:rsidRPr="00AA4554">
        <w:rPr>
          <w:sz w:val="22"/>
          <w:lang w:val="sr-Cyrl-RS"/>
        </w:rPr>
        <w:t xml:space="preserve"> с</w:t>
      </w:r>
      <w:r w:rsidR="00EA6FFA" w:rsidRPr="00AA4554">
        <w:rPr>
          <w:sz w:val="22"/>
          <w:lang w:val="sr-Cyrl-RS"/>
        </w:rPr>
        <w:t>мањење</w:t>
      </w:r>
      <w:r w:rsidR="008353E2" w:rsidRPr="00AA4554">
        <w:rPr>
          <w:sz w:val="22"/>
          <w:lang w:val="sr-Cyrl-RS"/>
        </w:rPr>
        <w:t>м</w:t>
      </w:r>
      <w:r w:rsidR="00E664B3">
        <w:rPr>
          <w:sz w:val="22"/>
          <w:lang w:val="sr-Cyrl-RS"/>
        </w:rPr>
        <w:t xml:space="preserve">, на нивоу свих ЈЛС, </w:t>
      </w:r>
      <w:r w:rsidR="00206561" w:rsidRPr="00AA4554">
        <w:rPr>
          <w:sz w:val="22"/>
          <w:lang w:val="sr-Cyrl-RS"/>
        </w:rPr>
        <w:t>од 3,54</w:t>
      </w:r>
      <w:r w:rsidR="00EA6FFA" w:rsidRPr="00AA4554">
        <w:rPr>
          <w:sz w:val="22"/>
          <w:lang w:val="sr-Cyrl-RS"/>
        </w:rPr>
        <w:t xml:space="preserve"> милиона КМ</w:t>
      </w:r>
      <w:r w:rsidR="00E664B3">
        <w:rPr>
          <w:sz w:val="22"/>
          <w:lang w:val="sr-Cyrl-RS"/>
        </w:rPr>
        <w:t xml:space="preserve"> или за око 11%</w:t>
      </w:r>
      <w:r w:rsidR="00EA6FFA" w:rsidRPr="00AA4554">
        <w:rPr>
          <w:sz w:val="22"/>
          <w:lang w:val="sr-Cyrl-RS"/>
        </w:rPr>
        <w:t xml:space="preserve">.  Иако је уобичајено нижа </w:t>
      </w:r>
      <w:proofErr w:type="spellStart"/>
      <w:r w:rsidR="00EA6FFA" w:rsidRPr="00AA4554">
        <w:rPr>
          <w:sz w:val="22"/>
          <w:lang w:val="sr-Cyrl-RS"/>
        </w:rPr>
        <w:t>ре</w:t>
      </w:r>
      <w:proofErr w:type="spellEnd"/>
      <w:r w:rsidR="00AA4554">
        <w:rPr>
          <w:sz w:val="22"/>
          <w:lang w:val="sr-Latn-RS"/>
        </w:rPr>
        <w:t>a</w:t>
      </w:r>
      <w:proofErr w:type="spellStart"/>
      <w:r w:rsidR="00EA6FFA" w:rsidRPr="00AA4554">
        <w:rPr>
          <w:sz w:val="22"/>
          <w:lang w:val="sr-Cyrl-RS"/>
        </w:rPr>
        <w:t>лизација</w:t>
      </w:r>
      <w:proofErr w:type="spellEnd"/>
      <w:r w:rsidR="00EA6FFA" w:rsidRPr="00AA4554">
        <w:rPr>
          <w:sz w:val="22"/>
          <w:lang w:val="sr-Cyrl-RS"/>
        </w:rPr>
        <w:t xml:space="preserve"> </w:t>
      </w:r>
      <w:proofErr w:type="spellStart"/>
      <w:r w:rsidR="00EA6FFA" w:rsidRPr="00AA4554">
        <w:rPr>
          <w:sz w:val="22"/>
          <w:lang w:val="sr-Cyrl-RS"/>
        </w:rPr>
        <w:t>непореских</w:t>
      </w:r>
      <w:proofErr w:type="spellEnd"/>
      <w:r w:rsidR="00EA6FFA" w:rsidRPr="00AA4554">
        <w:rPr>
          <w:sz w:val="22"/>
          <w:lang w:val="sr-Cyrl-RS"/>
        </w:rPr>
        <w:t xml:space="preserve"> прихода у</w:t>
      </w:r>
      <w:r w:rsidR="00686B55" w:rsidRPr="00AA4554">
        <w:rPr>
          <w:sz w:val="22"/>
          <w:lang w:val="sr-Cyrl-RS"/>
        </w:rPr>
        <w:t xml:space="preserve"> првом </w:t>
      </w:r>
      <w:proofErr w:type="spellStart"/>
      <w:r w:rsidR="00686B55" w:rsidRPr="00AA4554">
        <w:rPr>
          <w:sz w:val="22"/>
          <w:lang w:val="sr-Cyrl-RS"/>
        </w:rPr>
        <w:t>квараталу</w:t>
      </w:r>
      <w:proofErr w:type="spellEnd"/>
      <w:r w:rsidR="00686B55" w:rsidRPr="00AA4554">
        <w:rPr>
          <w:sz w:val="22"/>
          <w:lang w:val="sr-Cyrl-RS"/>
        </w:rPr>
        <w:t xml:space="preserve">, поједине ЈЛС </w:t>
      </w:r>
      <w:r w:rsidR="00EA6FFA" w:rsidRPr="00AA4554">
        <w:rPr>
          <w:sz w:val="22"/>
          <w:lang w:val="sr-Cyrl-RS"/>
        </w:rPr>
        <w:t>заиста су имале изразито</w:t>
      </w:r>
      <w:r w:rsidR="00EA6FFA" w:rsidRPr="00A82B11">
        <w:rPr>
          <w:sz w:val="22"/>
          <w:lang w:val="sr-Cyrl-RS"/>
        </w:rPr>
        <w:t xml:space="preserve"> ниско извршење и то </w:t>
      </w:r>
      <w:r w:rsidR="00C12219" w:rsidRPr="00A82B11">
        <w:rPr>
          <w:sz w:val="22"/>
          <w:lang w:val="sr-Cyrl-RS"/>
        </w:rPr>
        <w:t xml:space="preserve">у </w:t>
      </w:r>
      <w:r w:rsidR="00EA6FFA" w:rsidRPr="00A82B11">
        <w:rPr>
          <w:sz w:val="22"/>
          <w:lang w:val="sr-Cyrl-RS"/>
        </w:rPr>
        <w:t xml:space="preserve">свим категоријама, од развијених до изразито неразвијених. Очигледно је </w:t>
      </w:r>
      <w:r w:rsidR="00C12219" w:rsidRPr="00A82B11">
        <w:rPr>
          <w:sz w:val="22"/>
          <w:lang w:val="sr-Cyrl-RS"/>
        </w:rPr>
        <w:t xml:space="preserve">да </w:t>
      </w:r>
      <w:r w:rsidR="00EA6FFA" w:rsidRPr="00A82B11">
        <w:rPr>
          <w:sz w:val="22"/>
          <w:lang w:val="sr-Cyrl-RS"/>
        </w:rPr>
        <w:t xml:space="preserve">ова врста прихода има специфичности за сваку ЈЛС и да је тешко утврдити неке опште законитости у динамици. То указује да свака </w:t>
      </w:r>
      <w:r w:rsidR="00EA6FFA" w:rsidRPr="00CA06B5">
        <w:rPr>
          <w:sz w:val="22"/>
          <w:lang w:val="sr-Cyrl-RS"/>
        </w:rPr>
        <w:t xml:space="preserve">ЈЛС мора пажљиво планирати ове приходе, пратити реализацију и </w:t>
      </w:r>
      <w:proofErr w:type="spellStart"/>
      <w:r w:rsidR="00EA6FFA" w:rsidRPr="00CA06B5">
        <w:rPr>
          <w:sz w:val="22"/>
          <w:lang w:val="sr-Cyrl-RS"/>
        </w:rPr>
        <w:t>процијенити</w:t>
      </w:r>
      <w:proofErr w:type="spellEnd"/>
      <w:r w:rsidR="00EA6FFA" w:rsidRPr="00CA06B5">
        <w:rPr>
          <w:sz w:val="22"/>
          <w:lang w:val="sr-Cyrl-RS"/>
        </w:rPr>
        <w:t xml:space="preserve"> </w:t>
      </w:r>
      <w:proofErr w:type="spellStart"/>
      <w:r w:rsidR="00EA6FFA" w:rsidRPr="00CA06B5">
        <w:rPr>
          <w:sz w:val="22"/>
          <w:lang w:val="sr-Cyrl-RS"/>
        </w:rPr>
        <w:t>мјере</w:t>
      </w:r>
      <w:proofErr w:type="spellEnd"/>
      <w:r w:rsidR="00EA6FFA" w:rsidRPr="00CA06B5">
        <w:rPr>
          <w:sz w:val="22"/>
          <w:lang w:val="sr-Cyrl-RS"/>
        </w:rPr>
        <w:t xml:space="preserve"> потребне за евентуално повећање у </w:t>
      </w:r>
      <w:proofErr w:type="spellStart"/>
      <w:r w:rsidR="00EA6FFA" w:rsidRPr="00CA06B5">
        <w:rPr>
          <w:sz w:val="22"/>
          <w:lang w:val="sr-Cyrl-RS"/>
        </w:rPr>
        <w:t>посткризном</w:t>
      </w:r>
      <w:proofErr w:type="spellEnd"/>
      <w:r w:rsidR="00EA6FFA" w:rsidRPr="00CA06B5">
        <w:rPr>
          <w:sz w:val="22"/>
          <w:lang w:val="sr-Cyrl-RS"/>
        </w:rPr>
        <w:t xml:space="preserve"> периоду.</w:t>
      </w:r>
    </w:p>
    <w:p w14:paraId="65A7A402" w14:textId="77777777" w:rsidR="00EA6FFA" w:rsidRPr="00CA06B5" w:rsidRDefault="00EA6FFA" w:rsidP="00652B74">
      <w:pPr>
        <w:pStyle w:val="ListParagraph"/>
        <w:numPr>
          <w:ilvl w:val="0"/>
          <w:numId w:val="6"/>
        </w:numPr>
        <w:spacing w:before="120" w:line="276" w:lineRule="auto"/>
        <w:ind w:left="284" w:firstLine="283"/>
        <w:jc w:val="both"/>
        <w:rPr>
          <w:sz w:val="22"/>
          <w:lang w:val="sr-Cyrl-RS"/>
        </w:rPr>
      </w:pPr>
      <w:r w:rsidRPr="00CA06B5">
        <w:rPr>
          <w:sz w:val="22"/>
          <w:lang w:val="sr-Cyrl-RS"/>
        </w:rPr>
        <w:t xml:space="preserve">Динамика </w:t>
      </w:r>
      <w:proofErr w:type="spellStart"/>
      <w:r w:rsidRPr="00CA06B5">
        <w:rPr>
          <w:b/>
          <w:sz w:val="22"/>
          <w:lang w:val="sr-Cyrl-RS"/>
        </w:rPr>
        <w:t>непореских</w:t>
      </w:r>
      <w:proofErr w:type="spellEnd"/>
      <w:r w:rsidRPr="00CA06B5">
        <w:rPr>
          <w:b/>
          <w:sz w:val="22"/>
          <w:lang w:val="sr-Cyrl-RS"/>
        </w:rPr>
        <w:t xml:space="preserve"> прихода</w:t>
      </w:r>
      <w:r w:rsidRPr="00CA06B5">
        <w:rPr>
          <w:sz w:val="22"/>
          <w:lang w:val="sr-Cyrl-RS"/>
        </w:rPr>
        <w:t xml:space="preserve"> април 2020. према априлу 2019. године, показује да је само 7 ЈЛС</w:t>
      </w:r>
      <w:r w:rsidR="00C12219" w:rsidRPr="00CA06B5">
        <w:rPr>
          <w:sz w:val="22"/>
          <w:lang w:val="sr-Cyrl-RS"/>
        </w:rPr>
        <w:t>,</w:t>
      </w:r>
      <w:r w:rsidRPr="00CA06B5">
        <w:rPr>
          <w:sz w:val="22"/>
          <w:lang w:val="sr-Cyrl-RS"/>
        </w:rPr>
        <w:t xml:space="preserve"> од посматраних 36, имало веће текуће извршење.</w:t>
      </w:r>
      <w:r w:rsidR="00E664B3">
        <w:rPr>
          <w:sz w:val="22"/>
          <w:lang w:val="sr-Cyrl-RS"/>
        </w:rPr>
        <w:t xml:space="preserve"> При томе се истичу само </w:t>
      </w:r>
      <w:proofErr w:type="spellStart"/>
      <w:r w:rsidR="00E664B3">
        <w:rPr>
          <w:sz w:val="22"/>
          <w:lang w:val="sr-Cyrl-RS"/>
        </w:rPr>
        <w:t>двије</w:t>
      </w:r>
      <w:proofErr w:type="spellEnd"/>
      <w:r w:rsidR="00E664B3">
        <w:rPr>
          <w:sz w:val="22"/>
          <w:lang w:val="sr-Cyrl-RS"/>
        </w:rPr>
        <w:t xml:space="preserve"> развијене</w:t>
      </w:r>
      <w:r w:rsidRPr="00CA06B5">
        <w:rPr>
          <w:sz w:val="22"/>
          <w:lang w:val="sr-Cyrl-RS"/>
        </w:rPr>
        <w:t xml:space="preserve"> </w:t>
      </w:r>
      <w:r w:rsidR="00E664B3">
        <w:rPr>
          <w:sz w:val="22"/>
          <w:lang w:val="sr-Cyrl-RS"/>
        </w:rPr>
        <w:t xml:space="preserve">ЈЛС (Бијељина, Зворник), које су имале како номинално, тако и релативно значајно повећање ове врсте прихода. </w:t>
      </w:r>
      <w:r w:rsidRPr="00CA06B5">
        <w:rPr>
          <w:sz w:val="22"/>
          <w:lang w:val="sr-Cyrl-RS"/>
        </w:rPr>
        <w:t>За остале ј</w:t>
      </w:r>
      <w:r w:rsidR="00686B55" w:rsidRPr="00CA06B5">
        <w:rPr>
          <w:sz w:val="22"/>
          <w:lang w:val="sr-Cyrl-RS"/>
        </w:rPr>
        <w:t xml:space="preserve">е </w:t>
      </w:r>
      <w:proofErr w:type="spellStart"/>
      <w:r w:rsidR="00686B55" w:rsidRPr="00CA06B5">
        <w:rPr>
          <w:sz w:val="22"/>
          <w:lang w:val="sr-Cyrl-RS"/>
        </w:rPr>
        <w:t>каратеристично</w:t>
      </w:r>
      <w:proofErr w:type="spellEnd"/>
      <w:r w:rsidR="00686B55" w:rsidRPr="00CA06B5">
        <w:rPr>
          <w:sz w:val="22"/>
          <w:lang w:val="sr-Cyrl-RS"/>
        </w:rPr>
        <w:t xml:space="preserve"> мање извршење</w:t>
      </w:r>
      <w:r w:rsidR="003E0507">
        <w:rPr>
          <w:sz w:val="22"/>
          <w:lang w:val="sr-Cyrl-RS"/>
        </w:rPr>
        <w:t xml:space="preserve"> </w:t>
      </w:r>
      <w:r w:rsidR="003E0507" w:rsidRPr="00CA06B5">
        <w:rPr>
          <w:sz w:val="22"/>
          <w:lang w:val="sr-Cyrl-RS"/>
        </w:rPr>
        <w:t>у односу на 2019. годину</w:t>
      </w:r>
      <w:r w:rsidR="00686B55" w:rsidRPr="00CA06B5">
        <w:rPr>
          <w:sz w:val="22"/>
          <w:lang w:val="sr-Cyrl-RS"/>
        </w:rPr>
        <w:t>,</w:t>
      </w:r>
      <w:r w:rsidRPr="00CA06B5">
        <w:rPr>
          <w:sz w:val="22"/>
          <w:lang w:val="sr-Cyrl-RS"/>
        </w:rPr>
        <w:t xml:space="preserve"> које се</w:t>
      </w:r>
      <w:r w:rsidR="00206561" w:rsidRPr="00CA06B5">
        <w:rPr>
          <w:sz w:val="22"/>
          <w:lang w:val="sr-Cyrl-RS"/>
        </w:rPr>
        <w:t xml:space="preserve"> кретало од 3%</w:t>
      </w:r>
      <w:r w:rsidR="00E664B3">
        <w:rPr>
          <w:sz w:val="22"/>
          <w:lang w:val="sr-Cyrl-RS"/>
        </w:rPr>
        <w:t xml:space="preserve">-Хан </w:t>
      </w:r>
      <w:proofErr w:type="spellStart"/>
      <w:r w:rsidR="00E664B3">
        <w:rPr>
          <w:sz w:val="22"/>
          <w:lang w:val="sr-Cyrl-RS"/>
        </w:rPr>
        <w:t>Пијесак</w:t>
      </w:r>
      <w:proofErr w:type="spellEnd"/>
      <w:r w:rsidR="00E664B3">
        <w:rPr>
          <w:sz w:val="22"/>
          <w:lang w:val="sr-Cyrl-RS"/>
        </w:rPr>
        <w:t>,</w:t>
      </w:r>
      <w:r w:rsidR="00206561" w:rsidRPr="00CA06B5">
        <w:rPr>
          <w:sz w:val="22"/>
          <w:lang w:val="sr-Cyrl-RS"/>
        </w:rPr>
        <w:t xml:space="preserve"> до 92%</w:t>
      </w:r>
      <w:r w:rsidR="00E664B3">
        <w:rPr>
          <w:sz w:val="22"/>
          <w:lang w:val="sr-Cyrl-RS"/>
        </w:rPr>
        <w:t>-Рудо</w:t>
      </w:r>
      <w:r w:rsidR="003E0507">
        <w:rPr>
          <w:sz w:val="22"/>
          <w:lang w:val="sr-Cyrl-RS"/>
        </w:rPr>
        <w:t xml:space="preserve">. Укупно </w:t>
      </w:r>
      <w:r w:rsidR="00206561" w:rsidRPr="00CA06B5">
        <w:rPr>
          <w:sz w:val="22"/>
          <w:lang w:val="sr-Cyrl-RS"/>
        </w:rPr>
        <w:t>смањење</w:t>
      </w:r>
      <w:r w:rsidR="009E660B">
        <w:rPr>
          <w:sz w:val="22"/>
          <w:lang w:val="sr-Cyrl-RS"/>
        </w:rPr>
        <w:t>, на нивоу свих ЈЛС,</w:t>
      </w:r>
      <w:r w:rsidR="00206561" w:rsidRPr="00CA06B5">
        <w:rPr>
          <w:sz w:val="22"/>
          <w:lang w:val="sr-Cyrl-RS"/>
        </w:rPr>
        <w:t xml:space="preserve"> је</w:t>
      </w:r>
      <w:r w:rsidR="003E0507">
        <w:rPr>
          <w:sz w:val="22"/>
          <w:lang w:val="sr-Cyrl-RS"/>
        </w:rPr>
        <w:t xml:space="preserve"> номинално</w:t>
      </w:r>
      <w:r w:rsidR="00206561" w:rsidRPr="00CA06B5">
        <w:rPr>
          <w:sz w:val="22"/>
          <w:lang w:val="sr-Cyrl-RS"/>
        </w:rPr>
        <w:t xml:space="preserve"> око 3,</w:t>
      </w:r>
      <w:r w:rsidRPr="00CA06B5">
        <w:rPr>
          <w:sz w:val="22"/>
          <w:lang w:val="sr-Cyrl-RS"/>
        </w:rPr>
        <w:t>6</w:t>
      </w:r>
      <w:r w:rsidR="00206561" w:rsidRPr="00CA06B5">
        <w:rPr>
          <w:sz w:val="22"/>
          <w:lang w:val="sr-Cyrl-RS"/>
        </w:rPr>
        <w:t>7</w:t>
      </w:r>
      <w:r w:rsidRPr="00CA06B5">
        <w:rPr>
          <w:sz w:val="22"/>
          <w:lang w:val="sr-Cyrl-RS"/>
        </w:rPr>
        <w:t xml:space="preserve"> милиона КМ</w:t>
      </w:r>
      <w:r w:rsidR="009E660B">
        <w:rPr>
          <w:sz w:val="22"/>
          <w:lang w:val="sr-Cyrl-RS"/>
        </w:rPr>
        <w:t xml:space="preserve"> или за 37%</w:t>
      </w:r>
      <w:r w:rsidRPr="00CA06B5">
        <w:rPr>
          <w:sz w:val="22"/>
          <w:lang w:val="sr-Cyrl-RS"/>
        </w:rPr>
        <w:t>.</w:t>
      </w:r>
      <w:r w:rsidR="00CA06B5">
        <w:rPr>
          <w:sz w:val="22"/>
          <w:lang w:val="sr-Cyrl-RS"/>
        </w:rPr>
        <w:t xml:space="preserve"> Дакле, само у </w:t>
      </w:r>
      <w:proofErr w:type="spellStart"/>
      <w:r w:rsidR="00CA06B5">
        <w:rPr>
          <w:sz w:val="22"/>
          <w:lang w:val="sr-Cyrl-RS"/>
        </w:rPr>
        <w:t>мјесецу</w:t>
      </w:r>
      <w:proofErr w:type="spellEnd"/>
      <w:r w:rsidR="00CA06B5">
        <w:rPr>
          <w:sz w:val="22"/>
          <w:lang w:val="sr-Cyrl-RS"/>
        </w:rPr>
        <w:t xml:space="preserve"> априлу, смањење је номинално износило колико за цијели први квартал 2020. године.</w:t>
      </w:r>
      <w:r w:rsidRPr="00CA06B5">
        <w:rPr>
          <w:sz w:val="22"/>
          <w:lang w:val="sr-Cyrl-RS"/>
        </w:rPr>
        <w:t xml:space="preserve"> </w:t>
      </w:r>
    </w:p>
    <w:p w14:paraId="6B4BDB28" w14:textId="77777777" w:rsidR="00EA6FFA" w:rsidRDefault="00EA6FFA" w:rsidP="00652B74">
      <w:pPr>
        <w:pStyle w:val="ListParagraph"/>
        <w:numPr>
          <w:ilvl w:val="0"/>
          <w:numId w:val="6"/>
        </w:numPr>
        <w:spacing w:before="120" w:line="276" w:lineRule="auto"/>
        <w:ind w:left="284" w:firstLine="283"/>
        <w:jc w:val="both"/>
        <w:rPr>
          <w:sz w:val="22"/>
          <w:lang w:val="sr-Cyrl-RS"/>
        </w:rPr>
      </w:pPr>
      <w:r w:rsidRPr="00CA06B5">
        <w:rPr>
          <w:sz w:val="22"/>
          <w:lang w:val="sr-Cyrl-RS"/>
        </w:rPr>
        <w:t xml:space="preserve">Заједно посматрано </w:t>
      </w:r>
      <w:r w:rsidRPr="00CA06B5">
        <w:rPr>
          <w:b/>
          <w:sz w:val="22"/>
          <w:lang w:val="sr-Cyrl-RS"/>
        </w:rPr>
        <w:t>укупни приходи</w:t>
      </w:r>
      <w:r w:rsidRPr="00CA06B5">
        <w:rPr>
          <w:sz w:val="22"/>
          <w:lang w:val="sr-Cyrl-RS"/>
        </w:rPr>
        <w:t xml:space="preserve"> на нивоу 3</w:t>
      </w:r>
      <w:r w:rsidR="00C12219" w:rsidRPr="00CA06B5">
        <w:rPr>
          <w:sz w:val="22"/>
          <w:lang w:val="sr-Cyrl-RS"/>
        </w:rPr>
        <w:t>6 анализираних ЈЛС у првом квар</w:t>
      </w:r>
      <w:r w:rsidRPr="00CA06B5">
        <w:rPr>
          <w:sz w:val="22"/>
          <w:lang w:val="sr-Cyrl-RS"/>
        </w:rPr>
        <w:t>т</w:t>
      </w:r>
      <w:r w:rsidR="00C12219" w:rsidRPr="00CA06B5">
        <w:rPr>
          <w:sz w:val="22"/>
          <w:lang w:val="sr-Cyrl-RS"/>
        </w:rPr>
        <w:t>а</w:t>
      </w:r>
      <w:r w:rsidRPr="00CA06B5">
        <w:rPr>
          <w:sz w:val="22"/>
          <w:lang w:val="sr-Cyrl-RS"/>
        </w:rPr>
        <w:t xml:space="preserve">лу 2020. године у односу на први квартал 2019. године су </w:t>
      </w:r>
      <w:r w:rsidR="003E0507">
        <w:rPr>
          <w:sz w:val="22"/>
          <w:lang w:val="sr-Cyrl-RS"/>
        </w:rPr>
        <w:t>били већи за 3</w:t>
      </w:r>
      <w:r w:rsidRPr="00A82B11">
        <w:rPr>
          <w:sz w:val="22"/>
          <w:lang w:val="sr-Cyrl-RS"/>
        </w:rPr>
        <w:t xml:space="preserve">% или за 3,5 </w:t>
      </w:r>
      <w:r w:rsidRPr="00224BB9">
        <w:rPr>
          <w:sz w:val="22"/>
          <w:lang w:val="sr-Cyrl-RS"/>
        </w:rPr>
        <w:t>милиона</w:t>
      </w:r>
      <w:r w:rsidR="00206561" w:rsidRPr="00224BB9">
        <w:rPr>
          <w:sz w:val="22"/>
          <w:lang w:val="sr-Cyrl-RS"/>
        </w:rPr>
        <w:t xml:space="preserve"> КМ</w:t>
      </w:r>
      <w:r w:rsidRPr="00224BB9">
        <w:rPr>
          <w:sz w:val="22"/>
          <w:lang w:val="sr-Cyrl-RS"/>
        </w:rPr>
        <w:t>. Негативна кретања у априлу су била таквог интензитета да су потпуно поништила овај ефекат. Укупни минус прихода април 2020. према априлу 2019. године био је 13,6 милиона КМ</w:t>
      </w:r>
      <w:r w:rsidR="00206561" w:rsidRPr="00224BB9">
        <w:rPr>
          <w:sz w:val="22"/>
          <w:lang w:val="sr-Cyrl-RS"/>
        </w:rPr>
        <w:t xml:space="preserve"> (или </w:t>
      </w:r>
      <w:r w:rsidR="00224BB9" w:rsidRPr="00224BB9">
        <w:rPr>
          <w:sz w:val="22"/>
          <w:lang w:val="sr-Cyrl-RS"/>
        </w:rPr>
        <w:t xml:space="preserve">за </w:t>
      </w:r>
      <w:r w:rsidR="003E0507">
        <w:rPr>
          <w:sz w:val="22"/>
          <w:lang w:val="sr-Cyrl-RS"/>
        </w:rPr>
        <w:t>-37</w:t>
      </w:r>
      <w:r w:rsidR="00206561" w:rsidRPr="00224BB9">
        <w:rPr>
          <w:sz w:val="22"/>
          <w:lang w:val="sr-Cyrl-RS"/>
        </w:rPr>
        <w:t>%</w:t>
      </w:r>
      <w:r w:rsidR="00224BB9" w:rsidRPr="00224BB9">
        <w:rPr>
          <w:sz w:val="22"/>
          <w:lang w:val="sr-Latn-RS"/>
        </w:rPr>
        <w:t xml:space="preserve"> </w:t>
      </w:r>
      <w:r w:rsidR="00224BB9" w:rsidRPr="00224BB9">
        <w:rPr>
          <w:sz w:val="22"/>
          <w:lang w:val="sr-Cyrl-RS"/>
        </w:rPr>
        <w:t>мање</w:t>
      </w:r>
      <w:r w:rsidR="00206561" w:rsidRPr="00224BB9">
        <w:rPr>
          <w:sz w:val="22"/>
          <w:lang w:val="sr-Cyrl-RS"/>
        </w:rPr>
        <w:t>)</w:t>
      </w:r>
      <w:r w:rsidRPr="00224BB9">
        <w:rPr>
          <w:sz w:val="22"/>
          <w:lang w:val="sr-Cyrl-RS"/>
        </w:rPr>
        <w:t>,</w:t>
      </w:r>
      <w:r w:rsidR="00C12219" w:rsidRPr="00224BB9">
        <w:rPr>
          <w:sz w:val="22"/>
          <w:lang w:val="sr-Cyrl-RS"/>
        </w:rPr>
        <w:t xml:space="preserve"> </w:t>
      </w:r>
      <w:r w:rsidRPr="00224BB9">
        <w:rPr>
          <w:sz w:val="22"/>
          <w:lang w:val="sr-Cyrl-RS"/>
        </w:rPr>
        <w:t>а п</w:t>
      </w:r>
      <w:r w:rsidR="008353E2" w:rsidRPr="00224BB9">
        <w:rPr>
          <w:sz w:val="22"/>
          <w:lang w:val="sr-Cyrl-RS"/>
        </w:rPr>
        <w:t>ад укупних прихода није заобишао</w:t>
      </w:r>
      <w:r w:rsidRPr="00224BB9">
        <w:rPr>
          <w:sz w:val="22"/>
          <w:lang w:val="sr-Cyrl-RS"/>
        </w:rPr>
        <w:t xml:space="preserve"> ниједну посматрану ЈЛС. </w:t>
      </w:r>
    </w:p>
    <w:p w14:paraId="58238617" w14:textId="77777777" w:rsidR="00495CF4" w:rsidRPr="00224BB9" w:rsidRDefault="00495CF4" w:rsidP="00495CF4">
      <w:pPr>
        <w:pStyle w:val="ListParagraph"/>
        <w:spacing w:before="120" w:line="276" w:lineRule="auto"/>
        <w:ind w:left="567"/>
        <w:jc w:val="both"/>
        <w:rPr>
          <w:sz w:val="22"/>
          <w:lang w:val="sr-Cyrl-RS"/>
        </w:rPr>
      </w:pPr>
    </w:p>
    <w:p w14:paraId="65DC043C" w14:textId="77777777" w:rsidR="00F05FBE" w:rsidRPr="007F151C" w:rsidRDefault="00DE5C3A" w:rsidP="00D94BC3">
      <w:pPr>
        <w:spacing w:line="276" w:lineRule="auto"/>
        <w:ind w:firstLine="709"/>
        <w:jc w:val="both"/>
        <w:rPr>
          <w:sz w:val="22"/>
          <w:lang w:val="sr-Latn-RS"/>
        </w:rPr>
      </w:pPr>
      <w:r w:rsidRPr="00A82B11">
        <w:rPr>
          <w:sz w:val="22"/>
          <w:lang w:val="sr-Cyrl-RS"/>
        </w:rPr>
        <w:t xml:space="preserve">Све наведено упућује на закључак </w:t>
      </w:r>
      <w:r w:rsidR="00EA6FFA" w:rsidRPr="00A82B11">
        <w:rPr>
          <w:sz w:val="22"/>
          <w:lang w:val="sr-Cyrl-RS"/>
        </w:rPr>
        <w:t xml:space="preserve"> да су наше ЈЛС изразито </w:t>
      </w:r>
      <w:proofErr w:type="spellStart"/>
      <w:r w:rsidR="00EA6FFA" w:rsidRPr="00A82B11">
        <w:rPr>
          <w:sz w:val="22"/>
          <w:lang w:val="sr-Cyrl-RS"/>
        </w:rPr>
        <w:t>осјетљиве</w:t>
      </w:r>
      <w:proofErr w:type="spellEnd"/>
      <w:r w:rsidR="00EA6FFA" w:rsidRPr="00A82B11">
        <w:rPr>
          <w:sz w:val="22"/>
          <w:lang w:val="sr-Cyrl-RS"/>
        </w:rPr>
        <w:t xml:space="preserve"> на кризне ситуације. У великој </w:t>
      </w:r>
      <w:proofErr w:type="spellStart"/>
      <w:r w:rsidR="00EA6FFA" w:rsidRPr="00A82B11">
        <w:rPr>
          <w:sz w:val="22"/>
          <w:lang w:val="sr-Cyrl-RS"/>
        </w:rPr>
        <w:t>мјери</w:t>
      </w:r>
      <w:proofErr w:type="spellEnd"/>
      <w:r w:rsidR="00EA6FFA" w:rsidRPr="00A82B11">
        <w:rPr>
          <w:sz w:val="22"/>
          <w:lang w:val="sr-Cyrl-RS"/>
        </w:rPr>
        <w:t xml:space="preserve"> зависе од </w:t>
      </w:r>
      <w:proofErr w:type="spellStart"/>
      <w:r w:rsidR="00EA6FFA" w:rsidRPr="00A82B11">
        <w:rPr>
          <w:sz w:val="22"/>
          <w:lang w:val="sr-Cyrl-RS"/>
        </w:rPr>
        <w:t>дијељених</w:t>
      </w:r>
      <w:proofErr w:type="spellEnd"/>
      <w:r w:rsidR="00EA6FFA" w:rsidRPr="00A82B11">
        <w:rPr>
          <w:sz w:val="22"/>
          <w:lang w:val="sr-Cyrl-RS"/>
        </w:rPr>
        <w:t xml:space="preserve"> прихода и имају низак ниво фискалне аутономије</w:t>
      </w:r>
      <w:r w:rsidR="00757718">
        <w:rPr>
          <w:rStyle w:val="FootnoteReference"/>
          <w:sz w:val="22"/>
          <w:lang w:val="sr-Cyrl-RS"/>
        </w:rPr>
        <w:footnoteReference w:id="7"/>
      </w:r>
      <w:r w:rsidR="00EA6FFA" w:rsidRPr="00A82B11">
        <w:rPr>
          <w:sz w:val="22"/>
          <w:lang w:val="sr-Cyrl-RS"/>
        </w:rPr>
        <w:t>.</w:t>
      </w:r>
      <w:r w:rsidR="00224BB9">
        <w:rPr>
          <w:sz w:val="22"/>
          <w:lang w:val="sr-Cyrl-RS"/>
        </w:rPr>
        <w:t xml:space="preserve"> </w:t>
      </w:r>
      <w:r w:rsidR="00EA6FFA" w:rsidRPr="00A82B11">
        <w:rPr>
          <w:sz w:val="22"/>
          <w:lang w:val="sr-Cyrl-RS"/>
        </w:rPr>
        <w:t xml:space="preserve"> </w:t>
      </w:r>
      <w:r w:rsidR="00CD4686" w:rsidRPr="00A82B11">
        <w:rPr>
          <w:sz w:val="22"/>
          <w:lang w:val="sr-Cyrl-RS"/>
        </w:rPr>
        <w:t xml:space="preserve">Међутим, одређена  отворена питања </w:t>
      </w:r>
      <w:r w:rsidR="00EA6FFA" w:rsidRPr="00A82B11">
        <w:rPr>
          <w:sz w:val="22"/>
          <w:lang w:val="sr-Cyrl-RS"/>
        </w:rPr>
        <w:t>с</w:t>
      </w:r>
      <w:r w:rsidR="008353E2" w:rsidRPr="00A82B11">
        <w:rPr>
          <w:sz w:val="22"/>
          <w:lang w:val="sr-Cyrl-RS"/>
        </w:rPr>
        <w:t>истема финансирања ЈЛС</w:t>
      </w:r>
      <w:r w:rsidR="00206561">
        <w:rPr>
          <w:sz w:val="22"/>
          <w:lang w:val="sr-Cyrl-RS"/>
        </w:rPr>
        <w:t xml:space="preserve"> нису предмет </w:t>
      </w:r>
      <w:r w:rsidR="00CD4686" w:rsidRPr="00A82B11">
        <w:rPr>
          <w:sz w:val="22"/>
          <w:lang w:val="sr-Cyrl-RS"/>
        </w:rPr>
        <w:t>овог рада, али ће се</w:t>
      </w:r>
      <w:r w:rsidR="008353E2" w:rsidRPr="00A82B11">
        <w:rPr>
          <w:sz w:val="22"/>
          <w:lang w:val="en-US"/>
        </w:rPr>
        <w:t xml:space="preserve"> </w:t>
      </w:r>
      <w:r w:rsidR="008353E2" w:rsidRPr="00A82B11">
        <w:rPr>
          <w:sz w:val="22"/>
          <w:lang w:val="sr-Cyrl-RS"/>
        </w:rPr>
        <w:t xml:space="preserve">сигурно постати актуелна </w:t>
      </w:r>
      <w:r w:rsidR="00CD4686" w:rsidRPr="00A82B11">
        <w:rPr>
          <w:sz w:val="22"/>
          <w:lang w:val="sr-Cyrl-RS"/>
        </w:rPr>
        <w:t xml:space="preserve"> у </w:t>
      </w:r>
      <w:proofErr w:type="spellStart"/>
      <w:r w:rsidR="00CD4686" w:rsidRPr="00A82B11">
        <w:rPr>
          <w:sz w:val="22"/>
          <w:lang w:val="sr-Cyrl-RS"/>
        </w:rPr>
        <w:t>постпандемијском</w:t>
      </w:r>
      <w:proofErr w:type="spellEnd"/>
      <w:r w:rsidR="00CD4686" w:rsidRPr="00A82B11">
        <w:rPr>
          <w:sz w:val="22"/>
          <w:lang w:val="sr-Cyrl-RS"/>
        </w:rPr>
        <w:t xml:space="preserve"> пе</w:t>
      </w:r>
      <w:r w:rsidR="008353E2" w:rsidRPr="00A82B11">
        <w:rPr>
          <w:sz w:val="22"/>
          <w:lang w:val="sr-Cyrl-RS"/>
        </w:rPr>
        <w:t xml:space="preserve">риоду. </w:t>
      </w:r>
    </w:p>
    <w:p w14:paraId="449B5082" w14:textId="77777777" w:rsidR="00C52A56" w:rsidRPr="00A82B11" w:rsidRDefault="00C52A56" w:rsidP="00D94BC3">
      <w:pPr>
        <w:spacing w:line="276" w:lineRule="auto"/>
        <w:ind w:firstLine="709"/>
        <w:jc w:val="both"/>
        <w:rPr>
          <w:sz w:val="22"/>
          <w:lang w:val="sr-Cyrl-RS"/>
        </w:rPr>
      </w:pPr>
    </w:p>
    <w:p w14:paraId="156C557C" w14:textId="77777777" w:rsidR="00EA6FFA" w:rsidRPr="00A82B11" w:rsidRDefault="009D61F7" w:rsidP="00B170F0">
      <w:pPr>
        <w:spacing w:line="276" w:lineRule="auto"/>
        <w:ind w:firstLine="709"/>
        <w:jc w:val="both"/>
        <w:rPr>
          <w:sz w:val="22"/>
          <w:lang w:val="sr-Cyrl-RS"/>
        </w:rPr>
      </w:pPr>
      <w:r w:rsidRPr="00A82B11">
        <w:rPr>
          <w:sz w:val="22"/>
          <w:lang w:val="sr-Cyrl-RS"/>
        </w:rPr>
        <w:t xml:space="preserve">Ово испитивање </w:t>
      </w:r>
      <w:r w:rsidR="00F05FBE" w:rsidRPr="00A82B11">
        <w:rPr>
          <w:sz w:val="22"/>
          <w:lang w:val="sr-Cyrl-RS"/>
        </w:rPr>
        <w:t>стања при</w:t>
      </w:r>
      <w:r w:rsidRPr="00A82B11">
        <w:rPr>
          <w:sz w:val="22"/>
          <w:lang w:val="sr-Cyrl-RS"/>
        </w:rPr>
        <w:t xml:space="preserve">хода које је провео Савез, </w:t>
      </w:r>
      <w:r w:rsidR="00F05FBE" w:rsidRPr="00A82B11">
        <w:rPr>
          <w:sz w:val="22"/>
          <w:lang w:val="sr-Cyrl-RS"/>
        </w:rPr>
        <w:t xml:space="preserve">такође </w:t>
      </w:r>
      <w:r w:rsidRPr="00A82B11">
        <w:rPr>
          <w:sz w:val="22"/>
          <w:lang w:val="sr-Cyrl-RS"/>
        </w:rPr>
        <w:t>показуј</w:t>
      </w:r>
      <w:r w:rsidR="00F05FBE" w:rsidRPr="00A82B11">
        <w:rPr>
          <w:sz w:val="22"/>
          <w:lang w:val="sr-Cyrl-RS"/>
        </w:rPr>
        <w:t xml:space="preserve">е </w:t>
      </w:r>
      <w:r w:rsidR="004D67DA" w:rsidRPr="00A82B11">
        <w:rPr>
          <w:sz w:val="22"/>
          <w:lang w:val="sr-Cyrl-RS"/>
        </w:rPr>
        <w:t xml:space="preserve">да у РС не постоји </w:t>
      </w:r>
      <w:r w:rsidR="00F05FBE" w:rsidRPr="00A82B11">
        <w:rPr>
          <w:sz w:val="22"/>
          <w:lang w:val="sr-Cyrl-RS"/>
        </w:rPr>
        <w:t xml:space="preserve">јавно доступна база података </w:t>
      </w:r>
      <w:r w:rsidR="008353E2" w:rsidRPr="00A82B11">
        <w:rPr>
          <w:sz w:val="22"/>
          <w:lang w:val="sr-Cyrl-RS"/>
        </w:rPr>
        <w:t xml:space="preserve">нити о приходима, нити </w:t>
      </w:r>
      <w:r w:rsidR="004D67DA" w:rsidRPr="00A82B11">
        <w:rPr>
          <w:sz w:val="22"/>
          <w:lang w:val="sr-Cyrl-RS"/>
        </w:rPr>
        <w:t xml:space="preserve">о </w:t>
      </w:r>
      <w:r w:rsidR="008353E2" w:rsidRPr="00A82B11">
        <w:rPr>
          <w:sz w:val="22"/>
          <w:lang w:val="sr-Cyrl-RS"/>
        </w:rPr>
        <w:t>укупним буџетима ЈЛС. Оваква база</w:t>
      </w:r>
      <w:r w:rsidR="004D67DA" w:rsidRPr="00A82B11">
        <w:rPr>
          <w:sz w:val="22"/>
          <w:lang w:val="sr-Cyrl-RS"/>
        </w:rPr>
        <w:t>, која</w:t>
      </w:r>
      <w:r w:rsidR="008353E2" w:rsidRPr="00A82B11">
        <w:rPr>
          <w:sz w:val="22"/>
          <w:lang w:val="sr-Cyrl-RS"/>
        </w:rPr>
        <w:t xml:space="preserve"> би </w:t>
      </w:r>
      <w:r w:rsidR="004D67DA" w:rsidRPr="00A82B11">
        <w:rPr>
          <w:sz w:val="22"/>
          <w:lang w:val="sr-Cyrl-RS"/>
        </w:rPr>
        <w:t xml:space="preserve">се ажурирала квартално, </w:t>
      </w:r>
      <w:r w:rsidR="008353E2" w:rsidRPr="00A82B11">
        <w:rPr>
          <w:sz w:val="22"/>
          <w:lang w:val="sr-Cyrl-RS"/>
        </w:rPr>
        <w:t xml:space="preserve">повећала </w:t>
      </w:r>
      <w:r w:rsidR="004D67DA" w:rsidRPr="00A82B11">
        <w:rPr>
          <w:sz w:val="22"/>
          <w:lang w:val="sr-Cyrl-RS"/>
        </w:rPr>
        <w:t xml:space="preserve">би </w:t>
      </w:r>
      <w:r w:rsidR="008353E2" w:rsidRPr="00A82B11">
        <w:rPr>
          <w:sz w:val="22"/>
          <w:lang w:val="sr-Cyrl-RS"/>
        </w:rPr>
        <w:t xml:space="preserve">транспарентност локалних буџета, а </w:t>
      </w:r>
      <w:r w:rsidR="00F05FBE" w:rsidRPr="00A82B11">
        <w:rPr>
          <w:sz w:val="22"/>
          <w:lang w:val="sr-Cyrl-RS"/>
        </w:rPr>
        <w:t xml:space="preserve">послужила </w:t>
      </w:r>
      <w:r w:rsidR="008353E2" w:rsidRPr="00A82B11">
        <w:rPr>
          <w:sz w:val="22"/>
          <w:lang w:val="sr-Cyrl-RS"/>
        </w:rPr>
        <w:t xml:space="preserve">би и </w:t>
      </w:r>
      <w:r w:rsidR="00F05FBE" w:rsidRPr="00A82B11">
        <w:rPr>
          <w:sz w:val="22"/>
          <w:lang w:val="sr-Cyrl-RS"/>
        </w:rPr>
        <w:t xml:space="preserve">у сврхе </w:t>
      </w:r>
      <w:r w:rsidR="00F05FBE" w:rsidRPr="00A82B11">
        <w:rPr>
          <w:sz w:val="22"/>
          <w:lang w:val="sr-Cyrl-RS"/>
        </w:rPr>
        <w:lastRenderedPageBreak/>
        <w:t xml:space="preserve">различитих компаративних </w:t>
      </w:r>
      <w:r w:rsidR="008353E2" w:rsidRPr="00A82B11">
        <w:rPr>
          <w:sz w:val="22"/>
          <w:lang w:val="sr-Cyrl-RS"/>
        </w:rPr>
        <w:t>истраживања. П</w:t>
      </w:r>
      <w:r w:rsidR="00F05FBE" w:rsidRPr="00A82B11">
        <w:rPr>
          <w:sz w:val="22"/>
          <w:lang w:val="sr-Cyrl-RS"/>
        </w:rPr>
        <w:t xml:space="preserve">редстављала </w:t>
      </w:r>
      <w:r w:rsidR="008353E2" w:rsidRPr="00A82B11">
        <w:rPr>
          <w:sz w:val="22"/>
          <w:lang w:val="sr-Cyrl-RS"/>
        </w:rPr>
        <w:t xml:space="preserve">би </w:t>
      </w:r>
      <w:r w:rsidR="00F05FBE" w:rsidRPr="00A82B11">
        <w:rPr>
          <w:sz w:val="22"/>
          <w:lang w:val="sr-Cyrl-RS"/>
        </w:rPr>
        <w:t>и</w:t>
      </w:r>
      <w:r w:rsidR="0066300F">
        <w:rPr>
          <w:sz w:val="22"/>
          <w:lang w:val="sr-Cyrl-RS"/>
        </w:rPr>
        <w:t xml:space="preserve"> значајну</w:t>
      </w:r>
      <w:r w:rsidR="00F05FBE" w:rsidRPr="00A82B11">
        <w:rPr>
          <w:sz w:val="22"/>
          <w:lang w:val="sr-Cyrl-RS"/>
        </w:rPr>
        <w:t xml:space="preserve"> помоћ органима ЈЛС у креирању </w:t>
      </w:r>
      <w:r w:rsidR="00C52A56">
        <w:rPr>
          <w:sz w:val="22"/>
          <w:lang w:val="sr-Cyrl-RS"/>
        </w:rPr>
        <w:t xml:space="preserve">њихових политика и стратегија. </w:t>
      </w:r>
      <w:r w:rsidR="00F05FBE" w:rsidRPr="00A82B11">
        <w:rPr>
          <w:sz w:val="22"/>
          <w:lang w:val="sr-Cyrl-RS"/>
        </w:rPr>
        <w:t xml:space="preserve">Скроман одзив ЈЛС </w:t>
      </w:r>
      <w:r w:rsidR="00B170F0">
        <w:rPr>
          <w:sz w:val="22"/>
          <w:lang w:val="sr-Cyrl-RS"/>
        </w:rPr>
        <w:t xml:space="preserve">на </w:t>
      </w:r>
      <w:proofErr w:type="spellStart"/>
      <w:r w:rsidR="00B170F0">
        <w:rPr>
          <w:sz w:val="22"/>
          <w:lang w:val="sr-Cyrl-RS"/>
        </w:rPr>
        <w:t>упут</w:t>
      </w:r>
      <w:r w:rsidR="006B2AA5" w:rsidRPr="00A82B11">
        <w:rPr>
          <w:sz w:val="22"/>
          <w:lang w:val="sr-Cyrl-RS"/>
        </w:rPr>
        <w:t>ник</w:t>
      </w:r>
      <w:proofErr w:type="spellEnd"/>
      <w:r w:rsidR="006B2AA5" w:rsidRPr="00A82B11">
        <w:rPr>
          <w:sz w:val="22"/>
          <w:lang w:val="sr-Cyrl-RS"/>
        </w:rPr>
        <w:t xml:space="preserve"> Савеза </w:t>
      </w:r>
      <w:r w:rsidR="00F05FBE" w:rsidRPr="00A82B11">
        <w:rPr>
          <w:sz w:val="22"/>
          <w:lang w:val="sr-Cyrl-RS"/>
        </w:rPr>
        <w:t xml:space="preserve">(свега 56% од укупног броја), </w:t>
      </w:r>
      <w:proofErr w:type="spellStart"/>
      <w:r w:rsidR="00F05FBE" w:rsidRPr="00A82B11">
        <w:rPr>
          <w:sz w:val="22"/>
          <w:lang w:val="sr-Cyrl-RS"/>
        </w:rPr>
        <w:t>опредијелили</w:t>
      </w:r>
      <w:proofErr w:type="spellEnd"/>
      <w:r w:rsidR="00F05FBE" w:rsidRPr="00A82B11">
        <w:rPr>
          <w:sz w:val="22"/>
          <w:lang w:val="sr-Cyrl-RS"/>
        </w:rPr>
        <w:t xml:space="preserve"> су и аутора ове </w:t>
      </w:r>
      <w:r w:rsidR="00CD4686" w:rsidRPr="00A82B11">
        <w:rPr>
          <w:sz w:val="22"/>
          <w:lang w:val="sr-Cyrl-RS"/>
        </w:rPr>
        <w:t>анализе да</w:t>
      </w:r>
      <w:r w:rsidR="008353E2" w:rsidRPr="00A82B11">
        <w:rPr>
          <w:sz w:val="22"/>
          <w:lang w:val="sr-Cyrl-RS"/>
        </w:rPr>
        <w:t xml:space="preserve"> се задржи на већ достављеним подацима</w:t>
      </w:r>
      <w:r w:rsidR="00DE5C3A" w:rsidRPr="00A82B11">
        <w:rPr>
          <w:sz w:val="22"/>
          <w:lang w:val="sr-Cyrl-RS"/>
        </w:rPr>
        <w:t xml:space="preserve"> и да истраживање прихода у овом обиму не проширује на период до септембра 2020. године. </w:t>
      </w:r>
      <w:r w:rsidR="0066300F">
        <w:rPr>
          <w:sz w:val="22"/>
          <w:lang w:val="sr-Cyrl-RS"/>
        </w:rPr>
        <w:t>Д</w:t>
      </w:r>
      <w:r w:rsidR="00DE5C3A" w:rsidRPr="00A82B11">
        <w:rPr>
          <w:sz w:val="22"/>
          <w:lang w:val="sr-Cyrl-RS"/>
        </w:rPr>
        <w:t xml:space="preserve">остављени подаци </w:t>
      </w:r>
      <w:r w:rsidR="008353E2" w:rsidRPr="00A82B11">
        <w:rPr>
          <w:sz w:val="22"/>
          <w:lang w:val="sr-Cyrl-RS"/>
        </w:rPr>
        <w:t xml:space="preserve">сами за себе показују како може бити драматичан пад </w:t>
      </w:r>
      <w:r w:rsidR="00DE5C3A" w:rsidRPr="00A82B11">
        <w:rPr>
          <w:sz w:val="22"/>
          <w:lang w:val="sr-Cyrl-RS"/>
        </w:rPr>
        <w:t xml:space="preserve">најзначајнијих врста </w:t>
      </w:r>
      <w:r w:rsidR="008353E2" w:rsidRPr="00A82B11">
        <w:rPr>
          <w:sz w:val="22"/>
          <w:lang w:val="sr-Cyrl-RS"/>
        </w:rPr>
        <w:t xml:space="preserve">прихода у врло кратком периоду, који </w:t>
      </w:r>
      <w:r w:rsidR="00DE5C3A" w:rsidRPr="00A82B11">
        <w:rPr>
          <w:sz w:val="22"/>
          <w:lang w:val="sr-Cyrl-RS"/>
        </w:rPr>
        <w:t>код појединих ЈЛС није</w:t>
      </w:r>
      <w:r w:rsidR="008353E2" w:rsidRPr="00A82B11">
        <w:rPr>
          <w:sz w:val="22"/>
          <w:lang w:val="sr-Cyrl-RS"/>
        </w:rPr>
        <w:t xml:space="preserve"> могуће компензирати</w:t>
      </w:r>
      <w:r w:rsidR="00B170F0">
        <w:rPr>
          <w:sz w:val="22"/>
          <w:lang w:val="sr-Cyrl-RS"/>
        </w:rPr>
        <w:t xml:space="preserve"> нити додатним задуживањем</w:t>
      </w:r>
      <w:r w:rsidR="00DF5E86">
        <w:rPr>
          <w:sz w:val="22"/>
          <w:lang w:val="sr-Cyrl-RS"/>
        </w:rPr>
        <w:t>,</w:t>
      </w:r>
      <w:r w:rsidR="00B170F0">
        <w:rPr>
          <w:sz w:val="22"/>
          <w:lang w:val="sr-Cyrl-RS"/>
        </w:rPr>
        <w:t xml:space="preserve"> нити другим властитим изворима</w:t>
      </w:r>
      <w:r w:rsidR="008353E2" w:rsidRPr="00A82B11">
        <w:rPr>
          <w:sz w:val="22"/>
          <w:lang w:val="sr-Cyrl-RS"/>
        </w:rPr>
        <w:t xml:space="preserve">, </w:t>
      </w:r>
      <w:r w:rsidR="00DE5C3A" w:rsidRPr="00A82B11">
        <w:rPr>
          <w:sz w:val="22"/>
          <w:lang w:val="sr-Cyrl-RS"/>
        </w:rPr>
        <w:t xml:space="preserve">без значајнијих интервенција и </w:t>
      </w:r>
      <w:proofErr w:type="spellStart"/>
      <w:r w:rsidR="00B170F0">
        <w:rPr>
          <w:sz w:val="22"/>
          <w:lang w:val="sr-Cyrl-RS"/>
        </w:rPr>
        <w:t>мјера</w:t>
      </w:r>
      <w:proofErr w:type="spellEnd"/>
      <w:r w:rsidR="00B170F0">
        <w:rPr>
          <w:sz w:val="22"/>
          <w:lang w:val="sr-Cyrl-RS"/>
        </w:rPr>
        <w:t>,</w:t>
      </w:r>
      <w:r w:rsidR="008353E2" w:rsidRPr="00A82B11">
        <w:rPr>
          <w:sz w:val="22"/>
          <w:lang w:val="sr-Cyrl-RS"/>
        </w:rPr>
        <w:t xml:space="preserve"> које </w:t>
      </w:r>
      <w:r w:rsidR="00DE5C3A" w:rsidRPr="00A82B11">
        <w:rPr>
          <w:sz w:val="22"/>
          <w:lang w:val="sr-Cyrl-RS"/>
        </w:rPr>
        <w:t xml:space="preserve">су предузете са нивоа Владе РС. </w:t>
      </w:r>
    </w:p>
    <w:p w14:paraId="781829BF" w14:textId="77777777" w:rsidR="00365ABE" w:rsidRPr="00A82B11" w:rsidRDefault="00365ABE" w:rsidP="00B170F0">
      <w:pPr>
        <w:ind w:firstLine="709"/>
        <w:jc w:val="both"/>
        <w:rPr>
          <w:sz w:val="22"/>
          <w:szCs w:val="22"/>
          <w:lang w:val="sr-Cyrl-BA"/>
        </w:rPr>
      </w:pPr>
    </w:p>
    <w:p w14:paraId="52066AF6" w14:textId="77777777" w:rsidR="002C1204" w:rsidRPr="00A82B11" w:rsidRDefault="00D717F6" w:rsidP="00B170F0">
      <w:pPr>
        <w:pStyle w:val="Heading1"/>
        <w:tabs>
          <w:tab w:val="center" w:pos="4961"/>
        </w:tabs>
        <w:jc w:val="both"/>
        <w:rPr>
          <w:sz w:val="22"/>
          <w:szCs w:val="22"/>
          <w:lang w:val="sr-Cyrl-RS"/>
        </w:rPr>
      </w:pPr>
      <w:bookmarkStart w:id="12" w:name="_Toc59550012"/>
      <w:r w:rsidRPr="00790A22">
        <w:rPr>
          <w:sz w:val="22"/>
          <w:szCs w:val="22"/>
          <w:lang w:val="sr-Cyrl-BA"/>
        </w:rPr>
        <w:t>4</w:t>
      </w:r>
      <w:r w:rsidR="000E7AB1" w:rsidRPr="00790A22">
        <w:rPr>
          <w:sz w:val="22"/>
          <w:szCs w:val="22"/>
          <w:lang w:val="sr-Cyrl-BA"/>
        </w:rPr>
        <w:t>.</w:t>
      </w:r>
      <w:r w:rsidR="002C1204" w:rsidRPr="00790A22">
        <w:rPr>
          <w:sz w:val="22"/>
          <w:szCs w:val="22"/>
        </w:rPr>
        <w:t xml:space="preserve"> </w:t>
      </w:r>
      <w:r w:rsidR="005F0A05" w:rsidRPr="00790A22">
        <w:rPr>
          <w:sz w:val="22"/>
          <w:szCs w:val="22"/>
        </w:rPr>
        <w:t>УТИЦАЈ</w:t>
      </w:r>
      <w:r w:rsidR="000479B3" w:rsidRPr="00790A22">
        <w:rPr>
          <w:sz w:val="22"/>
          <w:szCs w:val="22"/>
        </w:rPr>
        <w:t xml:space="preserve"> ПАНДЕМИЈЕ </w:t>
      </w:r>
      <w:r w:rsidR="000479B3" w:rsidRPr="00790A22">
        <w:rPr>
          <w:sz w:val="22"/>
          <w:szCs w:val="22"/>
          <w:lang w:val="en-US"/>
        </w:rPr>
        <w:t>COVID-19</w:t>
      </w:r>
      <w:r w:rsidR="000479B3" w:rsidRPr="00790A22">
        <w:rPr>
          <w:sz w:val="22"/>
          <w:szCs w:val="22"/>
          <w:lang w:val="sr-Cyrl-RS"/>
        </w:rPr>
        <w:t xml:space="preserve"> НА ЈЕДИНИЦЕ ЛОКАЛНЕ САМОУПРАВЕ </w:t>
      </w:r>
      <w:r w:rsidR="005F0A05" w:rsidRPr="00790A22">
        <w:rPr>
          <w:sz w:val="22"/>
          <w:szCs w:val="22"/>
          <w:lang w:val="sr-Cyrl-RS"/>
        </w:rPr>
        <w:t xml:space="preserve">- </w:t>
      </w:r>
      <w:r w:rsidR="006B2AA5" w:rsidRPr="00790A22">
        <w:rPr>
          <w:sz w:val="22"/>
          <w:szCs w:val="22"/>
          <w:lang w:val="sr-Cyrl-RS"/>
        </w:rPr>
        <w:t>УПИ</w:t>
      </w:r>
      <w:r w:rsidR="005F0A05" w:rsidRPr="00790A22">
        <w:rPr>
          <w:sz w:val="22"/>
          <w:szCs w:val="22"/>
          <w:lang w:val="sr-Cyrl-RS"/>
        </w:rPr>
        <w:t>ТНИК</w:t>
      </w:r>
      <w:r w:rsidR="000479B3" w:rsidRPr="00790A22">
        <w:rPr>
          <w:sz w:val="22"/>
          <w:szCs w:val="22"/>
          <w:lang w:val="sr-Cyrl-RS"/>
        </w:rPr>
        <w:t xml:space="preserve"> </w:t>
      </w:r>
      <w:r w:rsidR="000479B3" w:rsidRPr="00790A22">
        <w:rPr>
          <w:sz w:val="22"/>
          <w:szCs w:val="22"/>
          <w:lang w:val="en-US"/>
        </w:rPr>
        <w:t>NALAS</w:t>
      </w:r>
      <w:bookmarkEnd w:id="12"/>
      <w:r w:rsidR="000479B3" w:rsidRPr="00A82B11">
        <w:rPr>
          <w:sz w:val="22"/>
          <w:szCs w:val="22"/>
        </w:rPr>
        <w:tab/>
      </w:r>
    </w:p>
    <w:p w14:paraId="5B4252D5" w14:textId="77777777" w:rsidR="00BC31BA" w:rsidRPr="00A82B11" w:rsidRDefault="00BC31BA" w:rsidP="002D2B06">
      <w:pPr>
        <w:spacing w:line="276" w:lineRule="auto"/>
        <w:rPr>
          <w:sz w:val="22"/>
          <w:szCs w:val="22"/>
          <w:lang w:val="sr-Cyrl-CS"/>
        </w:rPr>
      </w:pPr>
    </w:p>
    <w:p w14:paraId="6AAC0F17" w14:textId="23732AAE" w:rsidR="00DF5E86" w:rsidRPr="00A82B11" w:rsidRDefault="00365ABE" w:rsidP="003168F2">
      <w:pPr>
        <w:shd w:val="clear" w:color="auto" w:fill="FFFFFF" w:themeFill="background1"/>
        <w:spacing w:line="276" w:lineRule="auto"/>
        <w:ind w:firstLine="709"/>
        <w:jc w:val="both"/>
        <w:rPr>
          <w:bCs/>
          <w:sz w:val="22"/>
          <w:szCs w:val="22"/>
          <w:lang w:val="sr-Cyrl-BA" w:eastAsia="en-US"/>
        </w:rPr>
      </w:pPr>
      <w:r w:rsidRPr="00A82B11">
        <w:rPr>
          <w:sz w:val="22"/>
          <w:szCs w:val="22"/>
          <w:lang w:val="sr-Cyrl-CS"/>
        </w:rPr>
        <w:t xml:space="preserve">Средином  2020. године проведено је истраживање од стране </w:t>
      </w:r>
      <w:r w:rsidRPr="00A82B11">
        <w:rPr>
          <w:sz w:val="22"/>
          <w:szCs w:val="22"/>
          <w:lang w:val="en-US"/>
        </w:rPr>
        <w:t>NALAS</w:t>
      </w:r>
      <w:r w:rsidR="00F26A13">
        <w:rPr>
          <w:sz w:val="22"/>
          <w:szCs w:val="22"/>
          <w:lang w:val="sr-Cyrl-RS"/>
        </w:rPr>
        <w:t>-а</w:t>
      </w:r>
      <w:r w:rsidR="006757D7">
        <w:rPr>
          <w:rStyle w:val="FootnoteReference"/>
          <w:sz w:val="22"/>
          <w:szCs w:val="22"/>
          <w:lang w:val="en-US"/>
        </w:rPr>
        <w:footnoteReference w:id="8"/>
      </w:r>
      <w:r w:rsidRPr="00A82B11">
        <w:rPr>
          <w:sz w:val="22"/>
          <w:szCs w:val="22"/>
          <w:lang w:val="en-US"/>
        </w:rPr>
        <w:t xml:space="preserve">, </w:t>
      </w:r>
      <w:r w:rsidRPr="00A82B11">
        <w:rPr>
          <w:sz w:val="22"/>
          <w:szCs w:val="22"/>
          <w:lang w:val="sr-Cyrl-RS"/>
        </w:rPr>
        <w:t>у оквиру јединица локалне самоуправе у југо</w:t>
      </w:r>
      <w:r w:rsidR="00F43125" w:rsidRPr="00A82B11">
        <w:rPr>
          <w:sz w:val="22"/>
          <w:szCs w:val="22"/>
          <w:lang w:val="sr-Cyrl-RS"/>
        </w:rPr>
        <w:t>источној Европи</w:t>
      </w:r>
      <w:r w:rsidR="002E1145">
        <w:rPr>
          <w:sz w:val="22"/>
          <w:szCs w:val="22"/>
          <w:lang w:val="sr-Cyrl-RS"/>
        </w:rPr>
        <w:t xml:space="preserve">, под називом </w:t>
      </w:r>
      <w:r w:rsidR="002E1145" w:rsidRPr="00F06086">
        <w:rPr>
          <w:sz w:val="22"/>
          <w:szCs w:val="22"/>
        </w:rPr>
        <w:t>“</w:t>
      </w:r>
      <w:proofErr w:type="spellStart"/>
      <w:r w:rsidR="002E1145" w:rsidRPr="00F06086">
        <w:rPr>
          <w:sz w:val="22"/>
          <w:szCs w:val="22"/>
        </w:rPr>
        <w:t>Општине</w:t>
      </w:r>
      <w:proofErr w:type="spellEnd"/>
      <w:r w:rsidR="002E1145" w:rsidRPr="00F06086">
        <w:rPr>
          <w:sz w:val="22"/>
          <w:szCs w:val="22"/>
        </w:rPr>
        <w:t xml:space="preserve"> у </w:t>
      </w:r>
      <w:proofErr w:type="spellStart"/>
      <w:r w:rsidR="002E1145" w:rsidRPr="00F06086">
        <w:rPr>
          <w:sz w:val="22"/>
          <w:szCs w:val="22"/>
        </w:rPr>
        <w:t>југоисточној</w:t>
      </w:r>
      <w:proofErr w:type="spellEnd"/>
      <w:r w:rsidR="002E1145" w:rsidRPr="00F06086">
        <w:rPr>
          <w:sz w:val="22"/>
          <w:szCs w:val="22"/>
        </w:rPr>
        <w:t xml:space="preserve"> </w:t>
      </w:r>
      <w:proofErr w:type="spellStart"/>
      <w:r w:rsidR="002E1145" w:rsidRPr="00F06086">
        <w:rPr>
          <w:sz w:val="22"/>
          <w:szCs w:val="22"/>
        </w:rPr>
        <w:t>Европи</w:t>
      </w:r>
      <w:proofErr w:type="spellEnd"/>
      <w:r w:rsidR="002E1145" w:rsidRPr="00F06086">
        <w:rPr>
          <w:sz w:val="22"/>
          <w:szCs w:val="22"/>
        </w:rPr>
        <w:t xml:space="preserve"> </w:t>
      </w:r>
      <w:proofErr w:type="spellStart"/>
      <w:r w:rsidR="002E1145" w:rsidRPr="00F06086">
        <w:rPr>
          <w:sz w:val="22"/>
          <w:szCs w:val="22"/>
        </w:rPr>
        <w:t>током</w:t>
      </w:r>
      <w:proofErr w:type="spellEnd"/>
      <w:r w:rsidR="002E1145" w:rsidRPr="00F06086">
        <w:rPr>
          <w:sz w:val="22"/>
          <w:szCs w:val="22"/>
        </w:rPr>
        <w:t xml:space="preserve"> </w:t>
      </w:r>
      <w:proofErr w:type="spellStart"/>
      <w:r w:rsidR="002E1145" w:rsidRPr="00F06086">
        <w:rPr>
          <w:sz w:val="22"/>
          <w:szCs w:val="22"/>
        </w:rPr>
        <w:t>пандемије</w:t>
      </w:r>
      <w:proofErr w:type="spellEnd"/>
      <w:r w:rsidR="002E1145" w:rsidRPr="00F06086">
        <w:rPr>
          <w:sz w:val="22"/>
          <w:szCs w:val="22"/>
        </w:rPr>
        <w:t xml:space="preserve"> COVID-19 и </w:t>
      </w:r>
      <w:proofErr w:type="spellStart"/>
      <w:r w:rsidR="002E1145" w:rsidRPr="00F06086">
        <w:rPr>
          <w:sz w:val="22"/>
          <w:szCs w:val="22"/>
        </w:rPr>
        <w:t>краткорочни</w:t>
      </w:r>
      <w:proofErr w:type="spellEnd"/>
      <w:r w:rsidR="002E1145" w:rsidRPr="00F06086">
        <w:rPr>
          <w:sz w:val="22"/>
          <w:szCs w:val="22"/>
        </w:rPr>
        <w:t xml:space="preserve"> и </w:t>
      </w:r>
      <w:proofErr w:type="spellStart"/>
      <w:r w:rsidR="002E1145" w:rsidRPr="00F06086">
        <w:rPr>
          <w:sz w:val="22"/>
          <w:szCs w:val="22"/>
        </w:rPr>
        <w:t>средњорочни</w:t>
      </w:r>
      <w:proofErr w:type="spellEnd"/>
      <w:r w:rsidR="002E1145" w:rsidRPr="00F06086">
        <w:rPr>
          <w:sz w:val="22"/>
          <w:szCs w:val="22"/>
        </w:rPr>
        <w:t xml:space="preserve"> </w:t>
      </w:r>
      <w:proofErr w:type="spellStart"/>
      <w:r w:rsidR="002E1145" w:rsidRPr="00F06086">
        <w:rPr>
          <w:sz w:val="22"/>
          <w:szCs w:val="22"/>
        </w:rPr>
        <w:t>одговор</w:t>
      </w:r>
      <w:proofErr w:type="spellEnd"/>
      <w:r w:rsidR="002E1145" w:rsidRPr="00F06086">
        <w:rPr>
          <w:sz w:val="22"/>
          <w:szCs w:val="22"/>
        </w:rPr>
        <w:t xml:space="preserve"> </w:t>
      </w:r>
      <w:proofErr w:type="spellStart"/>
      <w:r w:rsidR="002E1145" w:rsidRPr="00F06086">
        <w:rPr>
          <w:sz w:val="22"/>
          <w:szCs w:val="22"/>
        </w:rPr>
        <w:t>за</w:t>
      </w:r>
      <w:proofErr w:type="spellEnd"/>
      <w:r w:rsidR="002E1145" w:rsidRPr="00F06086">
        <w:rPr>
          <w:sz w:val="22"/>
          <w:szCs w:val="22"/>
        </w:rPr>
        <w:t xml:space="preserve"> </w:t>
      </w:r>
      <w:proofErr w:type="spellStart"/>
      <w:r w:rsidR="002E1145" w:rsidRPr="00F06086">
        <w:rPr>
          <w:sz w:val="22"/>
          <w:szCs w:val="22"/>
        </w:rPr>
        <w:t>социо-економски</w:t>
      </w:r>
      <w:proofErr w:type="spellEnd"/>
      <w:r w:rsidR="002E1145" w:rsidRPr="00F06086">
        <w:rPr>
          <w:sz w:val="22"/>
          <w:szCs w:val="22"/>
        </w:rPr>
        <w:t xml:space="preserve"> </w:t>
      </w:r>
      <w:proofErr w:type="spellStart"/>
      <w:r w:rsidR="002E1145" w:rsidRPr="00F06086">
        <w:rPr>
          <w:sz w:val="22"/>
          <w:szCs w:val="22"/>
        </w:rPr>
        <w:t>опоравак</w:t>
      </w:r>
      <w:proofErr w:type="spellEnd"/>
      <w:r w:rsidR="002E1145" w:rsidRPr="00F06086">
        <w:rPr>
          <w:sz w:val="22"/>
          <w:szCs w:val="22"/>
        </w:rPr>
        <w:t>”</w:t>
      </w:r>
      <w:r w:rsidR="00F43125" w:rsidRPr="00A82B11">
        <w:rPr>
          <w:sz w:val="22"/>
          <w:szCs w:val="22"/>
          <w:lang w:val="sr-Cyrl-RS"/>
        </w:rPr>
        <w:t xml:space="preserve">. </w:t>
      </w:r>
      <w:r w:rsidR="002E1145">
        <w:rPr>
          <w:sz w:val="22"/>
          <w:szCs w:val="22"/>
          <w:lang w:val="sr-Cyrl-RS"/>
        </w:rPr>
        <w:t xml:space="preserve">Циљ је био да се утврде могућности </w:t>
      </w:r>
      <w:r w:rsidR="00F43125" w:rsidRPr="00A82B11">
        <w:rPr>
          <w:sz w:val="22"/>
          <w:szCs w:val="22"/>
          <w:lang w:val="sr-Cyrl-RS"/>
        </w:rPr>
        <w:t>социј</w:t>
      </w:r>
      <w:r w:rsidR="002E1145">
        <w:rPr>
          <w:sz w:val="22"/>
          <w:szCs w:val="22"/>
          <w:lang w:val="sr-Cyrl-RS"/>
        </w:rPr>
        <w:t>алног и економског опоравка од</w:t>
      </w:r>
      <w:r w:rsidR="00F43125" w:rsidRPr="00A82B11">
        <w:rPr>
          <w:sz w:val="22"/>
          <w:szCs w:val="22"/>
          <w:lang w:val="sr-Cyrl-RS"/>
        </w:rPr>
        <w:t xml:space="preserve"> посљедица </w:t>
      </w:r>
      <w:proofErr w:type="spellStart"/>
      <w:r w:rsidR="00F43125" w:rsidRPr="00A82B11">
        <w:rPr>
          <w:sz w:val="22"/>
          <w:szCs w:val="22"/>
          <w:lang w:val="sr-Cyrl-RS"/>
        </w:rPr>
        <w:t>пандемије</w:t>
      </w:r>
      <w:proofErr w:type="spellEnd"/>
      <w:r w:rsidR="00F43125" w:rsidRPr="00A82B11">
        <w:rPr>
          <w:sz w:val="22"/>
          <w:szCs w:val="22"/>
          <w:lang w:val="sr-Cyrl-RS"/>
        </w:rPr>
        <w:t xml:space="preserve"> </w:t>
      </w:r>
      <w:r w:rsidR="00F43125" w:rsidRPr="00A82B11">
        <w:rPr>
          <w:sz w:val="22"/>
          <w:szCs w:val="22"/>
          <w:lang w:val="en-US"/>
        </w:rPr>
        <w:t>COVID-19</w:t>
      </w:r>
      <w:r w:rsidR="00D17426" w:rsidRPr="00A82B11">
        <w:rPr>
          <w:sz w:val="22"/>
          <w:szCs w:val="22"/>
          <w:lang w:val="sr-Cyrl-RS"/>
        </w:rPr>
        <w:t>.</w:t>
      </w:r>
      <w:r w:rsidRPr="00A82B11">
        <w:rPr>
          <w:sz w:val="22"/>
          <w:szCs w:val="22"/>
          <w:lang w:val="sr-Cyrl-RS"/>
        </w:rPr>
        <w:t xml:space="preserve"> У наставку се д</w:t>
      </w:r>
      <w:r w:rsidR="00BC31BA" w:rsidRPr="00A82B11">
        <w:rPr>
          <w:sz w:val="22"/>
          <w:szCs w:val="22"/>
          <w:lang w:val="sr-Cyrl-RS"/>
        </w:rPr>
        <w:t xml:space="preserve">аје </w:t>
      </w:r>
      <w:r w:rsidR="001C6A58" w:rsidRPr="00A82B11">
        <w:rPr>
          <w:sz w:val="22"/>
          <w:szCs w:val="22"/>
          <w:lang w:val="sr-Cyrl-RS"/>
        </w:rPr>
        <w:t xml:space="preserve">сумарни преглед </w:t>
      </w:r>
      <w:r w:rsidR="00700A0B">
        <w:rPr>
          <w:sz w:val="22"/>
          <w:szCs w:val="22"/>
          <w:lang w:val="sr-Cyrl-RS"/>
        </w:rPr>
        <w:t xml:space="preserve">најзначајнијих </w:t>
      </w:r>
      <w:r w:rsidR="007706AC">
        <w:rPr>
          <w:sz w:val="22"/>
          <w:szCs w:val="22"/>
          <w:lang w:val="sr-Cyrl-RS"/>
        </w:rPr>
        <w:t>налаза до којих је дошао</w:t>
      </w:r>
      <w:r w:rsidR="00700A0B">
        <w:rPr>
          <w:sz w:val="22"/>
          <w:szCs w:val="22"/>
          <w:lang w:val="sr-Cyrl-RS"/>
        </w:rPr>
        <w:t xml:space="preserve"> </w:t>
      </w:r>
      <w:r w:rsidR="00700A0B">
        <w:rPr>
          <w:sz w:val="22"/>
          <w:szCs w:val="22"/>
          <w:lang w:val="en-US"/>
        </w:rPr>
        <w:t>NALAS</w:t>
      </w:r>
      <w:r w:rsidR="007706AC">
        <w:rPr>
          <w:sz w:val="22"/>
          <w:szCs w:val="22"/>
          <w:lang w:val="sr-Cyrl-RS"/>
        </w:rPr>
        <w:t xml:space="preserve"> у свом истраживању</w:t>
      </w:r>
      <w:r w:rsidR="004D16DB">
        <w:rPr>
          <w:sz w:val="22"/>
          <w:szCs w:val="22"/>
          <w:lang w:val="sr-Cyrl-RS"/>
        </w:rPr>
        <w:t xml:space="preserve">, </w:t>
      </w:r>
      <w:r w:rsidR="00F26A13">
        <w:rPr>
          <w:sz w:val="22"/>
          <w:szCs w:val="22"/>
          <w:lang w:val="sr-Cyrl-RS"/>
        </w:rPr>
        <w:t xml:space="preserve">а </w:t>
      </w:r>
      <w:r w:rsidR="004D16DB">
        <w:rPr>
          <w:sz w:val="22"/>
          <w:szCs w:val="22"/>
          <w:lang w:val="sr-Cyrl-RS"/>
        </w:rPr>
        <w:t>која су</w:t>
      </w:r>
      <w:r w:rsidR="00700A0B">
        <w:rPr>
          <w:sz w:val="22"/>
          <w:szCs w:val="22"/>
          <w:lang w:val="sr-Cyrl-RS"/>
        </w:rPr>
        <w:t xml:space="preserve">, према </w:t>
      </w:r>
      <w:proofErr w:type="spellStart"/>
      <w:r w:rsidR="00700A0B">
        <w:rPr>
          <w:sz w:val="22"/>
          <w:szCs w:val="22"/>
          <w:lang w:val="sr-Cyrl-RS"/>
        </w:rPr>
        <w:t>оцјени</w:t>
      </w:r>
      <w:proofErr w:type="spellEnd"/>
      <w:r w:rsidR="00700A0B">
        <w:rPr>
          <w:sz w:val="22"/>
          <w:szCs w:val="22"/>
          <w:lang w:val="sr-Cyrl-RS"/>
        </w:rPr>
        <w:t xml:space="preserve"> аутора овог рада, од значаја за</w:t>
      </w:r>
      <w:r w:rsidR="004D16DB">
        <w:rPr>
          <w:sz w:val="22"/>
          <w:szCs w:val="22"/>
          <w:lang w:val="sr-Cyrl-RS"/>
        </w:rPr>
        <w:t xml:space="preserve"> </w:t>
      </w:r>
      <w:r w:rsidR="008A58AB">
        <w:rPr>
          <w:sz w:val="22"/>
          <w:szCs w:val="22"/>
          <w:lang w:val="sr-Cyrl-RS"/>
        </w:rPr>
        <w:t xml:space="preserve">предлагање </w:t>
      </w:r>
      <w:proofErr w:type="spellStart"/>
      <w:r w:rsidR="008A58AB">
        <w:rPr>
          <w:sz w:val="22"/>
          <w:szCs w:val="22"/>
          <w:lang w:val="sr-Cyrl-RS"/>
        </w:rPr>
        <w:t>мјера</w:t>
      </w:r>
      <w:proofErr w:type="spellEnd"/>
      <w:r w:rsidR="008A58AB">
        <w:rPr>
          <w:sz w:val="22"/>
          <w:szCs w:val="22"/>
          <w:lang w:val="sr-Cyrl-RS"/>
        </w:rPr>
        <w:t xml:space="preserve"> и </w:t>
      </w:r>
      <w:r w:rsidR="004D16DB">
        <w:rPr>
          <w:sz w:val="22"/>
          <w:szCs w:val="22"/>
          <w:lang w:val="sr-Cyrl-RS"/>
        </w:rPr>
        <w:t>поступа</w:t>
      </w:r>
      <w:r w:rsidR="00437AAF">
        <w:rPr>
          <w:sz w:val="22"/>
          <w:szCs w:val="22"/>
          <w:lang w:val="sr-Cyrl-RS"/>
        </w:rPr>
        <w:t>ње ЈЛС у РС у условима</w:t>
      </w:r>
      <w:r w:rsidR="004D16DB">
        <w:rPr>
          <w:sz w:val="22"/>
          <w:szCs w:val="22"/>
          <w:lang w:val="sr-Cyrl-RS"/>
        </w:rPr>
        <w:t xml:space="preserve"> кризе</w:t>
      </w:r>
      <w:r w:rsidR="005339BF">
        <w:rPr>
          <w:sz w:val="22"/>
          <w:szCs w:val="22"/>
          <w:lang w:val="sr-Cyrl-RS"/>
        </w:rPr>
        <w:t xml:space="preserve"> изаз</w:t>
      </w:r>
      <w:r w:rsidR="004D16DB">
        <w:rPr>
          <w:sz w:val="22"/>
          <w:szCs w:val="22"/>
          <w:lang w:val="sr-Cyrl-RS"/>
        </w:rPr>
        <w:t xml:space="preserve">ване </w:t>
      </w:r>
      <w:proofErr w:type="spellStart"/>
      <w:r w:rsidR="004D16DB">
        <w:rPr>
          <w:sz w:val="22"/>
          <w:szCs w:val="22"/>
          <w:lang w:val="sr-Cyrl-RS"/>
        </w:rPr>
        <w:t>пандемијом</w:t>
      </w:r>
      <w:proofErr w:type="spellEnd"/>
      <w:r w:rsidR="004D16DB">
        <w:rPr>
          <w:sz w:val="22"/>
          <w:szCs w:val="22"/>
          <w:lang w:val="sr-Cyrl-RS"/>
        </w:rPr>
        <w:t xml:space="preserve"> </w:t>
      </w:r>
      <w:r w:rsidR="004D16DB">
        <w:rPr>
          <w:sz w:val="22"/>
          <w:szCs w:val="22"/>
          <w:lang w:val="en-US"/>
        </w:rPr>
        <w:t>COVID-19</w:t>
      </w:r>
      <w:r w:rsidR="00437AAF">
        <w:rPr>
          <w:rStyle w:val="FootnoteReference"/>
          <w:sz w:val="22"/>
          <w:szCs w:val="22"/>
          <w:lang w:val="en-US"/>
        </w:rPr>
        <w:footnoteReference w:id="9"/>
      </w:r>
      <w:r w:rsidR="00700A0B">
        <w:rPr>
          <w:sz w:val="22"/>
          <w:szCs w:val="22"/>
          <w:lang w:val="sr-Cyrl-RS"/>
        </w:rPr>
        <w:t>.</w:t>
      </w:r>
      <w:r w:rsidR="000A76E0" w:rsidRPr="00A82B11">
        <w:rPr>
          <w:bCs/>
          <w:sz w:val="22"/>
          <w:szCs w:val="22"/>
          <w:lang w:val="sr-Cyrl-BA" w:eastAsia="en-US"/>
        </w:rPr>
        <w:t xml:space="preserve"> </w:t>
      </w:r>
      <w:r w:rsidR="00437AAF">
        <w:rPr>
          <w:bCs/>
          <w:sz w:val="22"/>
          <w:szCs w:val="22"/>
          <w:lang w:val="sr-Cyrl-BA" w:eastAsia="en-US"/>
        </w:rPr>
        <w:t xml:space="preserve"> У упитнику је било 26 различитих питања, а за потребе овог извјештаја издвојено је 9 питања, за која су сумарн</w:t>
      </w:r>
      <w:r w:rsidR="00696DFD">
        <w:rPr>
          <w:bCs/>
          <w:sz w:val="22"/>
          <w:szCs w:val="22"/>
          <w:lang w:val="sr-Cyrl-BA" w:eastAsia="en-US"/>
        </w:rPr>
        <w:t>и налази преузети из званичног И</w:t>
      </w:r>
      <w:r w:rsidR="00437AAF">
        <w:rPr>
          <w:bCs/>
          <w:sz w:val="22"/>
          <w:szCs w:val="22"/>
          <w:lang w:val="sr-Cyrl-BA" w:eastAsia="en-US"/>
        </w:rPr>
        <w:t>звјештаја</w:t>
      </w:r>
      <w:r w:rsidR="00B1776E">
        <w:rPr>
          <w:bCs/>
          <w:sz w:val="22"/>
          <w:szCs w:val="22"/>
          <w:lang w:val="sr-Cyrl-BA" w:eastAsia="en-US"/>
        </w:rPr>
        <w:t xml:space="preserve">: </w:t>
      </w:r>
      <w:r w:rsidR="00B1776E" w:rsidRPr="00F06086">
        <w:rPr>
          <w:sz w:val="22"/>
          <w:szCs w:val="22"/>
        </w:rPr>
        <w:t>“</w:t>
      </w:r>
      <w:r w:rsidR="00633660">
        <w:rPr>
          <w:sz w:val="22"/>
          <w:szCs w:val="22"/>
        </w:rPr>
        <w:t>SURVEY</w:t>
      </w:r>
      <w:r w:rsidR="00633660">
        <w:rPr>
          <w:sz w:val="22"/>
          <w:szCs w:val="22"/>
          <w:lang w:val="sr-Latn-RS"/>
        </w:rPr>
        <w:t xml:space="preserve">: </w:t>
      </w:r>
      <w:proofErr w:type="spellStart"/>
      <w:r w:rsidR="00633660">
        <w:rPr>
          <w:sz w:val="22"/>
          <w:szCs w:val="22"/>
          <w:lang w:val="sr-Latn-RS"/>
        </w:rPr>
        <w:t>South-East</w:t>
      </w:r>
      <w:proofErr w:type="spellEnd"/>
      <w:r w:rsidR="00633660">
        <w:rPr>
          <w:sz w:val="22"/>
          <w:szCs w:val="22"/>
          <w:lang w:val="sr-Latn-RS"/>
        </w:rPr>
        <w:t xml:space="preserve"> </w:t>
      </w:r>
      <w:proofErr w:type="spellStart"/>
      <w:r w:rsidR="00633660">
        <w:rPr>
          <w:sz w:val="22"/>
          <w:szCs w:val="22"/>
          <w:lang w:val="sr-Latn-RS"/>
        </w:rPr>
        <w:t>European</w:t>
      </w:r>
      <w:proofErr w:type="spellEnd"/>
      <w:r w:rsidR="00633660">
        <w:rPr>
          <w:sz w:val="22"/>
          <w:szCs w:val="22"/>
          <w:lang w:val="sr-Latn-RS"/>
        </w:rPr>
        <w:t xml:space="preserve"> </w:t>
      </w:r>
      <w:proofErr w:type="spellStart"/>
      <w:r w:rsidR="00633660">
        <w:rPr>
          <w:sz w:val="22"/>
          <w:szCs w:val="22"/>
          <w:lang w:val="sr-Latn-RS"/>
        </w:rPr>
        <w:t>Local</w:t>
      </w:r>
      <w:proofErr w:type="spellEnd"/>
      <w:r w:rsidR="00633660">
        <w:rPr>
          <w:sz w:val="22"/>
          <w:szCs w:val="22"/>
          <w:lang w:val="sr-Latn-RS"/>
        </w:rPr>
        <w:t xml:space="preserve"> </w:t>
      </w:r>
      <w:proofErr w:type="spellStart"/>
      <w:r w:rsidR="00633660">
        <w:rPr>
          <w:sz w:val="22"/>
          <w:szCs w:val="22"/>
          <w:lang w:val="sr-Latn-RS"/>
        </w:rPr>
        <w:t>Governments</w:t>
      </w:r>
      <w:proofErr w:type="spellEnd"/>
      <w:r w:rsidR="00633660">
        <w:rPr>
          <w:sz w:val="22"/>
          <w:szCs w:val="22"/>
          <w:lang w:val="sr-Latn-RS"/>
        </w:rPr>
        <w:t xml:space="preserve"> in Post Coivd-19 </w:t>
      </w:r>
      <w:proofErr w:type="spellStart"/>
      <w:r w:rsidR="00633660">
        <w:rPr>
          <w:sz w:val="22"/>
          <w:szCs w:val="22"/>
          <w:lang w:val="sr-Latn-RS"/>
        </w:rPr>
        <w:t>Socio-Economic</w:t>
      </w:r>
      <w:proofErr w:type="spellEnd"/>
      <w:r w:rsidR="00633660">
        <w:rPr>
          <w:sz w:val="22"/>
          <w:szCs w:val="22"/>
          <w:lang w:val="sr-Latn-RS"/>
        </w:rPr>
        <w:t xml:space="preserve"> </w:t>
      </w:r>
      <w:proofErr w:type="spellStart"/>
      <w:r w:rsidR="00633660">
        <w:rPr>
          <w:sz w:val="22"/>
          <w:szCs w:val="22"/>
          <w:lang w:val="sr-Latn-RS"/>
        </w:rPr>
        <w:t>Recovery</w:t>
      </w:r>
      <w:proofErr w:type="spellEnd"/>
      <w:r w:rsidR="00633660">
        <w:rPr>
          <w:sz w:val="22"/>
          <w:szCs w:val="22"/>
          <w:lang w:val="sr-Latn-RS"/>
        </w:rPr>
        <w:t>“</w:t>
      </w:r>
      <w:r w:rsidR="00437AAF">
        <w:rPr>
          <w:rStyle w:val="FootnoteReference"/>
          <w:sz w:val="22"/>
          <w:szCs w:val="22"/>
        </w:rPr>
        <w:footnoteReference w:id="10"/>
      </w:r>
      <w:r w:rsidR="00696DFD">
        <w:rPr>
          <w:sz w:val="22"/>
          <w:szCs w:val="22"/>
          <w:lang w:val="sr-Cyrl-RS"/>
        </w:rPr>
        <w:t xml:space="preserve"> (у даљем тексту: </w:t>
      </w:r>
      <w:proofErr w:type="spellStart"/>
      <w:r w:rsidR="00696DFD" w:rsidRPr="00696DFD">
        <w:rPr>
          <w:b/>
          <w:sz w:val="22"/>
          <w:szCs w:val="22"/>
          <w:lang w:val="sr-Cyrl-RS"/>
        </w:rPr>
        <w:t>Извјештај</w:t>
      </w:r>
      <w:proofErr w:type="spellEnd"/>
      <w:r w:rsidR="00696DFD" w:rsidRPr="00696DFD">
        <w:rPr>
          <w:b/>
          <w:sz w:val="22"/>
          <w:szCs w:val="22"/>
          <w:lang w:val="sr-Cyrl-RS"/>
        </w:rPr>
        <w:t xml:space="preserve"> </w:t>
      </w:r>
      <w:r w:rsidR="00696DFD" w:rsidRPr="00696DFD">
        <w:rPr>
          <w:b/>
          <w:sz w:val="22"/>
          <w:szCs w:val="22"/>
          <w:lang w:val="en-US"/>
        </w:rPr>
        <w:t>NALAS</w:t>
      </w:r>
      <w:r w:rsidR="00696DFD">
        <w:rPr>
          <w:sz w:val="22"/>
          <w:szCs w:val="22"/>
          <w:lang w:val="sr-Latn-RS"/>
        </w:rPr>
        <w:t>)</w:t>
      </w:r>
      <w:r w:rsidR="00633660">
        <w:rPr>
          <w:sz w:val="22"/>
          <w:szCs w:val="22"/>
          <w:lang w:val="sr-Latn-RS"/>
        </w:rPr>
        <w:t>.</w:t>
      </w:r>
    </w:p>
    <w:p w14:paraId="5686458F" w14:textId="2E468BCD" w:rsidR="005339BF" w:rsidRDefault="005339BF" w:rsidP="001D2934">
      <w:pPr>
        <w:shd w:val="clear" w:color="auto" w:fill="FFFFFF" w:themeFill="background1"/>
        <w:spacing w:line="276" w:lineRule="auto"/>
        <w:ind w:firstLine="709"/>
        <w:jc w:val="both"/>
        <w:rPr>
          <w:b/>
          <w:bCs/>
          <w:sz w:val="22"/>
        </w:rPr>
      </w:pPr>
    </w:p>
    <w:p w14:paraId="0585E11E" w14:textId="0ED5F829" w:rsidR="00CA5CF9" w:rsidRDefault="00A3635A" w:rsidP="00ED4E1B">
      <w:pPr>
        <w:spacing w:line="276" w:lineRule="auto"/>
        <w:ind w:firstLine="709"/>
        <w:jc w:val="both"/>
        <w:rPr>
          <w:bCs/>
          <w:sz w:val="22"/>
          <w:szCs w:val="22"/>
          <w:lang w:val="sr-Cyrl-BA" w:eastAsia="en-US"/>
        </w:rPr>
      </w:pPr>
      <w:r>
        <w:rPr>
          <w:b/>
          <w:bCs/>
          <w:sz w:val="22"/>
          <w:lang w:val="sr-Cyrl-RS"/>
        </w:rPr>
        <w:t>-</w:t>
      </w:r>
      <w:r w:rsidR="005339BF">
        <w:rPr>
          <w:b/>
          <w:bCs/>
          <w:sz w:val="22"/>
          <w:lang w:val="sr-Cyrl-RS"/>
        </w:rPr>
        <w:t>У</w:t>
      </w:r>
      <w:proofErr w:type="spellStart"/>
      <w:r w:rsidR="00DE5C3A" w:rsidRPr="0040408A">
        <w:rPr>
          <w:b/>
          <w:bCs/>
          <w:sz w:val="22"/>
        </w:rPr>
        <w:t>тицај</w:t>
      </w:r>
      <w:proofErr w:type="spellEnd"/>
      <w:r w:rsidR="00DE5C3A" w:rsidRPr="0040408A">
        <w:rPr>
          <w:b/>
          <w:bCs/>
          <w:sz w:val="22"/>
        </w:rPr>
        <w:t xml:space="preserve"> </w:t>
      </w:r>
      <w:proofErr w:type="spellStart"/>
      <w:r w:rsidR="00DE5C3A" w:rsidRPr="0040408A">
        <w:rPr>
          <w:b/>
          <w:bCs/>
          <w:sz w:val="22"/>
        </w:rPr>
        <w:t>кризе</w:t>
      </w:r>
      <w:proofErr w:type="spellEnd"/>
      <w:r w:rsidR="00DE5C3A" w:rsidRPr="0040408A">
        <w:rPr>
          <w:b/>
          <w:bCs/>
          <w:sz w:val="22"/>
        </w:rPr>
        <w:t xml:space="preserve"> </w:t>
      </w:r>
      <w:proofErr w:type="spellStart"/>
      <w:r w:rsidR="00DE5C3A" w:rsidRPr="0040408A">
        <w:rPr>
          <w:b/>
          <w:bCs/>
          <w:sz w:val="22"/>
        </w:rPr>
        <w:t>изазване</w:t>
      </w:r>
      <w:proofErr w:type="spellEnd"/>
      <w:r w:rsidR="00DE5C3A" w:rsidRPr="0040408A">
        <w:rPr>
          <w:b/>
          <w:bCs/>
          <w:sz w:val="22"/>
        </w:rPr>
        <w:t xml:space="preserve"> CO</w:t>
      </w:r>
      <w:r w:rsidR="00954D35">
        <w:rPr>
          <w:b/>
          <w:bCs/>
          <w:sz w:val="22"/>
        </w:rPr>
        <w:t xml:space="preserve">VID-19 </w:t>
      </w:r>
      <w:proofErr w:type="spellStart"/>
      <w:r w:rsidR="00954D35">
        <w:rPr>
          <w:b/>
          <w:bCs/>
          <w:sz w:val="22"/>
        </w:rPr>
        <w:t>на</w:t>
      </w:r>
      <w:proofErr w:type="spellEnd"/>
      <w:r w:rsidR="00954D35">
        <w:rPr>
          <w:b/>
          <w:bCs/>
          <w:sz w:val="22"/>
        </w:rPr>
        <w:t xml:space="preserve"> </w:t>
      </w:r>
      <w:proofErr w:type="spellStart"/>
      <w:r w:rsidR="00954D35">
        <w:rPr>
          <w:b/>
          <w:bCs/>
          <w:sz w:val="22"/>
        </w:rPr>
        <w:t>локалне</w:t>
      </w:r>
      <w:proofErr w:type="spellEnd"/>
      <w:r w:rsidR="00954D35">
        <w:rPr>
          <w:b/>
          <w:bCs/>
          <w:sz w:val="22"/>
        </w:rPr>
        <w:t xml:space="preserve"> </w:t>
      </w:r>
      <w:proofErr w:type="spellStart"/>
      <w:r w:rsidR="00954D35">
        <w:rPr>
          <w:b/>
          <w:bCs/>
          <w:sz w:val="22"/>
        </w:rPr>
        <w:t>самоуправе</w:t>
      </w:r>
      <w:proofErr w:type="spellEnd"/>
      <w:r w:rsidR="00954D35">
        <w:rPr>
          <w:b/>
          <w:bCs/>
          <w:sz w:val="22"/>
        </w:rPr>
        <w:t xml:space="preserve"> о</w:t>
      </w:r>
      <w:proofErr w:type="spellStart"/>
      <w:r w:rsidR="00453376">
        <w:rPr>
          <w:b/>
          <w:bCs/>
          <w:sz w:val="22"/>
          <w:lang w:val="sr-Cyrl-RS"/>
        </w:rPr>
        <w:t>дразић</w:t>
      </w:r>
      <w:r w:rsidR="00954D35">
        <w:rPr>
          <w:b/>
          <w:bCs/>
          <w:sz w:val="22"/>
          <w:lang w:val="sr-Cyrl-RS"/>
        </w:rPr>
        <w:t>е</w:t>
      </w:r>
      <w:proofErr w:type="spellEnd"/>
      <w:r w:rsidR="00954D35">
        <w:rPr>
          <w:b/>
          <w:bCs/>
          <w:sz w:val="22"/>
          <w:lang w:val="sr-Cyrl-RS"/>
        </w:rPr>
        <w:t xml:space="preserve"> се, првенствено на</w:t>
      </w:r>
      <w:r w:rsidR="00453376">
        <w:rPr>
          <w:b/>
          <w:bCs/>
          <w:sz w:val="22"/>
          <w:lang w:val="sr-Cyrl-RS"/>
        </w:rPr>
        <w:t xml:space="preserve"> локалне финансије</w:t>
      </w:r>
      <w:r w:rsidR="00C24CAF">
        <w:rPr>
          <w:rStyle w:val="FootnoteReference"/>
          <w:b/>
          <w:bCs/>
          <w:sz w:val="22"/>
          <w:lang w:val="sr-Cyrl-RS"/>
        </w:rPr>
        <w:footnoteReference w:id="11"/>
      </w:r>
      <w:r>
        <w:rPr>
          <w:b/>
          <w:bCs/>
          <w:sz w:val="22"/>
          <w:lang w:val="sr-Cyrl-RS"/>
        </w:rPr>
        <w:t>.</w:t>
      </w:r>
      <w:r w:rsidR="00CA5CF9">
        <w:rPr>
          <w:bCs/>
          <w:sz w:val="22"/>
          <w:szCs w:val="22"/>
          <w:lang w:val="sr-Cyrl-BA" w:eastAsia="en-US"/>
        </w:rPr>
        <w:t xml:space="preserve"> </w:t>
      </w:r>
    </w:p>
    <w:p w14:paraId="1B82406D" w14:textId="3EB5C4AC" w:rsidR="00CA69A0" w:rsidRDefault="00CA5CF9" w:rsidP="00ED4E1B">
      <w:pPr>
        <w:spacing w:line="276" w:lineRule="auto"/>
        <w:ind w:firstLine="709"/>
        <w:jc w:val="both"/>
        <w:rPr>
          <w:bCs/>
          <w:sz w:val="22"/>
          <w:szCs w:val="22"/>
          <w:lang w:val="sr-Cyrl-BA" w:eastAsia="en-US"/>
        </w:rPr>
      </w:pPr>
      <w:r>
        <w:rPr>
          <w:bCs/>
          <w:sz w:val="22"/>
          <w:szCs w:val="22"/>
          <w:lang w:val="sr-Cyrl-BA" w:eastAsia="en-US"/>
        </w:rPr>
        <w:t xml:space="preserve">У </w:t>
      </w:r>
      <w:r w:rsidR="00696DFD">
        <w:rPr>
          <w:bCs/>
          <w:sz w:val="22"/>
          <w:szCs w:val="22"/>
          <w:lang w:val="sr-Cyrl-RS" w:eastAsia="en-US"/>
        </w:rPr>
        <w:t xml:space="preserve">претходно наведеном </w:t>
      </w:r>
      <w:proofErr w:type="spellStart"/>
      <w:r w:rsidR="00696DFD">
        <w:rPr>
          <w:bCs/>
          <w:sz w:val="22"/>
          <w:szCs w:val="22"/>
          <w:lang w:val="sr-Cyrl-RS" w:eastAsia="en-US"/>
        </w:rPr>
        <w:t>И</w:t>
      </w:r>
      <w:r w:rsidR="00944A09">
        <w:rPr>
          <w:bCs/>
          <w:sz w:val="22"/>
          <w:szCs w:val="22"/>
          <w:lang w:val="sr-Cyrl-RS" w:eastAsia="en-US"/>
        </w:rPr>
        <w:t>звјештају</w:t>
      </w:r>
      <w:proofErr w:type="spellEnd"/>
      <w:r w:rsidR="004D67DA" w:rsidRPr="005163C1">
        <w:rPr>
          <w:bCs/>
          <w:sz w:val="22"/>
          <w:szCs w:val="22"/>
          <w:lang w:val="sr-Cyrl-BA" w:eastAsia="en-US"/>
        </w:rPr>
        <w:t xml:space="preserve"> </w:t>
      </w:r>
      <w:r w:rsidR="004D67DA" w:rsidRPr="005163C1">
        <w:rPr>
          <w:bCs/>
          <w:sz w:val="22"/>
          <w:szCs w:val="22"/>
          <w:lang w:val="en-US" w:eastAsia="en-US"/>
        </w:rPr>
        <w:t>NALAS-a</w:t>
      </w:r>
      <w:r w:rsidR="007D66F1">
        <w:rPr>
          <w:bCs/>
          <w:sz w:val="22"/>
          <w:szCs w:val="22"/>
          <w:lang w:val="sr-Cyrl-RS" w:eastAsia="en-US"/>
        </w:rPr>
        <w:t>,</w:t>
      </w:r>
      <w:r w:rsidR="00944A09">
        <w:rPr>
          <w:bCs/>
          <w:sz w:val="22"/>
          <w:szCs w:val="22"/>
          <w:lang w:val="sr-Cyrl-RS" w:eastAsia="en-US"/>
        </w:rPr>
        <w:t xml:space="preserve"> </w:t>
      </w:r>
      <w:r w:rsidR="004D67DA" w:rsidRPr="00932EA3">
        <w:rPr>
          <w:bCs/>
          <w:sz w:val="22"/>
          <w:szCs w:val="22"/>
          <w:lang w:val="sr-Cyrl-RS" w:eastAsia="en-US"/>
        </w:rPr>
        <w:t xml:space="preserve">37% </w:t>
      </w:r>
      <w:r>
        <w:rPr>
          <w:bCs/>
          <w:sz w:val="22"/>
          <w:szCs w:val="22"/>
          <w:lang w:val="sr-Cyrl-RS" w:eastAsia="en-US"/>
        </w:rPr>
        <w:t>испитаних ЈЛС</w:t>
      </w:r>
      <w:r w:rsidR="00954D35">
        <w:rPr>
          <w:bCs/>
          <w:sz w:val="22"/>
          <w:szCs w:val="22"/>
          <w:lang w:val="sr-Cyrl-RS" w:eastAsia="en-US"/>
        </w:rPr>
        <w:t xml:space="preserve"> у ЈИЕ </w:t>
      </w:r>
      <w:r>
        <w:rPr>
          <w:bCs/>
          <w:sz w:val="22"/>
          <w:szCs w:val="22"/>
          <w:lang w:val="sr-Cyrl-RS" w:eastAsia="en-US"/>
        </w:rPr>
        <w:t xml:space="preserve"> </w:t>
      </w:r>
      <w:r w:rsidR="004D67DA" w:rsidRPr="00932EA3">
        <w:rPr>
          <w:bCs/>
          <w:sz w:val="22"/>
          <w:szCs w:val="22"/>
          <w:lang w:val="sr-Cyrl-RS" w:eastAsia="en-US"/>
        </w:rPr>
        <w:t xml:space="preserve">одговорило </w:t>
      </w:r>
      <w:r>
        <w:rPr>
          <w:bCs/>
          <w:sz w:val="22"/>
          <w:szCs w:val="22"/>
          <w:lang w:val="sr-Cyrl-RS" w:eastAsia="en-US"/>
        </w:rPr>
        <w:t xml:space="preserve">је </w:t>
      </w:r>
      <w:r w:rsidR="004D67DA" w:rsidRPr="00932EA3">
        <w:rPr>
          <w:bCs/>
          <w:sz w:val="22"/>
          <w:szCs w:val="22"/>
          <w:lang w:val="sr-Cyrl-RS" w:eastAsia="en-US"/>
        </w:rPr>
        <w:t>да очекују јак утицај</w:t>
      </w:r>
      <w:r>
        <w:rPr>
          <w:bCs/>
          <w:sz w:val="22"/>
          <w:szCs w:val="22"/>
          <w:lang w:val="sr-Cyrl-RS" w:eastAsia="en-US"/>
        </w:rPr>
        <w:t xml:space="preserve"> </w:t>
      </w:r>
      <w:r w:rsidR="00A3635A">
        <w:rPr>
          <w:bCs/>
          <w:sz w:val="22"/>
          <w:szCs w:val="22"/>
          <w:lang w:val="sr-Cyrl-RS" w:eastAsia="en-US"/>
        </w:rPr>
        <w:t xml:space="preserve">кризе </w:t>
      </w:r>
      <w:r>
        <w:rPr>
          <w:bCs/>
          <w:sz w:val="22"/>
          <w:szCs w:val="22"/>
          <w:lang w:val="sr-Cyrl-RS" w:eastAsia="en-US"/>
        </w:rPr>
        <w:t xml:space="preserve">на локалне финансије, што </w:t>
      </w:r>
      <w:proofErr w:type="spellStart"/>
      <w:r>
        <w:rPr>
          <w:bCs/>
          <w:sz w:val="22"/>
          <w:szCs w:val="22"/>
          <w:lang w:val="sr-Cyrl-RS" w:eastAsia="en-US"/>
        </w:rPr>
        <w:t>подразум</w:t>
      </w:r>
      <w:r w:rsidR="00954D35">
        <w:rPr>
          <w:bCs/>
          <w:sz w:val="22"/>
          <w:szCs w:val="22"/>
          <w:lang w:val="sr-Cyrl-RS" w:eastAsia="en-US"/>
        </w:rPr>
        <w:t>ијева</w:t>
      </w:r>
      <w:proofErr w:type="spellEnd"/>
      <w:r w:rsidR="00954D35">
        <w:rPr>
          <w:bCs/>
          <w:sz w:val="22"/>
          <w:szCs w:val="22"/>
          <w:lang w:val="sr-Cyrl-RS" w:eastAsia="en-US"/>
        </w:rPr>
        <w:t xml:space="preserve"> озбиљ</w:t>
      </w:r>
      <w:r>
        <w:rPr>
          <w:bCs/>
          <w:sz w:val="22"/>
          <w:szCs w:val="22"/>
          <w:lang w:val="sr-Cyrl-RS" w:eastAsia="en-US"/>
        </w:rPr>
        <w:t>не поремећаје</w:t>
      </w:r>
      <w:r w:rsidR="00954D35">
        <w:rPr>
          <w:bCs/>
          <w:sz w:val="22"/>
          <w:szCs w:val="22"/>
          <w:lang w:val="sr-Cyrl-RS" w:eastAsia="en-US"/>
        </w:rPr>
        <w:t xml:space="preserve"> у пружању услуга</w:t>
      </w:r>
      <w:r>
        <w:rPr>
          <w:bCs/>
          <w:sz w:val="22"/>
          <w:szCs w:val="22"/>
          <w:lang w:val="sr-Cyrl-RS" w:eastAsia="en-US"/>
        </w:rPr>
        <w:t xml:space="preserve"> и немогућност локалне </w:t>
      </w:r>
      <w:proofErr w:type="spellStart"/>
      <w:r>
        <w:rPr>
          <w:bCs/>
          <w:sz w:val="22"/>
          <w:szCs w:val="22"/>
          <w:lang w:val="sr-Cyrl-RS" w:eastAsia="en-US"/>
        </w:rPr>
        <w:t>самоупарве</w:t>
      </w:r>
      <w:proofErr w:type="spellEnd"/>
      <w:r>
        <w:rPr>
          <w:bCs/>
          <w:sz w:val="22"/>
          <w:szCs w:val="22"/>
          <w:lang w:val="sr-Cyrl-RS" w:eastAsia="en-US"/>
        </w:rPr>
        <w:t xml:space="preserve"> да извршава своје задатке, са средњорочним и дугорочним утицајем на локалну економију. С друге стране,</w:t>
      </w:r>
      <w:r w:rsidR="004D67DA" w:rsidRPr="00932EA3">
        <w:rPr>
          <w:bCs/>
          <w:sz w:val="22"/>
          <w:szCs w:val="22"/>
          <w:lang w:val="sr-Cyrl-RS" w:eastAsia="en-US"/>
        </w:rPr>
        <w:t xml:space="preserve"> 38% </w:t>
      </w:r>
      <w:r>
        <w:rPr>
          <w:bCs/>
          <w:sz w:val="22"/>
          <w:szCs w:val="22"/>
          <w:lang w:val="sr-Cyrl-RS" w:eastAsia="en-US"/>
        </w:rPr>
        <w:t xml:space="preserve">ЈЛС из региона </w:t>
      </w:r>
      <w:r w:rsidR="00D00E12">
        <w:rPr>
          <w:bCs/>
          <w:sz w:val="22"/>
          <w:szCs w:val="22"/>
          <w:lang w:val="sr-Cyrl-RS" w:eastAsia="en-US"/>
        </w:rPr>
        <w:t xml:space="preserve">очекује </w:t>
      </w:r>
      <w:r w:rsidR="004D67DA" w:rsidRPr="00932EA3">
        <w:rPr>
          <w:bCs/>
          <w:sz w:val="22"/>
          <w:szCs w:val="22"/>
          <w:lang w:val="sr-Cyrl-RS" w:eastAsia="en-US"/>
        </w:rPr>
        <w:t>средњи</w:t>
      </w:r>
      <w:r w:rsidR="00D00E12">
        <w:rPr>
          <w:bCs/>
          <w:sz w:val="22"/>
          <w:szCs w:val="22"/>
          <w:lang w:val="sr-Cyrl-RS" w:eastAsia="en-US"/>
        </w:rPr>
        <w:t xml:space="preserve"> ниво поремећаја, што значи поремећај многих општинских услуга, са краткорочним и </w:t>
      </w:r>
      <w:proofErr w:type="spellStart"/>
      <w:r w:rsidR="00D00E12">
        <w:rPr>
          <w:bCs/>
          <w:sz w:val="22"/>
          <w:szCs w:val="22"/>
          <w:lang w:val="sr-Cyrl-RS" w:eastAsia="en-US"/>
        </w:rPr>
        <w:t>средњерочним</w:t>
      </w:r>
      <w:proofErr w:type="spellEnd"/>
      <w:r w:rsidR="00D00E12">
        <w:rPr>
          <w:bCs/>
          <w:sz w:val="22"/>
          <w:szCs w:val="22"/>
          <w:lang w:val="sr-Cyrl-RS" w:eastAsia="en-US"/>
        </w:rPr>
        <w:t xml:space="preserve"> утицајем на локалну заједницу и економију</w:t>
      </w:r>
      <w:r w:rsidR="004D67DA" w:rsidRPr="00932EA3">
        <w:rPr>
          <w:bCs/>
          <w:sz w:val="22"/>
          <w:szCs w:val="22"/>
          <w:lang w:val="sr-Cyrl-RS" w:eastAsia="en-US"/>
        </w:rPr>
        <w:t xml:space="preserve">. </w:t>
      </w:r>
      <w:r w:rsidR="00F0699E">
        <w:rPr>
          <w:bCs/>
          <w:sz w:val="22"/>
          <w:szCs w:val="22"/>
          <w:lang w:val="sr-Cyrl-RS" w:eastAsia="en-US"/>
        </w:rPr>
        <w:t xml:space="preserve">Према томе, све испитане ЈЛС су </w:t>
      </w:r>
      <w:proofErr w:type="spellStart"/>
      <w:r w:rsidR="00F0699E">
        <w:rPr>
          <w:bCs/>
          <w:sz w:val="22"/>
          <w:szCs w:val="22"/>
          <w:lang w:val="sr-Cyrl-RS" w:eastAsia="en-US"/>
        </w:rPr>
        <w:t>проц</w:t>
      </w:r>
      <w:r w:rsidR="00D52E89">
        <w:rPr>
          <w:bCs/>
          <w:sz w:val="22"/>
          <w:szCs w:val="22"/>
          <w:lang w:val="sr-Cyrl-RS" w:eastAsia="en-US"/>
        </w:rPr>
        <w:t>и</w:t>
      </w:r>
      <w:r w:rsidR="00F0699E">
        <w:rPr>
          <w:bCs/>
          <w:sz w:val="22"/>
          <w:szCs w:val="22"/>
          <w:lang w:val="sr-Cyrl-RS" w:eastAsia="en-US"/>
        </w:rPr>
        <w:t>јениле</w:t>
      </w:r>
      <w:proofErr w:type="spellEnd"/>
      <w:r w:rsidR="00F0699E">
        <w:rPr>
          <w:bCs/>
          <w:sz w:val="22"/>
          <w:szCs w:val="22"/>
          <w:lang w:val="sr-Cyrl-RS" w:eastAsia="en-US"/>
        </w:rPr>
        <w:t xml:space="preserve"> очекују јак „удар“ на локалне финансије</w:t>
      </w:r>
      <w:r w:rsidR="00D52E89">
        <w:rPr>
          <w:bCs/>
          <w:sz w:val="22"/>
          <w:szCs w:val="22"/>
          <w:lang w:val="sr-Cyrl-RS" w:eastAsia="en-US"/>
        </w:rPr>
        <w:t>,</w:t>
      </w:r>
      <w:r w:rsidR="00F0699E">
        <w:rPr>
          <w:bCs/>
          <w:sz w:val="22"/>
          <w:szCs w:val="22"/>
          <w:lang w:val="sr-Cyrl-RS" w:eastAsia="en-US"/>
        </w:rPr>
        <w:t xml:space="preserve"> </w:t>
      </w:r>
      <w:r w:rsidR="00D52E89">
        <w:rPr>
          <w:bCs/>
          <w:sz w:val="22"/>
          <w:szCs w:val="22"/>
          <w:lang w:val="sr-Cyrl-RS" w:eastAsia="en-US"/>
        </w:rPr>
        <w:t xml:space="preserve">односно сматрају утицај кризе као изузетно </w:t>
      </w:r>
      <w:proofErr w:type="spellStart"/>
      <w:r w:rsidR="00D52E89">
        <w:rPr>
          <w:bCs/>
          <w:sz w:val="22"/>
          <w:szCs w:val="22"/>
          <w:lang w:val="sr-Cyrl-RS" w:eastAsia="en-US"/>
        </w:rPr>
        <w:t>ризичн</w:t>
      </w:r>
      <w:proofErr w:type="spellEnd"/>
      <w:r w:rsidR="00F0699E">
        <w:rPr>
          <w:bCs/>
          <w:sz w:val="22"/>
          <w:szCs w:val="22"/>
          <w:lang w:val="sr-Cyrl-RS" w:eastAsia="en-US"/>
        </w:rPr>
        <w:t xml:space="preserve"> за локалне заједнице и економију.</w:t>
      </w:r>
      <w:r w:rsidR="00B637A5" w:rsidRPr="005163C1">
        <w:rPr>
          <w:bCs/>
          <w:sz w:val="22"/>
          <w:szCs w:val="22"/>
          <w:lang w:val="sr-Cyrl-BA" w:eastAsia="en-US"/>
        </w:rPr>
        <w:t xml:space="preserve"> </w:t>
      </w:r>
      <w:r w:rsidR="00AD6682">
        <w:rPr>
          <w:bCs/>
          <w:sz w:val="22"/>
          <w:szCs w:val="22"/>
          <w:lang w:val="sr-Cyrl-BA" w:eastAsia="en-US"/>
        </w:rPr>
        <w:t xml:space="preserve">Ови сумарни одговори на нивоу </w:t>
      </w:r>
      <w:r w:rsidR="00162F64">
        <w:rPr>
          <w:bCs/>
          <w:sz w:val="22"/>
          <w:szCs w:val="22"/>
          <w:lang w:val="sr-Cyrl-BA" w:eastAsia="en-US"/>
        </w:rPr>
        <w:t>цијелог извјештаја</w:t>
      </w:r>
      <w:r w:rsidR="00AD6682">
        <w:rPr>
          <w:bCs/>
          <w:sz w:val="22"/>
          <w:szCs w:val="22"/>
          <w:lang w:val="sr-Cyrl-BA" w:eastAsia="en-US"/>
        </w:rPr>
        <w:t>, кореспондирају са одговорима које су, у овој анкети, дале ЈЛС из РС</w:t>
      </w:r>
      <w:r w:rsidR="00162F64">
        <w:rPr>
          <w:bCs/>
          <w:sz w:val="22"/>
          <w:szCs w:val="22"/>
          <w:lang w:val="sr-Cyrl-BA" w:eastAsia="en-US"/>
        </w:rPr>
        <w:t xml:space="preserve"> (50% анкетираних наших ЈЛС процијенило је да ће </w:t>
      </w:r>
      <w:proofErr w:type="spellStart"/>
      <w:r w:rsidR="00162F64">
        <w:rPr>
          <w:bCs/>
          <w:sz w:val="22"/>
          <w:szCs w:val="22"/>
          <w:lang w:val="sr-Cyrl-BA" w:eastAsia="en-US"/>
        </w:rPr>
        <w:t>пандемија</w:t>
      </w:r>
      <w:proofErr w:type="spellEnd"/>
      <w:r w:rsidR="00162F64">
        <w:rPr>
          <w:bCs/>
          <w:sz w:val="22"/>
          <w:szCs w:val="22"/>
          <w:lang w:val="sr-Cyrl-BA" w:eastAsia="en-US"/>
        </w:rPr>
        <w:t xml:space="preserve"> изазвати јак утицај)</w:t>
      </w:r>
      <w:r w:rsidR="00AD6682">
        <w:rPr>
          <w:bCs/>
          <w:sz w:val="22"/>
          <w:szCs w:val="22"/>
          <w:lang w:val="sr-Cyrl-BA" w:eastAsia="en-US"/>
        </w:rPr>
        <w:t>.</w:t>
      </w:r>
      <w:r w:rsidR="00162F64">
        <w:rPr>
          <w:bCs/>
          <w:sz w:val="22"/>
          <w:szCs w:val="22"/>
          <w:lang w:val="sr-Cyrl-BA" w:eastAsia="en-US"/>
        </w:rPr>
        <w:t xml:space="preserve"> </w:t>
      </w:r>
      <w:r w:rsidR="00AD6682">
        <w:rPr>
          <w:bCs/>
          <w:sz w:val="22"/>
          <w:szCs w:val="22"/>
          <w:lang w:val="sr-Cyrl-BA" w:eastAsia="en-US"/>
        </w:rPr>
        <w:t xml:space="preserve"> </w:t>
      </w:r>
    </w:p>
    <w:p w14:paraId="47E04E4C" w14:textId="53ABE3A8" w:rsidR="00A3635A" w:rsidRDefault="00A3635A" w:rsidP="00954D35">
      <w:pPr>
        <w:jc w:val="both"/>
        <w:rPr>
          <w:b/>
          <w:bCs/>
          <w:sz w:val="22"/>
        </w:rPr>
      </w:pPr>
    </w:p>
    <w:p w14:paraId="23C1A68E" w14:textId="6F894328" w:rsidR="00090C31" w:rsidRPr="00D52E89" w:rsidRDefault="00A3635A" w:rsidP="00D52E89">
      <w:pPr>
        <w:ind w:firstLine="709"/>
        <w:jc w:val="both"/>
        <w:rPr>
          <w:b/>
          <w:bCs/>
          <w:sz w:val="22"/>
          <w:lang w:val="sr-Cyrl-RS"/>
        </w:rPr>
      </w:pPr>
      <w:r>
        <w:rPr>
          <w:b/>
          <w:bCs/>
          <w:sz w:val="22"/>
          <w:lang w:val="sr-Cyrl-RS"/>
        </w:rPr>
        <w:t>-Н</w:t>
      </w:r>
      <w:proofErr w:type="spellStart"/>
      <w:r w:rsidR="00935F77">
        <w:rPr>
          <w:b/>
          <w:bCs/>
          <w:sz w:val="22"/>
        </w:rPr>
        <w:t>ајзначајнији</w:t>
      </w:r>
      <w:proofErr w:type="spellEnd"/>
      <w:r w:rsidR="00935F77">
        <w:rPr>
          <w:b/>
          <w:bCs/>
          <w:sz w:val="22"/>
        </w:rPr>
        <w:t xml:space="preserve"> </w:t>
      </w:r>
      <w:proofErr w:type="spellStart"/>
      <w:r w:rsidR="00935F77">
        <w:rPr>
          <w:b/>
          <w:bCs/>
          <w:sz w:val="22"/>
        </w:rPr>
        <w:t>изазов</w:t>
      </w:r>
      <w:proofErr w:type="spellEnd"/>
      <w:r w:rsidR="001D2934" w:rsidRPr="001D2934">
        <w:rPr>
          <w:b/>
          <w:bCs/>
          <w:sz w:val="22"/>
        </w:rPr>
        <w:t xml:space="preserve"> </w:t>
      </w:r>
      <w:proofErr w:type="spellStart"/>
      <w:r w:rsidR="001D2934" w:rsidRPr="001D2934">
        <w:rPr>
          <w:b/>
          <w:bCs/>
          <w:sz w:val="22"/>
        </w:rPr>
        <w:t>са</w:t>
      </w:r>
      <w:proofErr w:type="spellEnd"/>
      <w:r w:rsidR="001D2934" w:rsidRPr="001D2934">
        <w:rPr>
          <w:b/>
          <w:bCs/>
          <w:sz w:val="22"/>
        </w:rPr>
        <w:t xml:space="preserve"> </w:t>
      </w:r>
      <w:proofErr w:type="spellStart"/>
      <w:r w:rsidR="001D2934" w:rsidRPr="001D2934">
        <w:rPr>
          <w:b/>
          <w:bCs/>
          <w:sz w:val="22"/>
        </w:rPr>
        <w:t>којима</w:t>
      </w:r>
      <w:proofErr w:type="spellEnd"/>
      <w:r w:rsidR="001D2934" w:rsidRPr="001D2934">
        <w:rPr>
          <w:b/>
          <w:bCs/>
          <w:sz w:val="22"/>
        </w:rPr>
        <w:t xml:space="preserve"> </w:t>
      </w:r>
      <w:proofErr w:type="spellStart"/>
      <w:r w:rsidR="001D2934" w:rsidRPr="001D2934">
        <w:rPr>
          <w:b/>
          <w:bCs/>
          <w:sz w:val="22"/>
        </w:rPr>
        <w:t>су</w:t>
      </w:r>
      <w:proofErr w:type="spellEnd"/>
      <w:r w:rsidR="001D2934" w:rsidRPr="001D2934">
        <w:rPr>
          <w:b/>
          <w:bCs/>
          <w:sz w:val="22"/>
        </w:rPr>
        <w:t xml:space="preserve"> </w:t>
      </w:r>
      <w:proofErr w:type="spellStart"/>
      <w:r w:rsidR="001D2934" w:rsidRPr="001D2934">
        <w:rPr>
          <w:b/>
          <w:bCs/>
          <w:sz w:val="22"/>
        </w:rPr>
        <w:t>се</w:t>
      </w:r>
      <w:proofErr w:type="spellEnd"/>
      <w:r w:rsidR="001D2934" w:rsidRPr="001D2934">
        <w:rPr>
          <w:b/>
          <w:bCs/>
          <w:sz w:val="22"/>
        </w:rPr>
        <w:t xml:space="preserve"> </w:t>
      </w:r>
      <w:proofErr w:type="spellStart"/>
      <w:r w:rsidR="001D2934" w:rsidRPr="001D2934">
        <w:rPr>
          <w:b/>
          <w:bCs/>
          <w:sz w:val="22"/>
        </w:rPr>
        <w:t>суочиле</w:t>
      </w:r>
      <w:proofErr w:type="spellEnd"/>
      <w:r w:rsidR="001D2934" w:rsidRPr="001D2934">
        <w:rPr>
          <w:b/>
          <w:bCs/>
          <w:sz w:val="22"/>
        </w:rPr>
        <w:t xml:space="preserve"> </w:t>
      </w:r>
      <w:proofErr w:type="spellStart"/>
      <w:r w:rsidR="001D2934" w:rsidRPr="001D2934">
        <w:rPr>
          <w:b/>
          <w:bCs/>
          <w:sz w:val="22"/>
        </w:rPr>
        <w:t>локалне</w:t>
      </w:r>
      <w:proofErr w:type="spellEnd"/>
      <w:r w:rsidR="001D2934" w:rsidRPr="001D2934">
        <w:rPr>
          <w:b/>
          <w:bCs/>
          <w:sz w:val="22"/>
        </w:rPr>
        <w:t xml:space="preserve"> </w:t>
      </w:r>
      <w:proofErr w:type="spellStart"/>
      <w:r w:rsidR="001D2934" w:rsidRPr="001D2934">
        <w:rPr>
          <w:b/>
          <w:bCs/>
          <w:sz w:val="22"/>
        </w:rPr>
        <w:t>самоуправе</w:t>
      </w:r>
      <w:proofErr w:type="spellEnd"/>
      <w:r w:rsidR="001D2934" w:rsidRPr="001D2934">
        <w:rPr>
          <w:b/>
          <w:bCs/>
          <w:sz w:val="22"/>
        </w:rPr>
        <w:t xml:space="preserve"> </w:t>
      </w:r>
      <w:proofErr w:type="spellStart"/>
      <w:r w:rsidR="001D2934" w:rsidRPr="001D2934">
        <w:rPr>
          <w:b/>
          <w:bCs/>
          <w:sz w:val="22"/>
        </w:rPr>
        <w:t>током</w:t>
      </w:r>
      <w:proofErr w:type="spellEnd"/>
      <w:r w:rsidR="001D2934" w:rsidRPr="001D2934">
        <w:rPr>
          <w:b/>
          <w:bCs/>
          <w:sz w:val="22"/>
        </w:rPr>
        <w:t xml:space="preserve"> </w:t>
      </w:r>
      <w:proofErr w:type="spellStart"/>
      <w:r w:rsidR="001D2934" w:rsidRPr="001D2934">
        <w:rPr>
          <w:b/>
          <w:bCs/>
          <w:sz w:val="22"/>
        </w:rPr>
        <w:t>врхунца</w:t>
      </w:r>
      <w:proofErr w:type="spellEnd"/>
      <w:r w:rsidR="001D2934" w:rsidRPr="001D2934">
        <w:rPr>
          <w:b/>
          <w:bCs/>
          <w:sz w:val="22"/>
        </w:rPr>
        <w:t xml:space="preserve"> </w:t>
      </w:r>
      <w:proofErr w:type="spellStart"/>
      <w:r w:rsidR="001D2934" w:rsidRPr="001D2934">
        <w:rPr>
          <w:b/>
          <w:bCs/>
          <w:sz w:val="22"/>
        </w:rPr>
        <w:t>кризе</w:t>
      </w:r>
      <w:proofErr w:type="spellEnd"/>
      <w:r w:rsidR="001D2934" w:rsidRPr="001D2934">
        <w:rPr>
          <w:b/>
          <w:bCs/>
          <w:sz w:val="22"/>
        </w:rPr>
        <w:t xml:space="preserve"> </w:t>
      </w:r>
      <w:proofErr w:type="spellStart"/>
      <w:r w:rsidR="001D2934" w:rsidRPr="001D2934">
        <w:rPr>
          <w:b/>
          <w:bCs/>
          <w:sz w:val="22"/>
        </w:rPr>
        <w:t>изазване</w:t>
      </w:r>
      <w:proofErr w:type="spellEnd"/>
      <w:r w:rsidR="001D2934" w:rsidRPr="001D2934">
        <w:rPr>
          <w:b/>
          <w:bCs/>
          <w:sz w:val="22"/>
        </w:rPr>
        <w:t xml:space="preserve"> COVID-19</w:t>
      </w:r>
      <w:r w:rsidR="00D52E89">
        <w:rPr>
          <w:b/>
          <w:bCs/>
          <w:sz w:val="22"/>
          <w:lang w:val="sr-Cyrl-RS"/>
        </w:rPr>
        <w:t xml:space="preserve"> </w:t>
      </w:r>
      <w:r w:rsidR="0037259C">
        <w:rPr>
          <w:b/>
          <w:bCs/>
          <w:sz w:val="22"/>
          <w:lang w:val="sr-Cyrl-RS"/>
        </w:rPr>
        <w:t xml:space="preserve"> </w:t>
      </w:r>
      <w:r w:rsidR="00935F77">
        <w:rPr>
          <w:b/>
          <w:bCs/>
          <w:sz w:val="22"/>
          <w:lang w:val="sr-Cyrl-RS"/>
        </w:rPr>
        <w:t xml:space="preserve">је </w:t>
      </w:r>
      <w:r w:rsidR="0037259C">
        <w:rPr>
          <w:b/>
          <w:bCs/>
          <w:sz w:val="22"/>
          <w:lang w:val="sr-Cyrl-RS"/>
        </w:rPr>
        <w:t>недостатак финансијских средстава</w:t>
      </w:r>
      <w:r w:rsidR="00C24CAF">
        <w:rPr>
          <w:rStyle w:val="FootnoteReference"/>
          <w:b/>
          <w:bCs/>
          <w:sz w:val="22"/>
          <w:lang w:val="sr-Cyrl-RS"/>
        </w:rPr>
        <w:footnoteReference w:id="12"/>
      </w:r>
      <w:r w:rsidR="0037259C">
        <w:rPr>
          <w:b/>
          <w:bCs/>
          <w:sz w:val="22"/>
          <w:lang w:val="sr-Cyrl-RS"/>
        </w:rPr>
        <w:t>.</w:t>
      </w:r>
      <w:r w:rsidR="001D2934" w:rsidRPr="001D2934">
        <w:rPr>
          <w:b/>
          <w:bCs/>
          <w:sz w:val="22"/>
          <w:lang w:val="sr-Cyrl-RS"/>
        </w:rPr>
        <w:t xml:space="preserve"> </w:t>
      </w:r>
    </w:p>
    <w:p w14:paraId="475F1443" w14:textId="13C0016A" w:rsidR="00CB328B" w:rsidRDefault="00935F77" w:rsidP="00CB328B">
      <w:pPr>
        <w:spacing w:line="276" w:lineRule="auto"/>
        <w:ind w:firstLine="709"/>
        <w:jc w:val="both"/>
        <w:rPr>
          <w:bCs/>
          <w:sz w:val="22"/>
          <w:lang w:val="sr-Cyrl-RS" w:eastAsia="en-US"/>
        </w:rPr>
      </w:pPr>
      <w:r>
        <w:rPr>
          <w:bCs/>
          <w:sz w:val="22"/>
          <w:lang w:val="sr-Cyrl-BA" w:eastAsia="en-US"/>
        </w:rPr>
        <w:t xml:space="preserve"> Извјештај</w:t>
      </w:r>
      <w:r w:rsidR="00A3635A">
        <w:rPr>
          <w:bCs/>
          <w:sz w:val="22"/>
          <w:lang w:val="sr-Cyrl-BA" w:eastAsia="en-US"/>
        </w:rPr>
        <w:t xml:space="preserve"> </w:t>
      </w:r>
      <w:r>
        <w:rPr>
          <w:bCs/>
          <w:sz w:val="22"/>
          <w:lang w:val="en-US" w:eastAsia="en-US"/>
        </w:rPr>
        <w:t>NALAS-a</w:t>
      </w:r>
      <w:r w:rsidR="00227E16" w:rsidRPr="001D2934">
        <w:rPr>
          <w:bCs/>
          <w:sz w:val="22"/>
          <w:lang w:val="sr-Cyrl-RS" w:eastAsia="en-US"/>
        </w:rPr>
        <w:t xml:space="preserve"> показује да </w:t>
      </w:r>
      <w:r w:rsidR="00277375" w:rsidRPr="001D2934">
        <w:rPr>
          <w:bCs/>
          <w:sz w:val="22"/>
          <w:lang w:val="sr-Cyrl-RS" w:eastAsia="en-US"/>
        </w:rPr>
        <w:t xml:space="preserve">се чак </w:t>
      </w:r>
      <w:r w:rsidR="00227E16" w:rsidRPr="001D2934">
        <w:rPr>
          <w:bCs/>
          <w:sz w:val="22"/>
          <w:lang w:val="sr-Cyrl-RS" w:eastAsia="en-US"/>
        </w:rPr>
        <w:t xml:space="preserve"> 87% анкетираних ЈЛС</w:t>
      </w:r>
      <w:r>
        <w:rPr>
          <w:bCs/>
          <w:sz w:val="22"/>
          <w:lang w:val="sr-Cyrl-RS" w:eastAsia="en-US"/>
        </w:rPr>
        <w:t xml:space="preserve"> у ЈИЕ</w:t>
      </w:r>
      <w:r w:rsidR="00162F64">
        <w:rPr>
          <w:bCs/>
          <w:sz w:val="22"/>
          <w:lang w:val="sr-Cyrl-RS" w:eastAsia="en-US"/>
        </w:rPr>
        <w:t xml:space="preserve"> (од чега све </w:t>
      </w:r>
      <w:proofErr w:type="spellStart"/>
      <w:r w:rsidR="00162F64">
        <w:rPr>
          <w:bCs/>
          <w:sz w:val="22"/>
          <w:lang w:val="sr-Cyrl-RS" w:eastAsia="en-US"/>
        </w:rPr>
        <w:t>анкетрине</w:t>
      </w:r>
      <w:proofErr w:type="spellEnd"/>
      <w:r w:rsidR="00162F64">
        <w:rPr>
          <w:bCs/>
          <w:sz w:val="22"/>
          <w:lang w:val="sr-Cyrl-RS" w:eastAsia="en-US"/>
        </w:rPr>
        <w:t xml:space="preserve"> ЈЛС из РС) </w:t>
      </w:r>
      <w:r w:rsidR="00227E16" w:rsidRPr="001D2934">
        <w:rPr>
          <w:bCs/>
          <w:sz w:val="22"/>
          <w:lang w:val="sr-Cyrl-RS" w:eastAsia="en-US"/>
        </w:rPr>
        <w:t xml:space="preserve">изјаснило </w:t>
      </w:r>
      <w:r w:rsidR="00162F64">
        <w:rPr>
          <w:bCs/>
          <w:sz w:val="22"/>
          <w:lang w:val="sr-Cyrl-RS" w:eastAsia="en-US"/>
        </w:rPr>
        <w:t xml:space="preserve">се </w:t>
      </w:r>
      <w:r w:rsidR="00227E16" w:rsidRPr="001D2934">
        <w:rPr>
          <w:bCs/>
          <w:sz w:val="22"/>
          <w:lang w:val="sr-Cyrl-RS" w:eastAsia="en-US"/>
        </w:rPr>
        <w:t xml:space="preserve">да је </w:t>
      </w:r>
      <w:proofErr w:type="spellStart"/>
      <w:r w:rsidR="00227E16" w:rsidRPr="001D2934">
        <w:rPr>
          <w:bCs/>
          <w:sz w:val="22"/>
          <w:lang w:val="sr-Cyrl-RS" w:eastAsia="en-US"/>
        </w:rPr>
        <w:t>недостатк</w:t>
      </w:r>
      <w:proofErr w:type="spellEnd"/>
      <w:r w:rsidR="00227E16" w:rsidRPr="001D2934">
        <w:rPr>
          <w:bCs/>
          <w:sz w:val="22"/>
          <w:lang w:val="sr-Cyrl-RS" w:eastAsia="en-US"/>
        </w:rPr>
        <w:t xml:space="preserve"> адекватних финансијских средстава највећи изазов</w:t>
      </w:r>
      <w:r w:rsidR="0037259C">
        <w:rPr>
          <w:bCs/>
          <w:sz w:val="22"/>
          <w:lang w:val="sr-Cyrl-RS" w:eastAsia="en-US"/>
        </w:rPr>
        <w:t xml:space="preserve"> на врхунцу кризе</w:t>
      </w:r>
      <w:r w:rsidR="00162F64">
        <w:rPr>
          <w:bCs/>
          <w:sz w:val="22"/>
          <w:lang w:val="sr-Cyrl-RS" w:eastAsia="en-US"/>
        </w:rPr>
        <w:t>.</w:t>
      </w:r>
      <w:r w:rsidR="00227E16" w:rsidRPr="001D2934">
        <w:rPr>
          <w:bCs/>
          <w:sz w:val="22"/>
          <w:lang w:val="sr-Cyrl-RS" w:eastAsia="en-US"/>
        </w:rPr>
        <w:t xml:space="preserve"> </w:t>
      </w:r>
      <w:r w:rsidR="00162F64">
        <w:rPr>
          <w:bCs/>
          <w:sz w:val="22"/>
          <w:lang w:val="sr-Cyrl-RS" w:eastAsia="en-US"/>
        </w:rPr>
        <w:t>З</w:t>
      </w:r>
      <w:r w:rsidR="00227E16" w:rsidRPr="001D2934">
        <w:rPr>
          <w:bCs/>
          <w:sz w:val="22"/>
          <w:lang w:val="sr-Cyrl-RS" w:eastAsia="en-US"/>
        </w:rPr>
        <w:t xml:space="preserve">атим </w:t>
      </w:r>
      <w:proofErr w:type="spellStart"/>
      <w:r w:rsidR="00227E16" w:rsidRPr="001D2934">
        <w:rPr>
          <w:bCs/>
          <w:sz w:val="22"/>
          <w:lang w:val="sr-Cyrl-RS" w:eastAsia="en-US"/>
        </w:rPr>
        <w:t>слиједи</w:t>
      </w:r>
      <w:proofErr w:type="spellEnd"/>
      <w:r w:rsidR="00227E16" w:rsidRPr="001D2934">
        <w:rPr>
          <w:bCs/>
          <w:sz w:val="22"/>
          <w:lang w:val="sr-Cyrl-RS" w:eastAsia="en-US"/>
        </w:rPr>
        <w:t xml:space="preserve"> нед</w:t>
      </w:r>
      <w:r w:rsidR="00277375" w:rsidRPr="001D2934">
        <w:rPr>
          <w:bCs/>
          <w:sz w:val="22"/>
          <w:lang w:val="sr-Cyrl-RS" w:eastAsia="en-US"/>
        </w:rPr>
        <w:t>остатак регулаторних капацитета</w:t>
      </w:r>
      <w:r w:rsidR="00227E16" w:rsidRPr="001D2934">
        <w:rPr>
          <w:bCs/>
          <w:sz w:val="22"/>
          <w:lang w:val="sr-Cyrl-RS" w:eastAsia="en-US"/>
        </w:rPr>
        <w:t xml:space="preserve"> и </w:t>
      </w:r>
      <w:proofErr w:type="spellStart"/>
      <w:r w:rsidR="00227E16" w:rsidRPr="001D2934">
        <w:rPr>
          <w:bCs/>
          <w:sz w:val="22"/>
          <w:lang w:val="sr-Cyrl-RS" w:eastAsia="en-US"/>
        </w:rPr>
        <w:t>неодстатак</w:t>
      </w:r>
      <w:proofErr w:type="spellEnd"/>
      <w:r w:rsidR="00227E16" w:rsidRPr="001D2934">
        <w:rPr>
          <w:bCs/>
          <w:sz w:val="22"/>
          <w:lang w:val="sr-Cyrl-RS" w:eastAsia="en-US"/>
        </w:rPr>
        <w:t xml:space="preserve"> људских и техничких ресурса.</w:t>
      </w:r>
      <w:r w:rsidR="007D66F1">
        <w:rPr>
          <w:bCs/>
          <w:sz w:val="22"/>
          <w:lang w:val="sr-Cyrl-RS" w:eastAsia="en-US"/>
        </w:rPr>
        <w:t xml:space="preserve"> Поред претходног, као значајни изазови који ће бити пред ЈЛС у ЈИЕ су: недостатак техничких средстава и </w:t>
      </w:r>
      <w:r w:rsidR="007D66F1">
        <w:rPr>
          <w:bCs/>
          <w:sz w:val="22"/>
          <w:lang w:val="sr-Cyrl-RS" w:eastAsia="en-US"/>
        </w:rPr>
        <w:lastRenderedPageBreak/>
        <w:t xml:space="preserve">опреме, пружање основних услуга и система за </w:t>
      </w:r>
      <w:proofErr w:type="spellStart"/>
      <w:r w:rsidR="007D66F1">
        <w:rPr>
          <w:bCs/>
          <w:sz w:val="22"/>
          <w:lang w:val="sr-Cyrl-RS" w:eastAsia="en-US"/>
        </w:rPr>
        <w:t>снабдејвање</w:t>
      </w:r>
      <w:proofErr w:type="spellEnd"/>
      <w:r w:rsidR="0037259C">
        <w:rPr>
          <w:bCs/>
          <w:sz w:val="22"/>
          <w:lang w:val="sr-Cyrl-RS" w:eastAsia="en-US"/>
        </w:rPr>
        <w:t xml:space="preserve">, као и недостатак сарадње са другим нивоима власти или другим </w:t>
      </w:r>
      <w:proofErr w:type="spellStart"/>
      <w:r w:rsidR="0037259C">
        <w:rPr>
          <w:bCs/>
          <w:sz w:val="22"/>
          <w:lang w:val="sr-Cyrl-RS" w:eastAsia="en-US"/>
        </w:rPr>
        <w:t>субнационалним</w:t>
      </w:r>
      <w:proofErr w:type="spellEnd"/>
      <w:r w:rsidR="0037259C">
        <w:rPr>
          <w:bCs/>
          <w:sz w:val="22"/>
          <w:lang w:val="sr-Cyrl-RS" w:eastAsia="en-US"/>
        </w:rPr>
        <w:t xml:space="preserve"> ентитетима.</w:t>
      </w:r>
    </w:p>
    <w:p w14:paraId="4C603DFB" w14:textId="3ECCDCE7" w:rsidR="009B580C" w:rsidRDefault="009B580C" w:rsidP="00D52E89">
      <w:pPr>
        <w:spacing w:line="276" w:lineRule="auto"/>
        <w:jc w:val="both"/>
        <w:rPr>
          <w:b/>
          <w:bCs/>
          <w:sz w:val="22"/>
          <w:lang w:val="sr-Cyrl-BA" w:eastAsia="en-US"/>
        </w:rPr>
      </w:pPr>
    </w:p>
    <w:p w14:paraId="2CE21E29" w14:textId="2C80D812" w:rsidR="00CB328B" w:rsidRDefault="009B580C" w:rsidP="00143E04">
      <w:pPr>
        <w:spacing w:line="276" w:lineRule="auto"/>
        <w:ind w:firstLine="709"/>
        <w:jc w:val="both"/>
        <w:rPr>
          <w:b/>
          <w:bCs/>
          <w:sz w:val="22"/>
          <w:lang w:val="sr-Cyrl-BA" w:eastAsia="en-US"/>
        </w:rPr>
      </w:pPr>
      <w:r>
        <w:rPr>
          <w:b/>
          <w:bCs/>
          <w:sz w:val="22"/>
          <w:lang w:val="sr-Cyrl-BA" w:eastAsia="en-US"/>
        </w:rPr>
        <w:t>-У</w:t>
      </w:r>
      <w:r w:rsidRPr="00674EF1">
        <w:rPr>
          <w:b/>
          <w:bCs/>
          <w:sz w:val="22"/>
          <w:lang w:val="sr-Cyrl-BA" w:eastAsia="en-US"/>
        </w:rPr>
        <w:t xml:space="preserve">тицај </w:t>
      </w:r>
      <w:r w:rsidR="00BD6C85">
        <w:rPr>
          <w:b/>
          <w:bCs/>
          <w:sz w:val="22"/>
          <w:lang w:val="sr-Cyrl-BA" w:eastAsia="en-US"/>
        </w:rPr>
        <w:t xml:space="preserve">кризе </w:t>
      </w:r>
      <w:r w:rsidR="00674EF1" w:rsidRPr="00674EF1">
        <w:rPr>
          <w:b/>
          <w:bCs/>
          <w:sz w:val="22"/>
          <w:lang w:val="sr-Cyrl-BA" w:eastAsia="en-US"/>
        </w:rPr>
        <w:t>на буџете лока</w:t>
      </w:r>
      <w:r w:rsidR="001915E5">
        <w:rPr>
          <w:b/>
          <w:bCs/>
          <w:sz w:val="22"/>
          <w:lang w:val="sr-Cyrl-BA" w:eastAsia="en-US"/>
        </w:rPr>
        <w:t>л</w:t>
      </w:r>
      <w:r w:rsidR="00674EF1" w:rsidRPr="00674EF1">
        <w:rPr>
          <w:b/>
          <w:bCs/>
          <w:sz w:val="22"/>
          <w:lang w:val="sr-Cyrl-BA" w:eastAsia="en-US"/>
        </w:rPr>
        <w:t>них самоуправа за период март – јуни 2020. године у односу на исти период 2019. годин</w:t>
      </w:r>
      <w:r w:rsidR="00CB328B">
        <w:rPr>
          <w:b/>
          <w:bCs/>
          <w:sz w:val="22"/>
          <w:lang w:val="sr-Cyrl-BA" w:eastAsia="en-US"/>
        </w:rPr>
        <w:t>и</w:t>
      </w:r>
      <w:r w:rsidR="00BD6C85">
        <w:rPr>
          <w:b/>
          <w:bCs/>
          <w:sz w:val="22"/>
          <w:lang w:val="sr-Cyrl-BA" w:eastAsia="en-US"/>
        </w:rPr>
        <w:t xml:space="preserve"> огледа се, првенствено, у паду </w:t>
      </w:r>
      <w:r w:rsidR="0027545E">
        <w:rPr>
          <w:b/>
          <w:bCs/>
          <w:sz w:val="22"/>
          <w:lang w:val="sr-Cyrl-BA" w:eastAsia="en-US"/>
        </w:rPr>
        <w:t>прихода и капиталних издатака</w:t>
      </w:r>
      <w:r w:rsidR="00C24CAF">
        <w:rPr>
          <w:rStyle w:val="FootnoteReference"/>
          <w:b/>
          <w:bCs/>
          <w:sz w:val="22"/>
          <w:lang w:val="sr-Cyrl-BA" w:eastAsia="en-US"/>
        </w:rPr>
        <w:footnoteReference w:id="13"/>
      </w:r>
      <w:r w:rsidR="00143E04">
        <w:rPr>
          <w:b/>
          <w:bCs/>
          <w:sz w:val="22"/>
          <w:lang w:val="sr-Cyrl-BA" w:eastAsia="en-US"/>
        </w:rPr>
        <w:t>.</w:t>
      </w:r>
    </w:p>
    <w:p w14:paraId="527FC125" w14:textId="32541D0A" w:rsidR="005B53AA" w:rsidRDefault="00BD6C85" w:rsidP="005B53AA">
      <w:pPr>
        <w:spacing w:line="276" w:lineRule="auto"/>
        <w:ind w:firstLine="709"/>
        <w:jc w:val="both"/>
        <w:rPr>
          <w:bCs/>
          <w:sz w:val="22"/>
          <w:lang w:val="sr-Cyrl-RS" w:eastAsia="en-US"/>
        </w:rPr>
      </w:pPr>
      <w:proofErr w:type="spellStart"/>
      <w:r>
        <w:rPr>
          <w:bCs/>
          <w:sz w:val="22"/>
          <w:lang w:val="sr-Cyrl-RS" w:eastAsia="en-US"/>
        </w:rPr>
        <w:t>Извјештај</w:t>
      </w:r>
      <w:proofErr w:type="spellEnd"/>
      <w:r>
        <w:rPr>
          <w:bCs/>
          <w:sz w:val="22"/>
          <w:lang w:val="sr-Cyrl-RS" w:eastAsia="en-US"/>
        </w:rPr>
        <w:t xml:space="preserve"> </w:t>
      </w:r>
      <w:r w:rsidR="005B53AA" w:rsidRPr="00CB328B">
        <w:rPr>
          <w:bCs/>
          <w:sz w:val="22"/>
          <w:lang w:val="en-US" w:eastAsia="en-US"/>
        </w:rPr>
        <w:t>NALAS-</w:t>
      </w:r>
      <w:r>
        <w:rPr>
          <w:bCs/>
          <w:sz w:val="22"/>
          <w:lang w:val="sr-Cyrl-RS" w:eastAsia="en-US"/>
        </w:rPr>
        <w:t xml:space="preserve">а </w:t>
      </w:r>
      <w:r w:rsidR="005B53AA" w:rsidRPr="00CB328B">
        <w:rPr>
          <w:bCs/>
          <w:sz w:val="22"/>
          <w:lang w:val="sr-Cyrl-RS" w:eastAsia="en-US"/>
        </w:rPr>
        <w:t xml:space="preserve">показује да чак 81% </w:t>
      </w:r>
      <w:r w:rsidR="0027545E">
        <w:rPr>
          <w:bCs/>
          <w:sz w:val="22"/>
          <w:lang w:val="sr-Cyrl-RS" w:eastAsia="en-US"/>
        </w:rPr>
        <w:t xml:space="preserve">ЈЛС у ЈИЕ </w:t>
      </w:r>
      <w:proofErr w:type="spellStart"/>
      <w:r w:rsidR="00A97B4A">
        <w:rPr>
          <w:bCs/>
          <w:sz w:val="22"/>
          <w:lang w:val="sr-Cyrl-RS" w:eastAsia="en-US"/>
        </w:rPr>
        <w:t>процјењује</w:t>
      </w:r>
      <w:proofErr w:type="spellEnd"/>
      <w:r w:rsidR="005B53AA" w:rsidRPr="00CB328B">
        <w:rPr>
          <w:bCs/>
          <w:sz w:val="22"/>
          <w:lang w:val="sr-Cyrl-RS" w:eastAsia="en-US"/>
        </w:rPr>
        <w:t xml:space="preserve"> </w:t>
      </w:r>
      <w:proofErr w:type="spellStart"/>
      <w:r w:rsidR="005B53AA" w:rsidRPr="00CB328B">
        <w:rPr>
          <w:bCs/>
          <w:sz w:val="22"/>
          <w:lang w:val="sr-Cyrl-RS" w:eastAsia="en-US"/>
        </w:rPr>
        <w:t>умјерени</w:t>
      </w:r>
      <w:proofErr w:type="spellEnd"/>
      <w:r w:rsidR="005B53AA" w:rsidRPr="00CB328B">
        <w:rPr>
          <w:bCs/>
          <w:sz w:val="22"/>
          <w:lang w:val="sr-Cyrl-RS" w:eastAsia="en-US"/>
        </w:rPr>
        <w:t xml:space="preserve"> пад сопст</w:t>
      </w:r>
      <w:r w:rsidR="00A97B4A">
        <w:rPr>
          <w:bCs/>
          <w:sz w:val="22"/>
          <w:lang w:val="sr-Cyrl-RS" w:eastAsia="en-US"/>
        </w:rPr>
        <w:t>в</w:t>
      </w:r>
      <w:r w:rsidR="006A2D8D">
        <w:rPr>
          <w:bCs/>
          <w:sz w:val="22"/>
          <w:lang w:val="sr-Cyrl-RS" w:eastAsia="en-US"/>
        </w:rPr>
        <w:t>е</w:t>
      </w:r>
      <w:r w:rsidR="00A97B4A">
        <w:rPr>
          <w:bCs/>
          <w:sz w:val="22"/>
          <w:lang w:val="sr-Cyrl-RS" w:eastAsia="en-US"/>
        </w:rPr>
        <w:t>них прихода</w:t>
      </w:r>
      <w:r w:rsidR="006A2D8D">
        <w:rPr>
          <w:bCs/>
          <w:sz w:val="22"/>
          <w:lang w:val="sr-Cyrl-RS" w:eastAsia="en-US"/>
        </w:rPr>
        <w:t xml:space="preserve"> (између 10% и 20%)</w:t>
      </w:r>
      <w:r w:rsidR="00A97B4A">
        <w:rPr>
          <w:bCs/>
          <w:sz w:val="22"/>
          <w:lang w:val="sr-Cyrl-RS" w:eastAsia="en-US"/>
        </w:rPr>
        <w:t>, а чак 65% предвиђа</w:t>
      </w:r>
      <w:r w:rsidR="005B53AA" w:rsidRPr="00CB328B">
        <w:rPr>
          <w:bCs/>
          <w:sz w:val="22"/>
          <w:lang w:val="sr-Cyrl-RS" w:eastAsia="en-US"/>
        </w:rPr>
        <w:t xml:space="preserve"> пад трансфера током кризе. Као резултат свега тога, </w:t>
      </w:r>
      <w:r w:rsidR="00043D4B" w:rsidRPr="00CB328B">
        <w:rPr>
          <w:bCs/>
          <w:sz w:val="22"/>
          <w:lang w:val="sr-Cyrl-RS" w:eastAsia="en-US"/>
        </w:rPr>
        <w:t xml:space="preserve">више од 1/3 </w:t>
      </w:r>
      <w:proofErr w:type="spellStart"/>
      <w:r w:rsidR="00043D4B" w:rsidRPr="00CB328B">
        <w:rPr>
          <w:bCs/>
          <w:sz w:val="22"/>
          <w:lang w:val="sr-Cyrl-RS" w:eastAsia="en-US"/>
        </w:rPr>
        <w:t>локланих</w:t>
      </w:r>
      <w:proofErr w:type="spellEnd"/>
      <w:r w:rsidR="00043D4B" w:rsidRPr="00CB328B">
        <w:rPr>
          <w:bCs/>
          <w:sz w:val="22"/>
          <w:lang w:val="sr-Cyrl-RS" w:eastAsia="en-US"/>
        </w:rPr>
        <w:t xml:space="preserve"> самоуправа очекује велики пад капиталне потрошње</w:t>
      </w:r>
      <w:r w:rsidR="006A2D8D">
        <w:rPr>
          <w:bCs/>
          <w:sz w:val="22"/>
          <w:lang w:val="sr-Cyrl-RS" w:eastAsia="en-US"/>
        </w:rPr>
        <w:t xml:space="preserve"> (пад већи од 20%)</w:t>
      </w:r>
      <w:r w:rsidR="00043D4B" w:rsidRPr="00CB328B">
        <w:rPr>
          <w:bCs/>
          <w:sz w:val="22"/>
          <w:lang w:val="sr-Cyrl-RS" w:eastAsia="en-US"/>
        </w:rPr>
        <w:t>.</w:t>
      </w:r>
      <w:r w:rsidR="00A25E14" w:rsidRPr="00CB328B">
        <w:rPr>
          <w:bCs/>
          <w:sz w:val="22"/>
          <w:lang w:val="sr-Cyrl-RS" w:eastAsia="en-US"/>
        </w:rPr>
        <w:t xml:space="preserve"> Већина ЈЛС из </w:t>
      </w:r>
      <w:r w:rsidR="009B580C">
        <w:rPr>
          <w:bCs/>
          <w:sz w:val="22"/>
          <w:lang w:val="sr-Cyrl-RS" w:eastAsia="en-US"/>
        </w:rPr>
        <w:t>ЈИЕ</w:t>
      </w:r>
      <w:r w:rsidR="0027545E">
        <w:rPr>
          <w:bCs/>
          <w:sz w:val="22"/>
          <w:lang w:val="sr-Cyrl-RS" w:eastAsia="en-US"/>
        </w:rPr>
        <w:t xml:space="preserve"> </w:t>
      </w:r>
      <w:proofErr w:type="spellStart"/>
      <w:r w:rsidR="00A25E14" w:rsidRPr="00CB328B">
        <w:rPr>
          <w:bCs/>
          <w:sz w:val="22"/>
          <w:lang w:val="sr-Cyrl-RS" w:eastAsia="en-US"/>
        </w:rPr>
        <w:t>оцјењује</w:t>
      </w:r>
      <w:proofErr w:type="spellEnd"/>
      <w:r w:rsidR="00A25E14" w:rsidRPr="00CB328B">
        <w:rPr>
          <w:bCs/>
          <w:sz w:val="22"/>
          <w:lang w:val="sr-Cyrl-RS" w:eastAsia="en-US"/>
        </w:rPr>
        <w:t xml:space="preserve"> као в</w:t>
      </w:r>
      <w:r w:rsidR="00404F1C">
        <w:rPr>
          <w:bCs/>
          <w:sz w:val="22"/>
          <w:lang w:val="sr-Cyrl-RS" w:eastAsia="en-US"/>
        </w:rPr>
        <w:t>еома песимистичан период 2020. -</w:t>
      </w:r>
      <w:r w:rsidR="00A25E14" w:rsidRPr="00CB328B">
        <w:rPr>
          <w:bCs/>
          <w:sz w:val="22"/>
          <w:lang w:val="sr-Cyrl-RS" w:eastAsia="en-US"/>
        </w:rPr>
        <w:t xml:space="preserve"> 2022. година. Кумулати</w:t>
      </w:r>
      <w:r w:rsidR="00DB0E10" w:rsidRPr="00CB328B">
        <w:rPr>
          <w:bCs/>
          <w:sz w:val="22"/>
          <w:lang w:val="sr-Cyrl-RS" w:eastAsia="en-US"/>
        </w:rPr>
        <w:t>вн</w:t>
      </w:r>
      <w:r w:rsidR="00A25E14" w:rsidRPr="00CB328B">
        <w:rPr>
          <w:bCs/>
          <w:sz w:val="22"/>
          <w:lang w:val="sr-Cyrl-RS" w:eastAsia="en-US"/>
        </w:rPr>
        <w:t>о посматр</w:t>
      </w:r>
      <w:r w:rsidR="00DB0E10" w:rsidRPr="00CB328B">
        <w:rPr>
          <w:bCs/>
          <w:sz w:val="22"/>
          <w:lang w:val="sr-Cyrl-RS" w:eastAsia="en-US"/>
        </w:rPr>
        <w:t>а</w:t>
      </w:r>
      <w:r w:rsidR="00A25E14" w:rsidRPr="00CB328B">
        <w:rPr>
          <w:bCs/>
          <w:sz w:val="22"/>
          <w:lang w:val="sr-Cyrl-RS" w:eastAsia="en-US"/>
        </w:rPr>
        <w:t>н</w:t>
      </w:r>
      <w:r w:rsidR="00DB0E10" w:rsidRPr="00CB328B">
        <w:rPr>
          <w:bCs/>
          <w:sz w:val="22"/>
          <w:lang w:val="sr-Cyrl-RS" w:eastAsia="en-US"/>
        </w:rPr>
        <w:t xml:space="preserve">о, до 2022. године, ЈЛС из </w:t>
      </w:r>
      <w:r w:rsidR="009B580C">
        <w:rPr>
          <w:bCs/>
          <w:sz w:val="22"/>
          <w:lang w:val="sr-Cyrl-RS" w:eastAsia="en-US"/>
        </w:rPr>
        <w:t>ЈИЕ</w:t>
      </w:r>
      <w:r>
        <w:rPr>
          <w:bCs/>
          <w:sz w:val="22"/>
          <w:lang w:val="sr-Cyrl-RS" w:eastAsia="en-US"/>
        </w:rPr>
        <w:t xml:space="preserve"> </w:t>
      </w:r>
      <w:r w:rsidR="00A25E14" w:rsidRPr="00CB328B">
        <w:rPr>
          <w:bCs/>
          <w:sz w:val="22"/>
          <w:lang w:val="sr-Cyrl-RS" w:eastAsia="en-US"/>
        </w:rPr>
        <w:t xml:space="preserve">и западног Балкана, очекују пад прихода од око 30% у односу на 2019. годину, </w:t>
      </w:r>
      <w:r w:rsidR="00DB0E10" w:rsidRPr="00CB328B">
        <w:rPr>
          <w:bCs/>
          <w:sz w:val="22"/>
          <w:lang w:val="sr-Cyrl-RS" w:eastAsia="en-US"/>
        </w:rPr>
        <w:t>што ће</w:t>
      </w:r>
      <w:r w:rsidR="00404F1C">
        <w:rPr>
          <w:bCs/>
          <w:sz w:val="22"/>
          <w:lang w:val="sr-Cyrl-RS" w:eastAsia="en-US"/>
        </w:rPr>
        <w:t xml:space="preserve"> значајно угрозити њихову спосо</w:t>
      </w:r>
      <w:r w:rsidR="00DB0E10" w:rsidRPr="00CB328B">
        <w:rPr>
          <w:bCs/>
          <w:sz w:val="22"/>
          <w:lang w:val="sr-Cyrl-RS" w:eastAsia="en-US"/>
        </w:rPr>
        <w:t xml:space="preserve">бност </w:t>
      </w:r>
      <w:r w:rsidR="00A25E14" w:rsidRPr="00CB328B">
        <w:rPr>
          <w:bCs/>
          <w:sz w:val="22"/>
          <w:lang w:val="sr-Cyrl-RS" w:eastAsia="en-US"/>
        </w:rPr>
        <w:t xml:space="preserve">да пружају услуге и </w:t>
      </w:r>
      <w:proofErr w:type="spellStart"/>
      <w:r w:rsidR="00A25E14" w:rsidRPr="00CB328B">
        <w:rPr>
          <w:bCs/>
          <w:sz w:val="22"/>
          <w:lang w:val="sr-Cyrl-RS" w:eastAsia="en-US"/>
        </w:rPr>
        <w:t>унаприједе</w:t>
      </w:r>
      <w:proofErr w:type="spellEnd"/>
      <w:r w:rsidR="00A25E14" w:rsidRPr="00CB328B">
        <w:rPr>
          <w:bCs/>
          <w:sz w:val="22"/>
          <w:lang w:val="sr-Cyrl-RS" w:eastAsia="en-US"/>
        </w:rPr>
        <w:t xml:space="preserve"> инфраструктуру у својим заједницама.</w:t>
      </w:r>
      <w:r>
        <w:rPr>
          <w:bCs/>
          <w:sz w:val="22"/>
          <w:lang w:val="sr-Cyrl-RS" w:eastAsia="en-US"/>
        </w:rPr>
        <w:t xml:space="preserve"> </w:t>
      </w:r>
      <w:r w:rsidR="006A2D8D">
        <w:rPr>
          <w:bCs/>
          <w:sz w:val="22"/>
          <w:lang w:val="sr-Cyrl-RS" w:eastAsia="en-US"/>
        </w:rPr>
        <w:t>С друге стране, 60% анкетираних ЈЛС из РС се изјаснило да очекује велики пад сопствених прихода (већи од 20%).</w:t>
      </w:r>
    </w:p>
    <w:p w14:paraId="7AA61BB7" w14:textId="63E3339C" w:rsidR="001A2A58" w:rsidRDefault="001A2A58" w:rsidP="00143E04">
      <w:pPr>
        <w:spacing w:line="276" w:lineRule="auto"/>
        <w:jc w:val="both"/>
        <w:rPr>
          <w:b/>
          <w:bCs/>
          <w:sz w:val="22"/>
          <w:lang w:val="sr-Cyrl-BA" w:eastAsia="en-US"/>
        </w:rPr>
      </w:pPr>
    </w:p>
    <w:p w14:paraId="17CDBD59" w14:textId="28262275" w:rsidR="00CB328B" w:rsidRPr="004D7001" w:rsidRDefault="00EB57B7" w:rsidP="00143E04">
      <w:pPr>
        <w:spacing w:line="276" w:lineRule="auto"/>
        <w:ind w:firstLine="709"/>
        <w:jc w:val="both"/>
        <w:rPr>
          <w:b/>
          <w:bCs/>
          <w:sz w:val="22"/>
          <w:lang w:val="sr-Cyrl-BA" w:eastAsia="en-US"/>
        </w:rPr>
      </w:pPr>
      <w:r>
        <w:rPr>
          <w:b/>
          <w:bCs/>
          <w:sz w:val="22"/>
          <w:lang w:val="sr-Cyrl-BA" w:eastAsia="en-US"/>
        </w:rPr>
        <w:t xml:space="preserve">-Задуживање </w:t>
      </w:r>
      <w:r w:rsidR="004D7001" w:rsidRPr="004D7001">
        <w:rPr>
          <w:b/>
          <w:bCs/>
          <w:sz w:val="22"/>
          <w:lang w:val="sr-Cyrl-BA" w:eastAsia="en-US"/>
        </w:rPr>
        <w:t>локалн</w:t>
      </w:r>
      <w:r>
        <w:rPr>
          <w:b/>
          <w:bCs/>
          <w:sz w:val="22"/>
          <w:lang w:val="sr-Cyrl-BA" w:eastAsia="en-US"/>
        </w:rPr>
        <w:t>их</w:t>
      </w:r>
      <w:r w:rsidR="004D7001" w:rsidRPr="004D7001">
        <w:rPr>
          <w:b/>
          <w:bCs/>
          <w:sz w:val="22"/>
          <w:lang w:val="sr-Cyrl-BA" w:eastAsia="en-US"/>
        </w:rPr>
        <w:t xml:space="preserve"> самоуправа као одговор на </w:t>
      </w:r>
      <w:proofErr w:type="spellStart"/>
      <w:r w:rsidR="004D7001" w:rsidRPr="004D7001">
        <w:rPr>
          <w:b/>
          <w:bCs/>
          <w:sz w:val="22"/>
          <w:lang w:val="sr-Cyrl-BA" w:eastAsia="en-US"/>
        </w:rPr>
        <w:t>соци</w:t>
      </w:r>
      <w:r w:rsidR="00C24CAF">
        <w:rPr>
          <w:b/>
          <w:bCs/>
          <w:sz w:val="22"/>
          <w:lang w:val="sr-Cyrl-BA" w:eastAsia="en-US"/>
        </w:rPr>
        <w:t>о</w:t>
      </w:r>
      <w:proofErr w:type="spellEnd"/>
      <w:r w:rsidR="00C24CAF">
        <w:rPr>
          <w:b/>
          <w:bCs/>
          <w:sz w:val="22"/>
          <w:lang w:val="sr-Cyrl-BA" w:eastAsia="en-US"/>
        </w:rPr>
        <w:t>-економску кризу</w:t>
      </w:r>
      <w:r w:rsidR="00772044">
        <w:rPr>
          <w:b/>
          <w:bCs/>
          <w:sz w:val="22"/>
          <w:lang w:val="sr-Cyrl-BA" w:eastAsia="en-US"/>
        </w:rPr>
        <w:t xml:space="preserve"> </w:t>
      </w:r>
      <w:r w:rsidR="00772044">
        <w:rPr>
          <w:b/>
          <w:bCs/>
          <w:sz w:val="22"/>
          <w:lang w:val="en-US" w:eastAsia="en-US"/>
        </w:rPr>
        <w:t>COVID</w:t>
      </w:r>
      <w:r w:rsidR="004D7001" w:rsidRPr="004D7001">
        <w:rPr>
          <w:b/>
          <w:bCs/>
          <w:sz w:val="22"/>
          <w:lang w:val="sr-Cyrl-BA" w:eastAsia="en-US"/>
        </w:rPr>
        <w:t>-19</w:t>
      </w:r>
      <w:r w:rsidR="00C24CAF">
        <w:rPr>
          <w:rStyle w:val="FootnoteReference"/>
          <w:b/>
          <w:bCs/>
          <w:sz w:val="22"/>
          <w:lang w:val="sr-Cyrl-BA" w:eastAsia="en-US"/>
        </w:rPr>
        <w:footnoteReference w:id="14"/>
      </w:r>
      <w:r>
        <w:rPr>
          <w:b/>
          <w:bCs/>
          <w:sz w:val="22"/>
          <w:lang w:val="sr-Cyrl-BA" w:eastAsia="en-US"/>
        </w:rPr>
        <w:t>.</w:t>
      </w:r>
    </w:p>
    <w:p w14:paraId="7B0616C1" w14:textId="2EDC17E2" w:rsidR="00EB3FA9" w:rsidRPr="006A2D8D" w:rsidRDefault="00EB57B7" w:rsidP="00143E04">
      <w:pPr>
        <w:spacing w:line="276" w:lineRule="auto"/>
        <w:ind w:firstLine="709"/>
        <w:jc w:val="both"/>
        <w:rPr>
          <w:bCs/>
          <w:sz w:val="22"/>
          <w:lang w:val="sr-Cyrl-RS" w:eastAsia="en-US"/>
        </w:rPr>
      </w:pPr>
      <w:proofErr w:type="spellStart"/>
      <w:r>
        <w:rPr>
          <w:bCs/>
          <w:sz w:val="22"/>
          <w:lang w:val="sr-Cyrl-RS" w:eastAsia="en-US"/>
        </w:rPr>
        <w:t>И</w:t>
      </w:r>
      <w:r w:rsidR="00696DFD">
        <w:rPr>
          <w:bCs/>
          <w:sz w:val="22"/>
          <w:lang w:val="sr-Cyrl-RS" w:eastAsia="en-US"/>
        </w:rPr>
        <w:t>звјештај</w:t>
      </w:r>
      <w:proofErr w:type="spellEnd"/>
      <w:r w:rsidR="00696DFD">
        <w:rPr>
          <w:bCs/>
          <w:sz w:val="22"/>
          <w:lang w:val="sr-Cyrl-RS" w:eastAsia="en-US"/>
        </w:rPr>
        <w:t xml:space="preserve"> </w:t>
      </w:r>
      <w:r w:rsidR="006A2D8D">
        <w:rPr>
          <w:bCs/>
          <w:sz w:val="22"/>
          <w:lang w:val="en-US" w:eastAsia="en-US"/>
        </w:rPr>
        <w:t xml:space="preserve">NALAS-a </w:t>
      </w:r>
      <w:r w:rsidR="006A2D8D">
        <w:rPr>
          <w:bCs/>
          <w:sz w:val="22"/>
          <w:lang w:val="sr-Cyrl-RS" w:eastAsia="en-US"/>
        </w:rPr>
        <w:t>се</w:t>
      </w:r>
      <w:r w:rsidR="00696DFD">
        <w:rPr>
          <w:bCs/>
          <w:sz w:val="22"/>
          <w:lang w:val="sr-Cyrl-RS" w:eastAsia="en-US"/>
        </w:rPr>
        <w:t xml:space="preserve"> бави</w:t>
      </w:r>
      <w:r>
        <w:rPr>
          <w:bCs/>
          <w:sz w:val="22"/>
          <w:lang w:val="sr-Cyrl-RS" w:eastAsia="en-US"/>
        </w:rPr>
        <w:t>о питањем</w:t>
      </w:r>
      <w:r w:rsidR="00E70238">
        <w:rPr>
          <w:bCs/>
          <w:sz w:val="22"/>
          <w:lang w:val="sr-Cyrl-RS" w:eastAsia="en-US"/>
        </w:rPr>
        <w:t xml:space="preserve"> </w:t>
      </w:r>
      <w:proofErr w:type="spellStart"/>
      <w:r>
        <w:rPr>
          <w:bCs/>
          <w:sz w:val="22"/>
          <w:lang w:val="sr-Latn-BA" w:eastAsia="en-US"/>
        </w:rPr>
        <w:t>да</w:t>
      </w:r>
      <w:proofErr w:type="spellEnd"/>
      <w:r>
        <w:rPr>
          <w:bCs/>
          <w:sz w:val="22"/>
          <w:lang w:val="sr-Latn-BA" w:eastAsia="en-US"/>
        </w:rPr>
        <w:t xml:space="preserve"> </w:t>
      </w:r>
      <w:proofErr w:type="spellStart"/>
      <w:r>
        <w:rPr>
          <w:bCs/>
          <w:sz w:val="22"/>
          <w:lang w:val="sr-Latn-BA" w:eastAsia="en-US"/>
        </w:rPr>
        <w:t>ли</w:t>
      </w:r>
      <w:proofErr w:type="spellEnd"/>
      <w:r w:rsidR="00E70238" w:rsidRPr="00994070">
        <w:rPr>
          <w:bCs/>
          <w:sz w:val="22"/>
          <w:lang w:val="sr-Latn-BA" w:eastAsia="en-US"/>
        </w:rPr>
        <w:t xml:space="preserve"> </w:t>
      </w:r>
      <w:r>
        <w:rPr>
          <w:bCs/>
          <w:sz w:val="22"/>
          <w:lang w:val="sr-Cyrl-RS" w:eastAsia="en-US"/>
        </w:rPr>
        <w:t xml:space="preserve">су </w:t>
      </w:r>
      <w:proofErr w:type="spellStart"/>
      <w:r w:rsidR="00E70238" w:rsidRPr="00994070">
        <w:rPr>
          <w:bCs/>
          <w:sz w:val="22"/>
          <w:lang w:val="sr-Latn-BA" w:eastAsia="en-US"/>
        </w:rPr>
        <w:t>локалне</w:t>
      </w:r>
      <w:proofErr w:type="spellEnd"/>
      <w:r w:rsidR="00E70238" w:rsidRPr="00994070">
        <w:rPr>
          <w:bCs/>
          <w:sz w:val="22"/>
          <w:lang w:val="sr-Latn-BA" w:eastAsia="en-US"/>
        </w:rPr>
        <w:t xml:space="preserve"> </w:t>
      </w:r>
      <w:proofErr w:type="spellStart"/>
      <w:r w:rsidR="00E70238" w:rsidRPr="00994070">
        <w:rPr>
          <w:bCs/>
          <w:sz w:val="22"/>
          <w:lang w:val="sr-Latn-BA" w:eastAsia="en-US"/>
        </w:rPr>
        <w:t>самоуправе</w:t>
      </w:r>
      <w:proofErr w:type="spellEnd"/>
      <w:r w:rsidR="00E70238" w:rsidRPr="00994070">
        <w:rPr>
          <w:bCs/>
          <w:sz w:val="22"/>
          <w:lang w:val="sr-Latn-BA" w:eastAsia="en-US"/>
        </w:rPr>
        <w:t xml:space="preserve"> ЈИЕ </w:t>
      </w:r>
      <w:proofErr w:type="spellStart"/>
      <w:r w:rsidR="00E70238" w:rsidRPr="00994070">
        <w:rPr>
          <w:bCs/>
          <w:sz w:val="22"/>
          <w:lang w:val="sr-Latn-BA" w:eastAsia="en-US"/>
        </w:rPr>
        <w:t>користиле</w:t>
      </w:r>
      <w:proofErr w:type="spellEnd"/>
      <w:r w:rsidR="00E70238" w:rsidRPr="00994070">
        <w:rPr>
          <w:bCs/>
          <w:sz w:val="22"/>
          <w:lang w:val="sr-Latn-BA" w:eastAsia="en-US"/>
        </w:rPr>
        <w:t xml:space="preserve">, </w:t>
      </w:r>
      <w:proofErr w:type="spellStart"/>
      <w:r w:rsidR="00E70238" w:rsidRPr="00994070">
        <w:rPr>
          <w:bCs/>
          <w:sz w:val="22"/>
          <w:lang w:val="sr-Latn-BA" w:eastAsia="en-US"/>
        </w:rPr>
        <w:t>планирају</w:t>
      </w:r>
      <w:proofErr w:type="spellEnd"/>
      <w:r w:rsidR="00E70238" w:rsidRPr="00994070">
        <w:rPr>
          <w:bCs/>
          <w:sz w:val="22"/>
          <w:lang w:val="sr-Latn-BA" w:eastAsia="en-US"/>
        </w:rPr>
        <w:t xml:space="preserve"> </w:t>
      </w:r>
      <w:proofErr w:type="spellStart"/>
      <w:r w:rsidR="00E70238" w:rsidRPr="00994070">
        <w:rPr>
          <w:bCs/>
          <w:sz w:val="22"/>
          <w:lang w:val="sr-Latn-BA" w:eastAsia="en-US"/>
        </w:rPr>
        <w:t>ли</w:t>
      </w:r>
      <w:proofErr w:type="spellEnd"/>
      <w:r w:rsidR="00E70238" w:rsidRPr="00994070">
        <w:rPr>
          <w:bCs/>
          <w:sz w:val="22"/>
          <w:lang w:val="sr-Latn-BA" w:eastAsia="en-US"/>
        </w:rPr>
        <w:t xml:space="preserve"> </w:t>
      </w:r>
      <w:proofErr w:type="spellStart"/>
      <w:r w:rsidR="00E70238" w:rsidRPr="00994070">
        <w:rPr>
          <w:bCs/>
          <w:sz w:val="22"/>
          <w:lang w:val="sr-Latn-BA" w:eastAsia="en-US"/>
        </w:rPr>
        <w:t>да</w:t>
      </w:r>
      <w:proofErr w:type="spellEnd"/>
      <w:r w:rsidR="00E70238" w:rsidRPr="00994070">
        <w:rPr>
          <w:bCs/>
          <w:sz w:val="22"/>
          <w:lang w:val="sr-Latn-BA" w:eastAsia="en-US"/>
        </w:rPr>
        <w:t xml:space="preserve"> </w:t>
      </w:r>
      <w:proofErr w:type="spellStart"/>
      <w:r w:rsidR="00E70238" w:rsidRPr="00994070">
        <w:rPr>
          <w:bCs/>
          <w:sz w:val="22"/>
          <w:lang w:val="sr-Latn-BA" w:eastAsia="en-US"/>
        </w:rPr>
        <w:t>користе</w:t>
      </w:r>
      <w:proofErr w:type="spellEnd"/>
      <w:r w:rsidR="00E70238" w:rsidRPr="00994070">
        <w:rPr>
          <w:bCs/>
          <w:sz w:val="22"/>
          <w:lang w:val="sr-Latn-BA" w:eastAsia="en-US"/>
        </w:rPr>
        <w:t xml:space="preserve"> </w:t>
      </w:r>
      <w:proofErr w:type="spellStart"/>
      <w:r w:rsidR="00E70238" w:rsidRPr="00994070">
        <w:rPr>
          <w:bCs/>
          <w:sz w:val="22"/>
          <w:lang w:val="sr-Latn-BA" w:eastAsia="en-US"/>
        </w:rPr>
        <w:t>или</w:t>
      </w:r>
      <w:proofErr w:type="spellEnd"/>
      <w:r w:rsidR="00E70238">
        <w:rPr>
          <w:bCs/>
          <w:sz w:val="22"/>
          <w:lang w:val="sr-Cyrl-RS" w:eastAsia="en-US"/>
        </w:rPr>
        <w:t xml:space="preserve"> </w:t>
      </w:r>
      <w:proofErr w:type="spellStart"/>
      <w:r w:rsidR="00E70238" w:rsidRPr="00994070">
        <w:rPr>
          <w:bCs/>
          <w:sz w:val="22"/>
          <w:lang w:val="sr-Latn-BA" w:eastAsia="en-US"/>
        </w:rPr>
        <w:t>не</w:t>
      </w:r>
      <w:proofErr w:type="spellEnd"/>
      <w:r w:rsidR="00185802">
        <w:rPr>
          <w:bCs/>
          <w:sz w:val="22"/>
          <w:lang w:val="sr-Cyrl-RS" w:eastAsia="en-US"/>
        </w:rPr>
        <w:t>,</w:t>
      </w:r>
      <w:r w:rsidR="00E70238" w:rsidRPr="00994070">
        <w:rPr>
          <w:bCs/>
          <w:sz w:val="22"/>
          <w:lang w:val="sr-Latn-BA" w:eastAsia="en-US"/>
        </w:rPr>
        <w:t xml:space="preserve"> </w:t>
      </w:r>
      <w:r w:rsidR="006A2D8D">
        <w:rPr>
          <w:bCs/>
          <w:sz w:val="22"/>
          <w:lang w:val="sr-Cyrl-RS" w:eastAsia="en-US"/>
        </w:rPr>
        <w:t>екстерно</w:t>
      </w:r>
      <w:r w:rsidR="00E70238" w:rsidRPr="00994070">
        <w:rPr>
          <w:bCs/>
          <w:sz w:val="22"/>
          <w:lang w:val="sr-Latn-BA" w:eastAsia="en-US"/>
        </w:rPr>
        <w:t xml:space="preserve"> </w:t>
      </w:r>
      <w:proofErr w:type="spellStart"/>
      <w:r w:rsidR="00E70238" w:rsidRPr="00994070">
        <w:rPr>
          <w:bCs/>
          <w:sz w:val="22"/>
          <w:lang w:val="sr-Latn-BA" w:eastAsia="en-US"/>
        </w:rPr>
        <w:t>задуживањ</w:t>
      </w:r>
      <w:r w:rsidR="006A2D8D">
        <w:rPr>
          <w:bCs/>
          <w:sz w:val="22"/>
          <w:lang w:val="sr-Latn-BA" w:eastAsia="en-US"/>
        </w:rPr>
        <w:t>е</w:t>
      </w:r>
      <w:proofErr w:type="spellEnd"/>
      <w:r w:rsidR="006A2D8D">
        <w:rPr>
          <w:bCs/>
          <w:sz w:val="22"/>
          <w:lang w:val="sr-Latn-BA" w:eastAsia="en-US"/>
        </w:rPr>
        <w:t xml:space="preserve"> </w:t>
      </w:r>
      <w:proofErr w:type="spellStart"/>
      <w:r w:rsidR="006A2D8D">
        <w:rPr>
          <w:bCs/>
          <w:sz w:val="22"/>
          <w:lang w:val="sr-Latn-BA" w:eastAsia="en-US"/>
        </w:rPr>
        <w:t>као</w:t>
      </w:r>
      <w:proofErr w:type="spellEnd"/>
      <w:r w:rsidR="006A2D8D">
        <w:rPr>
          <w:bCs/>
          <w:sz w:val="22"/>
          <w:lang w:val="sr-Latn-BA" w:eastAsia="en-US"/>
        </w:rPr>
        <w:t xml:space="preserve"> </w:t>
      </w:r>
      <w:proofErr w:type="spellStart"/>
      <w:r w:rsidR="006A2D8D">
        <w:rPr>
          <w:bCs/>
          <w:sz w:val="22"/>
          <w:lang w:val="sr-Latn-BA" w:eastAsia="en-US"/>
        </w:rPr>
        <w:t>инструмент</w:t>
      </w:r>
      <w:proofErr w:type="spellEnd"/>
      <w:r w:rsidR="006A2D8D">
        <w:rPr>
          <w:bCs/>
          <w:sz w:val="22"/>
          <w:lang w:val="sr-Latn-BA" w:eastAsia="en-US"/>
        </w:rPr>
        <w:t xml:space="preserve"> </w:t>
      </w:r>
      <w:proofErr w:type="spellStart"/>
      <w:r w:rsidR="006A2D8D">
        <w:rPr>
          <w:bCs/>
          <w:sz w:val="22"/>
          <w:lang w:val="sr-Latn-BA" w:eastAsia="en-US"/>
        </w:rPr>
        <w:t>финансирања</w:t>
      </w:r>
      <w:proofErr w:type="spellEnd"/>
      <w:r w:rsidR="006A2D8D">
        <w:rPr>
          <w:bCs/>
          <w:sz w:val="22"/>
          <w:lang w:val="sr-Latn-BA" w:eastAsia="en-US"/>
        </w:rPr>
        <w:t xml:space="preserve"> </w:t>
      </w:r>
      <w:r w:rsidR="006A2D8D">
        <w:rPr>
          <w:bCs/>
          <w:sz w:val="22"/>
          <w:lang w:val="sr-Cyrl-RS" w:eastAsia="en-US"/>
        </w:rPr>
        <w:t xml:space="preserve">у </w:t>
      </w:r>
      <w:proofErr w:type="spellStart"/>
      <w:r w:rsidR="006A2D8D">
        <w:rPr>
          <w:bCs/>
          <w:sz w:val="22"/>
          <w:lang w:val="sr-Cyrl-RS" w:eastAsia="en-US"/>
        </w:rPr>
        <w:t>вријеме</w:t>
      </w:r>
      <w:proofErr w:type="spellEnd"/>
      <w:r w:rsidR="00E70238" w:rsidRPr="00994070">
        <w:rPr>
          <w:bCs/>
          <w:sz w:val="22"/>
          <w:lang w:val="sr-Latn-BA" w:eastAsia="en-US"/>
        </w:rPr>
        <w:t xml:space="preserve"> </w:t>
      </w:r>
      <w:proofErr w:type="spellStart"/>
      <w:r w:rsidR="006A2D8D">
        <w:rPr>
          <w:bCs/>
          <w:sz w:val="22"/>
          <w:lang w:val="sr-Latn-BA" w:eastAsia="en-US"/>
        </w:rPr>
        <w:t>кризе</w:t>
      </w:r>
      <w:proofErr w:type="spellEnd"/>
      <w:r w:rsidR="00E70238" w:rsidRPr="00994070">
        <w:rPr>
          <w:bCs/>
          <w:sz w:val="22"/>
          <w:lang w:val="sr-Latn-BA" w:eastAsia="en-US"/>
        </w:rPr>
        <w:t>.</w:t>
      </w:r>
      <w:r w:rsidR="00E70238">
        <w:rPr>
          <w:bCs/>
          <w:sz w:val="22"/>
          <w:lang w:val="sr-Cyrl-RS" w:eastAsia="en-US"/>
        </w:rPr>
        <w:t xml:space="preserve"> </w:t>
      </w:r>
      <w:r w:rsidR="00994070">
        <w:rPr>
          <w:bCs/>
          <w:sz w:val="22"/>
          <w:lang w:val="sr-Cyrl-RS" w:eastAsia="en-US"/>
        </w:rPr>
        <w:t xml:space="preserve">Према </w:t>
      </w:r>
      <w:proofErr w:type="spellStart"/>
      <w:r w:rsidR="006A2D8D">
        <w:rPr>
          <w:bCs/>
          <w:sz w:val="22"/>
          <w:lang w:val="sr-Cyrl-RS" w:eastAsia="en-US"/>
        </w:rPr>
        <w:t>Извјештају</w:t>
      </w:r>
      <w:proofErr w:type="spellEnd"/>
      <w:r w:rsidR="00994070">
        <w:rPr>
          <w:bCs/>
          <w:sz w:val="22"/>
          <w:lang w:val="sr-Latn-BA" w:eastAsia="en-US"/>
        </w:rPr>
        <w:t xml:space="preserve">, </w:t>
      </w:r>
      <w:proofErr w:type="spellStart"/>
      <w:r w:rsidR="00994070">
        <w:rPr>
          <w:bCs/>
          <w:sz w:val="22"/>
          <w:lang w:val="sr-Latn-BA" w:eastAsia="en-US"/>
        </w:rPr>
        <w:t>о</w:t>
      </w:r>
      <w:r w:rsidR="00994070" w:rsidRPr="00994070">
        <w:rPr>
          <w:bCs/>
          <w:sz w:val="22"/>
          <w:lang w:val="sr-Latn-BA" w:eastAsia="en-US"/>
        </w:rPr>
        <w:t>чекује</w:t>
      </w:r>
      <w:proofErr w:type="spellEnd"/>
      <w:r w:rsidR="00994070" w:rsidRPr="00994070">
        <w:rPr>
          <w:bCs/>
          <w:sz w:val="22"/>
          <w:lang w:val="sr-Latn-BA" w:eastAsia="en-US"/>
        </w:rPr>
        <w:t xml:space="preserve"> </w:t>
      </w:r>
      <w:proofErr w:type="spellStart"/>
      <w:r w:rsidR="00994070" w:rsidRPr="00994070">
        <w:rPr>
          <w:bCs/>
          <w:sz w:val="22"/>
          <w:lang w:val="sr-Latn-BA" w:eastAsia="en-US"/>
        </w:rPr>
        <w:t>се</w:t>
      </w:r>
      <w:proofErr w:type="spellEnd"/>
      <w:r w:rsidR="00994070" w:rsidRPr="00994070">
        <w:rPr>
          <w:bCs/>
          <w:sz w:val="22"/>
          <w:lang w:val="sr-Latn-BA" w:eastAsia="en-US"/>
        </w:rPr>
        <w:t xml:space="preserve"> </w:t>
      </w:r>
      <w:proofErr w:type="spellStart"/>
      <w:r w:rsidR="00994070" w:rsidRPr="00994070">
        <w:rPr>
          <w:bCs/>
          <w:sz w:val="22"/>
          <w:lang w:val="sr-Latn-BA" w:eastAsia="en-US"/>
        </w:rPr>
        <w:t>да</w:t>
      </w:r>
      <w:proofErr w:type="spellEnd"/>
      <w:r w:rsidR="00994070" w:rsidRPr="00994070">
        <w:rPr>
          <w:bCs/>
          <w:sz w:val="22"/>
          <w:lang w:val="sr-Latn-BA" w:eastAsia="en-US"/>
        </w:rPr>
        <w:t xml:space="preserve"> </w:t>
      </w:r>
      <w:proofErr w:type="spellStart"/>
      <w:r w:rsidR="00994070" w:rsidRPr="00994070">
        <w:rPr>
          <w:bCs/>
          <w:sz w:val="22"/>
          <w:lang w:val="sr-Latn-BA" w:eastAsia="en-US"/>
        </w:rPr>
        <w:t>ће</w:t>
      </w:r>
      <w:proofErr w:type="spellEnd"/>
      <w:r w:rsidR="00994070" w:rsidRPr="00994070">
        <w:rPr>
          <w:bCs/>
          <w:sz w:val="22"/>
          <w:lang w:val="sr-Latn-BA" w:eastAsia="en-US"/>
        </w:rPr>
        <w:t xml:space="preserve"> </w:t>
      </w:r>
      <w:proofErr w:type="spellStart"/>
      <w:r w:rsidR="00994070" w:rsidRPr="00994070">
        <w:rPr>
          <w:bCs/>
          <w:sz w:val="22"/>
          <w:lang w:val="sr-Latn-BA" w:eastAsia="en-US"/>
        </w:rPr>
        <w:t>локално</w:t>
      </w:r>
      <w:proofErr w:type="spellEnd"/>
      <w:r w:rsidR="00994070" w:rsidRPr="00994070">
        <w:rPr>
          <w:bCs/>
          <w:sz w:val="22"/>
          <w:lang w:val="sr-Latn-BA" w:eastAsia="en-US"/>
        </w:rPr>
        <w:t xml:space="preserve"> </w:t>
      </w:r>
      <w:proofErr w:type="spellStart"/>
      <w:r w:rsidR="00994070" w:rsidRPr="00994070">
        <w:rPr>
          <w:bCs/>
          <w:sz w:val="22"/>
          <w:lang w:val="sr-Latn-BA" w:eastAsia="en-US"/>
        </w:rPr>
        <w:t>задуживање</w:t>
      </w:r>
      <w:proofErr w:type="spellEnd"/>
      <w:r w:rsidR="00994070" w:rsidRPr="00994070">
        <w:rPr>
          <w:bCs/>
          <w:sz w:val="22"/>
          <w:lang w:val="sr-Latn-BA" w:eastAsia="en-US"/>
        </w:rPr>
        <w:t xml:space="preserve"> </w:t>
      </w:r>
      <w:proofErr w:type="spellStart"/>
      <w:r w:rsidR="00994070" w:rsidRPr="00994070">
        <w:rPr>
          <w:bCs/>
          <w:sz w:val="22"/>
          <w:lang w:val="sr-Latn-BA" w:eastAsia="en-US"/>
        </w:rPr>
        <w:t>играти</w:t>
      </w:r>
      <w:proofErr w:type="spellEnd"/>
      <w:r w:rsidR="00994070" w:rsidRPr="00994070">
        <w:rPr>
          <w:bCs/>
          <w:sz w:val="22"/>
          <w:lang w:val="sr-Latn-BA" w:eastAsia="en-US"/>
        </w:rPr>
        <w:t xml:space="preserve"> </w:t>
      </w:r>
      <w:r w:rsidR="006A2D8D">
        <w:rPr>
          <w:bCs/>
          <w:sz w:val="22"/>
          <w:lang w:val="sr-Cyrl-RS" w:eastAsia="en-US"/>
        </w:rPr>
        <w:t>важну</w:t>
      </w:r>
      <w:r w:rsidR="00994070" w:rsidRPr="00994070">
        <w:rPr>
          <w:bCs/>
          <w:sz w:val="22"/>
          <w:lang w:val="sr-Latn-BA" w:eastAsia="en-US"/>
        </w:rPr>
        <w:t xml:space="preserve"> </w:t>
      </w:r>
      <w:proofErr w:type="spellStart"/>
      <w:r w:rsidR="00994070" w:rsidRPr="00994070">
        <w:rPr>
          <w:bCs/>
          <w:sz w:val="22"/>
          <w:lang w:val="sr-Latn-BA" w:eastAsia="en-US"/>
        </w:rPr>
        <w:t>улогу</w:t>
      </w:r>
      <w:proofErr w:type="spellEnd"/>
      <w:r w:rsidR="00994070" w:rsidRPr="00994070">
        <w:rPr>
          <w:bCs/>
          <w:sz w:val="22"/>
          <w:lang w:val="sr-Latn-BA" w:eastAsia="en-US"/>
        </w:rPr>
        <w:t xml:space="preserve"> у </w:t>
      </w:r>
      <w:proofErr w:type="spellStart"/>
      <w:r w:rsidR="00994070" w:rsidRPr="00994070">
        <w:rPr>
          <w:bCs/>
          <w:sz w:val="22"/>
          <w:lang w:val="sr-Latn-BA" w:eastAsia="en-US"/>
        </w:rPr>
        <w:t>финансирању</w:t>
      </w:r>
      <w:proofErr w:type="spellEnd"/>
      <w:r w:rsidR="00994070">
        <w:rPr>
          <w:bCs/>
          <w:sz w:val="22"/>
          <w:lang w:val="sr-Cyrl-RS" w:eastAsia="en-US"/>
        </w:rPr>
        <w:t xml:space="preserve"> </w:t>
      </w:r>
      <w:proofErr w:type="spellStart"/>
      <w:r w:rsidR="00994070">
        <w:rPr>
          <w:bCs/>
          <w:sz w:val="22"/>
          <w:lang w:val="sr-Latn-BA" w:eastAsia="en-US"/>
        </w:rPr>
        <w:t>мјера</w:t>
      </w:r>
      <w:proofErr w:type="spellEnd"/>
      <w:r w:rsidR="00994070" w:rsidRPr="00994070">
        <w:rPr>
          <w:bCs/>
          <w:sz w:val="22"/>
          <w:lang w:val="sr-Latn-BA" w:eastAsia="en-US"/>
        </w:rPr>
        <w:t xml:space="preserve"> </w:t>
      </w:r>
      <w:proofErr w:type="spellStart"/>
      <w:r w:rsidR="00994070" w:rsidRPr="00994070">
        <w:rPr>
          <w:bCs/>
          <w:sz w:val="22"/>
          <w:lang w:val="sr-Latn-BA" w:eastAsia="en-US"/>
        </w:rPr>
        <w:t>опоравка</w:t>
      </w:r>
      <w:proofErr w:type="spellEnd"/>
      <w:r w:rsidR="00994070" w:rsidRPr="00994070">
        <w:rPr>
          <w:bCs/>
          <w:sz w:val="22"/>
          <w:lang w:val="sr-Latn-BA" w:eastAsia="en-US"/>
        </w:rPr>
        <w:t xml:space="preserve"> </w:t>
      </w:r>
      <w:proofErr w:type="spellStart"/>
      <w:r w:rsidR="00994070" w:rsidRPr="00994070">
        <w:rPr>
          <w:bCs/>
          <w:sz w:val="22"/>
          <w:lang w:val="sr-Latn-BA" w:eastAsia="en-US"/>
        </w:rPr>
        <w:t>локалних</w:t>
      </w:r>
      <w:proofErr w:type="spellEnd"/>
      <w:r w:rsidR="00994070" w:rsidRPr="00994070">
        <w:rPr>
          <w:bCs/>
          <w:sz w:val="22"/>
          <w:lang w:val="sr-Latn-BA" w:eastAsia="en-US"/>
        </w:rPr>
        <w:t xml:space="preserve"> </w:t>
      </w:r>
      <w:proofErr w:type="spellStart"/>
      <w:r w:rsidR="00994070" w:rsidRPr="00994070">
        <w:rPr>
          <w:bCs/>
          <w:sz w:val="22"/>
          <w:lang w:val="sr-Latn-BA" w:eastAsia="en-US"/>
        </w:rPr>
        <w:t>самоуправа</w:t>
      </w:r>
      <w:proofErr w:type="spellEnd"/>
      <w:r w:rsidR="00994070" w:rsidRPr="00994070">
        <w:rPr>
          <w:bCs/>
          <w:sz w:val="22"/>
          <w:lang w:val="sr-Latn-BA" w:eastAsia="en-US"/>
        </w:rPr>
        <w:t xml:space="preserve"> </w:t>
      </w:r>
      <w:r w:rsidR="006A2D8D">
        <w:rPr>
          <w:bCs/>
          <w:sz w:val="22"/>
          <w:lang w:val="sr-Cyrl-RS" w:eastAsia="en-US"/>
        </w:rPr>
        <w:t>ЈИЕ</w:t>
      </w:r>
      <w:r w:rsidR="00994070" w:rsidRPr="00994070">
        <w:rPr>
          <w:bCs/>
          <w:sz w:val="22"/>
          <w:lang w:val="sr-Latn-BA" w:eastAsia="en-US"/>
        </w:rPr>
        <w:t xml:space="preserve">. </w:t>
      </w:r>
      <w:proofErr w:type="spellStart"/>
      <w:r w:rsidR="00994070" w:rsidRPr="00994070">
        <w:rPr>
          <w:bCs/>
          <w:sz w:val="22"/>
          <w:lang w:val="sr-Latn-BA" w:eastAsia="en-US"/>
        </w:rPr>
        <w:t>Већ</w:t>
      </w:r>
      <w:proofErr w:type="spellEnd"/>
      <w:r w:rsidR="00994070" w:rsidRPr="00994070">
        <w:rPr>
          <w:bCs/>
          <w:sz w:val="22"/>
          <w:lang w:val="sr-Latn-BA" w:eastAsia="en-US"/>
        </w:rPr>
        <w:t xml:space="preserve"> </w:t>
      </w:r>
      <w:r w:rsidR="00E70238">
        <w:rPr>
          <w:bCs/>
          <w:sz w:val="22"/>
          <w:lang w:val="sr-Cyrl-RS" w:eastAsia="en-US"/>
        </w:rPr>
        <w:t>је</w:t>
      </w:r>
      <w:r w:rsidR="00994070" w:rsidRPr="00994070">
        <w:rPr>
          <w:bCs/>
          <w:sz w:val="22"/>
          <w:lang w:val="sr-Latn-BA" w:eastAsia="en-US"/>
        </w:rPr>
        <w:t xml:space="preserve"> </w:t>
      </w:r>
      <w:r w:rsidR="006A2D8D">
        <w:rPr>
          <w:bCs/>
          <w:sz w:val="22"/>
          <w:lang w:val="sr-Cyrl-RS" w:eastAsia="en-US"/>
        </w:rPr>
        <w:t xml:space="preserve">у </w:t>
      </w:r>
      <w:proofErr w:type="spellStart"/>
      <w:r w:rsidR="006A2D8D">
        <w:rPr>
          <w:bCs/>
          <w:sz w:val="22"/>
          <w:lang w:val="sr-Cyrl-RS" w:eastAsia="en-US"/>
        </w:rPr>
        <w:t>вријеме</w:t>
      </w:r>
      <w:proofErr w:type="spellEnd"/>
      <w:r w:rsidR="006A2D8D">
        <w:rPr>
          <w:bCs/>
          <w:sz w:val="22"/>
          <w:lang w:val="sr-Cyrl-RS" w:eastAsia="en-US"/>
        </w:rPr>
        <w:t xml:space="preserve"> упитника </w:t>
      </w:r>
      <w:r w:rsidR="00994070" w:rsidRPr="00994070">
        <w:rPr>
          <w:bCs/>
          <w:sz w:val="22"/>
          <w:lang w:val="sr-Latn-BA" w:eastAsia="en-US"/>
        </w:rPr>
        <w:t xml:space="preserve">24% </w:t>
      </w:r>
      <w:proofErr w:type="spellStart"/>
      <w:r w:rsidR="00994070" w:rsidRPr="00994070">
        <w:rPr>
          <w:bCs/>
          <w:sz w:val="22"/>
          <w:lang w:val="sr-Latn-BA" w:eastAsia="en-US"/>
        </w:rPr>
        <w:t>свих</w:t>
      </w:r>
      <w:proofErr w:type="spellEnd"/>
      <w:r w:rsidR="00994070" w:rsidRPr="00994070">
        <w:rPr>
          <w:bCs/>
          <w:sz w:val="22"/>
          <w:lang w:val="sr-Latn-BA" w:eastAsia="en-US"/>
        </w:rPr>
        <w:t xml:space="preserve"> </w:t>
      </w:r>
      <w:proofErr w:type="spellStart"/>
      <w:r w:rsidR="00994070" w:rsidRPr="00994070">
        <w:rPr>
          <w:bCs/>
          <w:sz w:val="22"/>
          <w:lang w:val="sr-Latn-BA" w:eastAsia="en-US"/>
        </w:rPr>
        <w:t>локалних</w:t>
      </w:r>
      <w:proofErr w:type="spellEnd"/>
      <w:r w:rsidR="00994070" w:rsidRPr="00994070">
        <w:rPr>
          <w:bCs/>
          <w:sz w:val="22"/>
          <w:lang w:val="sr-Latn-BA" w:eastAsia="en-US"/>
        </w:rPr>
        <w:t xml:space="preserve"> </w:t>
      </w:r>
      <w:proofErr w:type="spellStart"/>
      <w:r w:rsidR="00994070" w:rsidRPr="00994070">
        <w:rPr>
          <w:bCs/>
          <w:sz w:val="22"/>
          <w:lang w:val="sr-Latn-BA" w:eastAsia="en-US"/>
        </w:rPr>
        <w:t>самоуправа</w:t>
      </w:r>
      <w:proofErr w:type="spellEnd"/>
      <w:r w:rsidR="006A2D8D">
        <w:rPr>
          <w:bCs/>
          <w:sz w:val="22"/>
          <w:lang w:val="sr-Cyrl-RS" w:eastAsia="en-US"/>
        </w:rPr>
        <w:t xml:space="preserve"> у региону</w:t>
      </w:r>
      <w:r w:rsidR="00E70238">
        <w:rPr>
          <w:bCs/>
          <w:sz w:val="22"/>
          <w:lang w:val="sr-Cyrl-RS" w:eastAsia="en-US"/>
        </w:rPr>
        <w:t>, п</w:t>
      </w:r>
      <w:proofErr w:type="spellStart"/>
      <w:r w:rsidR="00E70238">
        <w:rPr>
          <w:bCs/>
          <w:sz w:val="22"/>
          <w:lang w:val="sr-Latn-BA" w:eastAsia="en-US"/>
        </w:rPr>
        <w:t>овећало</w:t>
      </w:r>
      <w:proofErr w:type="spellEnd"/>
      <w:r w:rsidR="00994070" w:rsidRPr="00994070">
        <w:rPr>
          <w:bCs/>
          <w:sz w:val="22"/>
          <w:lang w:val="sr-Latn-BA" w:eastAsia="en-US"/>
        </w:rPr>
        <w:t xml:space="preserve"> </w:t>
      </w:r>
      <w:proofErr w:type="spellStart"/>
      <w:r w:rsidR="00994070" w:rsidRPr="00994070">
        <w:rPr>
          <w:bCs/>
          <w:sz w:val="22"/>
          <w:lang w:val="sr-Latn-BA" w:eastAsia="en-US"/>
        </w:rPr>
        <w:t>задуживање</w:t>
      </w:r>
      <w:proofErr w:type="spellEnd"/>
      <w:r w:rsidR="00994070" w:rsidRPr="00994070">
        <w:rPr>
          <w:bCs/>
          <w:sz w:val="22"/>
          <w:lang w:val="sr-Latn-BA" w:eastAsia="en-US"/>
        </w:rPr>
        <w:t xml:space="preserve"> </w:t>
      </w:r>
      <w:proofErr w:type="spellStart"/>
      <w:r w:rsidR="00994070" w:rsidRPr="00994070">
        <w:rPr>
          <w:bCs/>
          <w:sz w:val="22"/>
          <w:lang w:val="sr-Latn-BA" w:eastAsia="en-US"/>
        </w:rPr>
        <w:t>или</w:t>
      </w:r>
      <w:proofErr w:type="spellEnd"/>
      <w:r w:rsidR="00994070" w:rsidRPr="00994070">
        <w:rPr>
          <w:bCs/>
          <w:sz w:val="22"/>
          <w:lang w:val="sr-Latn-BA" w:eastAsia="en-US"/>
        </w:rPr>
        <w:t xml:space="preserve"> </w:t>
      </w:r>
      <w:proofErr w:type="spellStart"/>
      <w:r w:rsidR="00994070" w:rsidRPr="00994070">
        <w:rPr>
          <w:bCs/>
          <w:sz w:val="22"/>
          <w:lang w:val="sr-Latn-BA" w:eastAsia="en-US"/>
        </w:rPr>
        <w:t>то</w:t>
      </w:r>
      <w:proofErr w:type="spellEnd"/>
      <w:r w:rsidR="00994070" w:rsidRPr="00994070">
        <w:rPr>
          <w:bCs/>
          <w:sz w:val="22"/>
          <w:lang w:val="sr-Latn-BA" w:eastAsia="en-US"/>
        </w:rPr>
        <w:t xml:space="preserve"> </w:t>
      </w:r>
      <w:proofErr w:type="spellStart"/>
      <w:r w:rsidR="00994070" w:rsidRPr="00994070">
        <w:rPr>
          <w:bCs/>
          <w:sz w:val="22"/>
          <w:lang w:val="sr-Latn-BA" w:eastAsia="en-US"/>
        </w:rPr>
        <w:t>планирају</w:t>
      </w:r>
      <w:proofErr w:type="spellEnd"/>
      <w:r w:rsidR="00994070" w:rsidRPr="00994070">
        <w:rPr>
          <w:bCs/>
          <w:sz w:val="22"/>
          <w:lang w:val="sr-Latn-BA" w:eastAsia="en-US"/>
        </w:rPr>
        <w:t xml:space="preserve">. У </w:t>
      </w:r>
      <w:proofErr w:type="spellStart"/>
      <w:r w:rsidR="00994070" w:rsidRPr="00994070">
        <w:rPr>
          <w:bCs/>
          <w:sz w:val="22"/>
          <w:lang w:val="sr-Latn-BA" w:eastAsia="en-US"/>
        </w:rPr>
        <w:t>неким</w:t>
      </w:r>
      <w:proofErr w:type="spellEnd"/>
      <w:r w:rsidR="00994070" w:rsidRPr="00994070">
        <w:rPr>
          <w:bCs/>
          <w:sz w:val="22"/>
          <w:lang w:val="sr-Latn-BA" w:eastAsia="en-US"/>
        </w:rPr>
        <w:t xml:space="preserve"> </w:t>
      </w:r>
      <w:proofErr w:type="spellStart"/>
      <w:r w:rsidR="00994070" w:rsidRPr="00994070">
        <w:rPr>
          <w:bCs/>
          <w:sz w:val="22"/>
          <w:lang w:val="sr-Latn-BA" w:eastAsia="en-US"/>
        </w:rPr>
        <w:t>економијама</w:t>
      </w:r>
      <w:proofErr w:type="spellEnd"/>
      <w:r w:rsidR="00E70238">
        <w:rPr>
          <w:bCs/>
          <w:sz w:val="22"/>
          <w:lang w:val="sr-Cyrl-RS" w:eastAsia="en-US"/>
        </w:rPr>
        <w:t xml:space="preserve">, </w:t>
      </w:r>
      <w:proofErr w:type="spellStart"/>
      <w:r w:rsidR="00994070" w:rsidRPr="00994070">
        <w:rPr>
          <w:bCs/>
          <w:sz w:val="22"/>
          <w:lang w:val="sr-Latn-BA" w:eastAsia="en-US"/>
        </w:rPr>
        <w:t>као</w:t>
      </w:r>
      <w:proofErr w:type="spellEnd"/>
      <w:r w:rsidR="00994070" w:rsidRPr="00994070">
        <w:rPr>
          <w:bCs/>
          <w:sz w:val="22"/>
          <w:lang w:val="sr-Latn-BA" w:eastAsia="en-US"/>
        </w:rPr>
        <w:t xml:space="preserve"> </w:t>
      </w:r>
      <w:proofErr w:type="spellStart"/>
      <w:r w:rsidR="00994070" w:rsidRPr="00994070">
        <w:rPr>
          <w:bCs/>
          <w:sz w:val="22"/>
          <w:lang w:val="sr-Latn-BA" w:eastAsia="en-US"/>
        </w:rPr>
        <w:t>што</w:t>
      </w:r>
      <w:proofErr w:type="spellEnd"/>
      <w:r w:rsidR="00994070" w:rsidRPr="00994070">
        <w:rPr>
          <w:bCs/>
          <w:sz w:val="22"/>
          <w:lang w:val="sr-Latn-BA" w:eastAsia="en-US"/>
        </w:rPr>
        <w:t xml:space="preserve"> </w:t>
      </w:r>
      <w:proofErr w:type="spellStart"/>
      <w:r w:rsidR="00994070" w:rsidRPr="00994070">
        <w:rPr>
          <w:bCs/>
          <w:sz w:val="22"/>
          <w:lang w:val="sr-Latn-BA" w:eastAsia="en-US"/>
        </w:rPr>
        <w:t>су</w:t>
      </w:r>
      <w:proofErr w:type="spellEnd"/>
      <w:r w:rsidR="00994070" w:rsidRPr="00994070">
        <w:rPr>
          <w:bCs/>
          <w:sz w:val="22"/>
          <w:lang w:val="sr-Latn-BA" w:eastAsia="en-US"/>
        </w:rPr>
        <w:t xml:space="preserve"> </w:t>
      </w:r>
      <w:proofErr w:type="spellStart"/>
      <w:r w:rsidR="00994070" w:rsidRPr="00994070">
        <w:rPr>
          <w:bCs/>
          <w:sz w:val="22"/>
          <w:lang w:val="sr-Latn-BA" w:eastAsia="en-US"/>
        </w:rPr>
        <w:t>Румунија</w:t>
      </w:r>
      <w:proofErr w:type="spellEnd"/>
      <w:r w:rsidR="00994070" w:rsidRPr="00994070">
        <w:rPr>
          <w:bCs/>
          <w:sz w:val="22"/>
          <w:lang w:val="sr-Latn-BA" w:eastAsia="en-US"/>
        </w:rPr>
        <w:t xml:space="preserve">, </w:t>
      </w:r>
      <w:proofErr w:type="spellStart"/>
      <w:r w:rsidR="00994070" w:rsidRPr="00994070">
        <w:rPr>
          <w:bCs/>
          <w:sz w:val="22"/>
          <w:lang w:val="sr-Latn-BA" w:eastAsia="en-US"/>
        </w:rPr>
        <w:t>Бугар</w:t>
      </w:r>
      <w:r w:rsidR="00696CF0">
        <w:rPr>
          <w:bCs/>
          <w:sz w:val="22"/>
          <w:lang w:val="sr-Latn-BA" w:eastAsia="en-US"/>
        </w:rPr>
        <w:t>ска</w:t>
      </w:r>
      <w:proofErr w:type="spellEnd"/>
      <w:r w:rsidR="00696CF0">
        <w:rPr>
          <w:bCs/>
          <w:sz w:val="22"/>
          <w:lang w:val="sr-Latn-BA" w:eastAsia="en-US"/>
        </w:rPr>
        <w:t xml:space="preserve"> и </w:t>
      </w:r>
      <w:proofErr w:type="spellStart"/>
      <w:r w:rsidR="00696CF0">
        <w:rPr>
          <w:bCs/>
          <w:sz w:val="22"/>
          <w:lang w:val="sr-Latn-BA" w:eastAsia="en-US"/>
        </w:rPr>
        <w:t>Хрватска</w:t>
      </w:r>
      <w:proofErr w:type="spellEnd"/>
      <w:r w:rsidR="00696CF0">
        <w:rPr>
          <w:bCs/>
          <w:sz w:val="22"/>
          <w:lang w:val="sr-Latn-BA" w:eastAsia="en-US"/>
        </w:rPr>
        <w:t xml:space="preserve">, </w:t>
      </w:r>
      <w:proofErr w:type="spellStart"/>
      <w:r w:rsidR="00696CF0">
        <w:rPr>
          <w:bCs/>
          <w:sz w:val="22"/>
          <w:lang w:val="sr-Latn-BA" w:eastAsia="en-US"/>
        </w:rPr>
        <w:t>постоји</w:t>
      </w:r>
      <w:proofErr w:type="spellEnd"/>
      <w:r w:rsidR="00696CF0">
        <w:rPr>
          <w:bCs/>
          <w:sz w:val="22"/>
          <w:lang w:val="sr-Latn-BA" w:eastAsia="en-US"/>
        </w:rPr>
        <w:t xml:space="preserve"> </w:t>
      </w:r>
      <w:proofErr w:type="spellStart"/>
      <w:r w:rsidR="00696CF0">
        <w:rPr>
          <w:bCs/>
          <w:sz w:val="22"/>
          <w:lang w:val="sr-Latn-BA" w:eastAsia="en-US"/>
        </w:rPr>
        <w:t>значајан</w:t>
      </w:r>
      <w:proofErr w:type="spellEnd"/>
      <w:r w:rsidR="00696CF0">
        <w:rPr>
          <w:bCs/>
          <w:sz w:val="22"/>
          <w:lang w:val="sr-Latn-BA" w:eastAsia="en-US"/>
        </w:rPr>
        <w:t xml:space="preserve"> </w:t>
      </w:r>
      <w:r w:rsidR="00994070" w:rsidRPr="00994070">
        <w:rPr>
          <w:bCs/>
          <w:sz w:val="22"/>
          <w:lang w:val="sr-Latn-BA" w:eastAsia="en-US"/>
        </w:rPr>
        <w:t xml:space="preserve"> </w:t>
      </w:r>
      <w:proofErr w:type="spellStart"/>
      <w:r w:rsidR="00994070" w:rsidRPr="00994070">
        <w:rPr>
          <w:bCs/>
          <w:sz w:val="22"/>
          <w:lang w:val="sr-Latn-BA" w:eastAsia="en-US"/>
        </w:rPr>
        <w:t>број</w:t>
      </w:r>
      <w:proofErr w:type="spellEnd"/>
      <w:r w:rsidR="00994070" w:rsidRPr="00994070">
        <w:rPr>
          <w:bCs/>
          <w:sz w:val="22"/>
          <w:lang w:val="sr-Latn-BA" w:eastAsia="en-US"/>
        </w:rPr>
        <w:t xml:space="preserve"> (35</w:t>
      </w:r>
      <w:r w:rsidR="006A2D8D">
        <w:rPr>
          <w:bCs/>
          <w:sz w:val="22"/>
          <w:lang w:val="sr-Cyrl-RS" w:eastAsia="en-US"/>
        </w:rPr>
        <w:t>%</w:t>
      </w:r>
      <w:r w:rsidR="00696CF0">
        <w:rPr>
          <w:bCs/>
          <w:sz w:val="22"/>
          <w:lang w:val="sr-Latn-BA" w:eastAsia="en-US"/>
        </w:rPr>
        <w:t xml:space="preserve"> - 50%) ЈЛС</w:t>
      </w:r>
      <w:r w:rsidR="00994070" w:rsidRPr="00994070">
        <w:rPr>
          <w:bCs/>
          <w:sz w:val="22"/>
          <w:lang w:val="sr-Latn-BA" w:eastAsia="en-US"/>
        </w:rPr>
        <w:t xml:space="preserve"> </w:t>
      </w:r>
      <w:proofErr w:type="spellStart"/>
      <w:r w:rsidR="00994070" w:rsidRPr="00994070">
        <w:rPr>
          <w:bCs/>
          <w:sz w:val="22"/>
          <w:lang w:val="sr-Latn-BA" w:eastAsia="en-US"/>
        </w:rPr>
        <w:t>које</w:t>
      </w:r>
      <w:proofErr w:type="spellEnd"/>
      <w:r w:rsidR="00994070" w:rsidRPr="00994070">
        <w:rPr>
          <w:bCs/>
          <w:sz w:val="22"/>
          <w:lang w:val="sr-Latn-BA" w:eastAsia="en-US"/>
        </w:rPr>
        <w:t xml:space="preserve"> </w:t>
      </w:r>
      <w:proofErr w:type="spellStart"/>
      <w:r w:rsidR="00994070" w:rsidRPr="00994070">
        <w:rPr>
          <w:bCs/>
          <w:sz w:val="22"/>
          <w:lang w:val="sr-Latn-BA" w:eastAsia="en-US"/>
        </w:rPr>
        <w:t>су</w:t>
      </w:r>
      <w:proofErr w:type="spellEnd"/>
      <w:r w:rsidR="00994070" w:rsidRPr="00994070">
        <w:rPr>
          <w:bCs/>
          <w:sz w:val="22"/>
          <w:lang w:val="sr-Latn-BA" w:eastAsia="en-US"/>
        </w:rPr>
        <w:t xml:space="preserve"> </w:t>
      </w:r>
      <w:proofErr w:type="spellStart"/>
      <w:r w:rsidR="00994070" w:rsidRPr="00994070">
        <w:rPr>
          <w:bCs/>
          <w:sz w:val="22"/>
          <w:lang w:val="sr-Latn-BA" w:eastAsia="en-US"/>
        </w:rPr>
        <w:t>повећале</w:t>
      </w:r>
      <w:proofErr w:type="spellEnd"/>
      <w:r w:rsidR="00994070" w:rsidRPr="00994070">
        <w:rPr>
          <w:bCs/>
          <w:sz w:val="22"/>
          <w:lang w:val="sr-Latn-BA" w:eastAsia="en-US"/>
        </w:rPr>
        <w:t xml:space="preserve"> </w:t>
      </w:r>
      <w:proofErr w:type="spellStart"/>
      <w:r w:rsidR="00994070" w:rsidRPr="00994070">
        <w:rPr>
          <w:bCs/>
          <w:sz w:val="22"/>
          <w:lang w:val="sr-Latn-BA" w:eastAsia="en-US"/>
        </w:rPr>
        <w:t>своје</w:t>
      </w:r>
      <w:proofErr w:type="spellEnd"/>
      <w:r w:rsidR="00994070" w:rsidRPr="00994070">
        <w:rPr>
          <w:bCs/>
          <w:sz w:val="22"/>
          <w:lang w:val="sr-Latn-BA" w:eastAsia="en-US"/>
        </w:rPr>
        <w:t xml:space="preserve"> </w:t>
      </w:r>
      <w:proofErr w:type="spellStart"/>
      <w:r w:rsidR="00994070" w:rsidRPr="00994070">
        <w:rPr>
          <w:bCs/>
          <w:sz w:val="22"/>
          <w:lang w:val="sr-Latn-BA" w:eastAsia="en-US"/>
        </w:rPr>
        <w:t>задуживање</w:t>
      </w:r>
      <w:proofErr w:type="spellEnd"/>
      <w:r w:rsidR="00E70238">
        <w:rPr>
          <w:bCs/>
          <w:sz w:val="22"/>
          <w:lang w:val="sr-Cyrl-RS" w:eastAsia="en-US"/>
        </w:rPr>
        <w:t xml:space="preserve"> </w:t>
      </w:r>
      <w:proofErr w:type="spellStart"/>
      <w:r w:rsidR="00994070" w:rsidRPr="00994070">
        <w:rPr>
          <w:bCs/>
          <w:sz w:val="22"/>
          <w:lang w:val="sr-Latn-BA" w:eastAsia="en-US"/>
        </w:rPr>
        <w:t>или</w:t>
      </w:r>
      <w:proofErr w:type="spellEnd"/>
      <w:r w:rsidR="00994070" w:rsidRPr="00994070">
        <w:rPr>
          <w:bCs/>
          <w:sz w:val="22"/>
          <w:lang w:val="sr-Latn-BA" w:eastAsia="en-US"/>
        </w:rPr>
        <w:t xml:space="preserve"> </w:t>
      </w:r>
      <w:proofErr w:type="spellStart"/>
      <w:r w:rsidR="00994070" w:rsidRPr="00994070">
        <w:rPr>
          <w:bCs/>
          <w:sz w:val="22"/>
          <w:lang w:val="sr-Latn-BA" w:eastAsia="en-US"/>
        </w:rPr>
        <w:t>планирају</w:t>
      </w:r>
      <w:proofErr w:type="spellEnd"/>
      <w:r w:rsidR="00994070" w:rsidRPr="00994070">
        <w:rPr>
          <w:bCs/>
          <w:sz w:val="22"/>
          <w:lang w:val="sr-Latn-BA" w:eastAsia="en-US"/>
        </w:rPr>
        <w:t xml:space="preserve"> </w:t>
      </w:r>
      <w:proofErr w:type="spellStart"/>
      <w:r w:rsidR="00994070" w:rsidRPr="00994070">
        <w:rPr>
          <w:bCs/>
          <w:sz w:val="22"/>
          <w:lang w:val="sr-Latn-BA" w:eastAsia="en-US"/>
        </w:rPr>
        <w:t>да</w:t>
      </w:r>
      <w:proofErr w:type="spellEnd"/>
      <w:r w:rsidR="00994070" w:rsidRPr="00994070">
        <w:rPr>
          <w:bCs/>
          <w:sz w:val="22"/>
          <w:lang w:val="sr-Latn-BA" w:eastAsia="en-US"/>
        </w:rPr>
        <w:t xml:space="preserve"> </w:t>
      </w:r>
      <w:proofErr w:type="spellStart"/>
      <w:r w:rsidR="00994070" w:rsidRPr="00994070">
        <w:rPr>
          <w:bCs/>
          <w:sz w:val="22"/>
          <w:lang w:val="sr-Latn-BA" w:eastAsia="en-US"/>
        </w:rPr>
        <w:t>то</w:t>
      </w:r>
      <w:proofErr w:type="spellEnd"/>
      <w:r w:rsidR="00994070" w:rsidRPr="00994070">
        <w:rPr>
          <w:bCs/>
          <w:sz w:val="22"/>
          <w:lang w:val="sr-Latn-BA" w:eastAsia="en-US"/>
        </w:rPr>
        <w:t xml:space="preserve"> </w:t>
      </w:r>
      <w:proofErr w:type="spellStart"/>
      <w:r w:rsidR="00994070" w:rsidRPr="00994070">
        <w:rPr>
          <w:bCs/>
          <w:sz w:val="22"/>
          <w:lang w:val="sr-Latn-BA" w:eastAsia="en-US"/>
        </w:rPr>
        <w:t>учине</w:t>
      </w:r>
      <w:proofErr w:type="spellEnd"/>
      <w:r w:rsidR="00994070" w:rsidRPr="00994070">
        <w:rPr>
          <w:bCs/>
          <w:sz w:val="22"/>
          <w:lang w:val="sr-Latn-BA" w:eastAsia="en-US"/>
        </w:rPr>
        <w:t xml:space="preserve">. </w:t>
      </w:r>
      <w:r w:rsidR="006A2D8D">
        <w:rPr>
          <w:bCs/>
          <w:sz w:val="22"/>
          <w:lang w:val="sr-Cyrl-RS" w:eastAsia="en-US"/>
        </w:rPr>
        <w:t>На ово питање само се једна ЈЛС из РС изјаснила да је већ повећала задуживање, а 50% се изјаснило да планирају.</w:t>
      </w:r>
    </w:p>
    <w:p w14:paraId="0941A511" w14:textId="22A4B3E9" w:rsidR="00AC3ADB" w:rsidRDefault="00AC3ADB" w:rsidP="00CB328B">
      <w:pPr>
        <w:spacing w:line="276" w:lineRule="auto"/>
        <w:ind w:firstLine="709"/>
        <w:jc w:val="both"/>
        <w:rPr>
          <w:b/>
          <w:bCs/>
          <w:sz w:val="22"/>
          <w:lang w:val="sr-Cyrl-RS" w:eastAsia="en-US"/>
        </w:rPr>
      </w:pPr>
    </w:p>
    <w:p w14:paraId="33582C0D" w14:textId="74C226FA" w:rsidR="00574465" w:rsidRPr="00696CF0" w:rsidRDefault="00AC3ADB" w:rsidP="00696CF0">
      <w:pPr>
        <w:spacing w:line="276" w:lineRule="auto"/>
        <w:ind w:firstLine="709"/>
        <w:jc w:val="both"/>
        <w:rPr>
          <w:b/>
          <w:bCs/>
          <w:sz w:val="22"/>
          <w:lang w:val="sr-Latn-BA" w:eastAsia="en-US"/>
        </w:rPr>
      </w:pPr>
      <w:r>
        <w:rPr>
          <w:b/>
          <w:bCs/>
          <w:sz w:val="22"/>
          <w:lang w:val="sr-Cyrl-RS" w:eastAsia="en-US"/>
        </w:rPr>
        <w:t>-</w:t>
      </w:r>
      <w:proofErr w:type="spellStart"/>
      <w:r>
        <w:rPr>
          <w:b/>
          <w:bCs/>
          <w:sz w:val="22"/>
          <w:lang w:val="sr-Cyrl-RS" w:eastAsia="en-US"/>
        </w:rPr>
        <w:t>Измјена</w:t>
      </w:r>
      <w:proofErr w:type="spellEnd"/>
      <w:r>
        <w:rPr>
          <w:b/>
          <w:bCs/>
          <w:sz w:val="22"/>
          <w:lang w:val="sr-Cyrl-RS" w:eastAsia="en-US"/>
        </w:rPr>
        <w:t xml:space="preserve"> или попуштање ф</w:t>
      </w:r>
      <w:r w:rsidR="002E5785" w:rsidRPr="00CB328B">
        <w:rPr>
          <w:b/>
          <w:bCs/>
          <w:sz w:val="22"/>
          <w:lang w:val="sr-Cyrl-RS" w:eastAsia="en-US"/>
        </w:rPr>
        <w:t>иск</w:t>
      </w:r>
      <w:r w:rsidR="0040408A" w:rsidRPr="00CB328B">
        <w:rPr>
          <w:b/>
          <w:bCs/>
          <w:sz w:val="22"/>
          <w:lang w:val="sr-Cyrl-RS" w:eastAsia="en-US"/>
        </w:rPr>
        <w:t>ал</w:t>
      </w:r>
      <w:r w:rsidR="002E5785" w:rsidRPr="00CB328B">
        <w:rPr>
          <w:b/>
          <w:bCs/>
          <w:sz w:val="22"/>
          <w:lang w:val="sr-Cyrl-RS" w:eastAsia="en-US"/>
        </w:rPr>
        <w:t>н</w:t>
      </w:r>
      <w:r>
        <w:rPr>
          <w:b/>
          <w:bCs/>
          <w:sz w:val="22"/>
          <w:lang w:val="sr-Cyrl-RS" w:eastAsia="en-US"/>
        </w:rPr>
        <w:t>их</w:t>
      </w:r>
      <w:r w:rsidR="002E5785" w:rsidRPr="00CB328B">
        <w:rPr>
          <w:b/>
          <w:bCs/>
          <w:sz w:val="22"/>
          <w:lang w:val="sr-Cyrl-RS" w:eastAsia="en-US"/>
        </w:rPr>
        <w:t xml:space="preserve"> правила за ЈЛС као одговор на кризу </w:t>
      </w:r>
      <w:r w:rsidR="002E5785" w:rsidRPr="00CB328B">
        <w:rPr>
          <w:b/>
          <w:bCs/>
          <w:sz w:val="22"/>
          <w:lang w:val="en-US" w:eastAsia="en-US"/>
        </w:rPr>
        <w:t>COVID-19</w:t>
      </w:r>
      <w:r w:rsidR="00C24CAF">
        <w:rPr>
          <w:rStyle w:val="FootnoteReference"/>
          <w:b/>
          <w:bCs/>
          <w:sz w:val="22"/>
          <w:lang w:val="en-US" w:eastAsia="en-US"/>
        </w:rPr>
        <w:footnoteReference w:id="15"/>
      </w:r>
      <w:r>
        <w:rPr>
          <w:b/>
          <w:bCs/>
          <w:sz w:val="22"/>
          <w:lang w:val="sr-Cyrl-RS" w:eastAsia="en-US"/>
        </w:rPr>
        <w:t>.</w:t>
      </w:r>
    </w:p>
    <w:p w14:paraId="589EC5F0" w14:textId="581E85BE" w:rsidR="00574465" w:rsidRPr="00CB328B" w:rsidRDefault="00696CF0" w:rsidP="00696CF0">
      <w:pPr>
        <w:spacing w:line="276" w:lineRule="auto"/>
        <w:ind w:firstLine="709"/>
        <w:jc w:val="both"/>
        <w:rPr>
          <w:b/>
          <w:bCs/>
          <w:sz w:val="22"/>
          <w:lang w:val="sr-Cyrl-BA" w:eastAsia="en-US"/>
        </w:rPr>
      </w:pPr>
      <w:proofErr w:type="spellStart"/>
      <w:r>
        <w:rPr>
          <w:bCs/>
          <w:sz w:val="22"/>
          <w:lang w:val="sr-Cyrl-RS" w:eastAsia="en-US"/>
        </w:rPr>
        <w:t>Извјештај</w:t>
      </w:r>
      <w:proofErr w:type="spellEnd"/>
      <w:r w:rsidR="00752DC0">
        <w:rPr>
          <w:bCs/>
          <w:sz w:val="22"/>
          <w:lang w:val="sr-Cyrl-RS" w:eastAsia="en-US"/>
        </w:rPr>
        <w:t xml:space="preserve"> </w:t>
      </w:r>
      <w:r w:rsidR="00AC3ADB">
        <w:rPr>
          <w:bCs/>
          <w:sz w:val="22"/>
          <w:lang w:val="sr-Latn-BA" w:eastAsia="en-US"/>
        </w:rPr>
        <w:t>NALAS-</w:t>
      </w:r>
      <w:r>
        <w:rPr>
          <w:bCs/>
          <w:sz w:val="22"/>
          <w:lang w:val="sr-Cyrl-RS" w:eastAsia="en-US"/>
        </w:rPr>
        <w:t>а</w:t>
      </w:r>
      <w:r w:rsidR="00752DC0">
        <w:rPr>
          <w:bCs/>
          <w:sz w:val="22"/>
          <w:lang w:val="sr-Cyrl-RS" w:eastAsia="en-US"/>
        </w:rPr>
        <w:t xml:space="preserve"> у </w:t>
      </w:r>
      <w:proofErr w:type="spellStart"/>
      <w:r>
        <w:rPr>
          <w:bCs/>
          <w:sz w:val="22"/>
          <w:lang w:val="sr-Cyrl-RS" w:eastAsia="en-US"/>
        </w:rPr>
        <w:t>дијелу</w:t>
      </w:r>
      <w:proofErr w:type="spellEnd"/>
      <w:r>
        <w:rPr>
          <w:bCs/>
          <w:sz w:val="22"/>
          <w:lang w:val="sr-Cyrl-RS" w:eastAsia="en-US"/>
        </w:rPr>
        <w:t xml:space="preserve"> који се односи на попуштања фискалних правила</w:t>
      </w:r>
      <w:r w:rsidR="00752DC0">
        <w:rPr>
          <w:bCs/>
          <w:sz w:val="22"/>
          <w:lang w:val="sr-Cyrl-RS" w:eastAsia="en-US"/>
        </w:rPr>
        <w:t xml:space="preserve"> </w:t>
      </w:r>
      <w:r>
        <w:rPr>
          <w:bCs/>
          <w:sz w:val="22"/>
          <w:lang w:val="sr-Cyrl-RS" w:eastAsia="en-US"/>
        </w:rPr>
        <w:t xml:space="preserve">за </w:t>
      </w:r>
      <w:r w:rsidR="00752DC0" w:rsidRPr="00752DC0">
        <w:rPr>
          <w:bCs/>
          <w:sz w:val="22"/>
          <w:lang w:val="sr-Cyrl-RS" w:eastAsia="en-US"/>
        </w:rPr>
        <w:t>лока</w:t>
      </w:r>
      <w:r>
        <w:rPr>
          <w:bCs/>
          <w:sz w:val="22"/>
          <w:lang w:val="sr-Cyrl-RS" w:eastAsia="en-US"/>
        </w:rPr>
        <w:t>лне самоуправе</w:t>
      </w:r>
      <w:r w:rsidR="00E21E09">
        <w:rPr>
          <w:bCs/>
          <w:sz w:val="22"/>
          <w:lang w:val="sr-Cyrl-RS" w:eastAsia="en-US"/>
        </w:rPr>
        <w:t xml:space="preserve"> из ЈИЕ</w:t>
      </w:r>
      <w:r>
        <w:rPr>
          <w:bCs/>
          <w:sz w:val="22"/>
          <w:lang w:val="sr-Cyrl-RS" w:eastAsia="en-US"/>
        </w:rPr>
        <w:t xml:space="preserve"> наводи</w:t>
      </w:r>
      <w:r w:rsidR="00E21E09">
        <w:rPr>
          <w:bCs/>
          <w:sz w:val="22"/>
          <w:lang w:val="sr-Cyrl-RS" w:eastAsia="en-US"/>
        </w:rPr>
        <w:t xml:space="preserve"> </w:t>
      </w:r>
      <w:r>
        <w:rPr>
          <w:bCs/>
          <w:sz w:val="22"/>
          <w:lang w:val="sr-Cyrl-RS" w:eastAsia="en-US"/>
        </w:rPr>
        <w:t xml:space="preserve">да је </w:t>
      </w:r>
      <w:r w:rsidR="00E21E09">
        <w:rPr>
          <w:bCs/>
          <w:sz w:val="22"/>
          <w:lang w:val="sr-Cyrl-RS" w:eastAsia="en-US"/>
        </w:rPr>
        <w:t>пружена/омогућена</w:t>
      </w:r>
      <w:r w:rsidR="00752DC0" w:rsidRPr="00752DC0">
        <w:rPr>
          <w:bCs/>
          <w:sz w:val="22"/>
          <w:lang w:val="sr-Cyrl-RS" w:eastAsia="en-US"/>
        </w:rPr>
        <w:t xml:space="preserve"> повећана флексибилност у постојећим фискалним и регулаторним прописима</w:t>
      </w:r>
      <w:r w:rsidR="00752DC0">
        <w:rPr>
          <w:bCs/>
          <w:sz w:val="22"/>
          <w:lang w:val="sr-Latn-BA" w:eastAsia="en-US"/>
        </w:rPr>
        <w:t xml:space="preserve"> </w:t>
      </w:r>
      <w:r w:rsidR="00E21E09">
        <w:rPr>
          <w:bCs/>
          <w:sz w:val="22"/>
          <w:lang w:val="sr-Cyrl-RS" w:eastAsia="en-US"/>
        </w:rPr>
        <w:t>и правилима</w:t>
      </w:r>
      <w:r w:rsidR="00752DC0" w:rsidRPr="00752DC0">
        <w:rPr>
          <w:bCs/>
          <w:sz w:val="22"/>
          <w:lang w:val="sr-Cyrl-RS" w:eastAsia="en-US"/>
        </w:rPr>
        <w:t>, посебно у погле</w:t>
      </w:r>
      <w:r w:rsidR="00E21E09">
        <w:rPr>
          <w:bCs/>
          <w:sz w:val="22"/>
          <w:lang w:val="sr-Cyrl-RS" w:eastAsia="en-US"/>
        </w:rPr>
        <w:t xml:space="preserve">ду </w:t>
      </w:r>
      <w:proofErr w:type="spellStart"/>
      <w:r w:rsidR="00E21E09">
        <w:rPr>
          <w:bCs/>
          <w:sz w:val="22"/>
          <w:lang w:val="sr-Cyrl-RS" w:eastAsia="en-US"/>
        </w:rPr>
        <w:t>прерасподјеле</w:t>
      </w:r>
      <w:proofErr w:type="spellEnd"/>
      <w:r w:rsidR="00E21E09">
        <w:rPr>
          <w:bCs/>
          <w:sz w:val="22"/>
          <w:lang w:val="sr-Cyrl-RS" w:eastAsia="en-US"/>
        </w:rPr>
        <w:t xml:space="preserve"> буџета, набавки</w:t>
      </w:r>
      <w:r w:rsidR="00752DC0" w:rsidRPr="00752DC0">
        <w:rPr>
          <w:bCs/>
          <w:sz w:val="22"/>
          <w:lang w:val="sr-Cyrl-RS" w:eastAsia="en-US"/>
        </w:rPr>
        <w:t>, у</w:t>
      </w:r>
      <w:r w:rsidR="00752DC0">
        <w:rPr>
          <w:bCs/>
          <w:sz w:val="22"/>
          <w:lang w:val="sr-Latn-BA" w:eastAsia="en-US"/>
        </w:rPr>
        <w:t xml:space="preserve"> </w:t>
      </w:r>
      <w:r w:rsidR="00752DC0" w:rsidRPr="00752DC0">
        <w:rPr>
          <w:bCs/>
          <w:sz w:val="22"/>
          <w:lang w:val="sr-Cyrl-RS" w:eastAsia="en-US"/>
        </w:rPr>
        <w:t xml:space="preserve">коришћење </w:t>
      </w:r>
      <w:proofErr w:type="spellStart"/>
      <w:r w:rsidR="00752DC0" w:rsidRPr="00752DC0">
        <w:rPr>
          <w:bCs/>
          <w:sz w:val="22"/>
          <w:lang w:val="sr-Cyrl-RS" w:eastAsia="en-US"/>
        </w:rPr>
        <w:t>нам</w:t>
      </w:r>
      <w:r w:rsidR="00E21E09">
        <w:rPr>
          <w:bCs/>
          <w:sz w:val="22"/>
          <w:lang w:val="sr-Cyrl-RS" w:eastAsia="en-US"/>
        </w:rPr>
        <w:t>ј</w:t>
      </w:r>
      <w:r w:rsidR="00752DC0" w:rsidRPr="00752DC0">
        <w:rPr>
          <w:bCs/>
          <w:sz w:val="22"/>
          <w:lang w:val="sr-Cyrl-RS" w:eastAsia="en-US"/>
        </w:rPr>
        <w:t>енских</w:t>
      </w:r>
      <w:proofErr w:type="spellEnd"/>
      <w:r w:rsidR="00752DC0" w:rsidRPr="00752DC0">
        <w:rPr>
          <w:bCs/>
          <w:sz w:val="22"/>
          <w:lang w:val="sr-Cyrl-RS" w:eastAsia="en-US"/>
        </w:rPr>
        <w:t xml:space="preserve"> трансфера и приступ</w:t>
      </w:r>
      <w:r w:rsidR="00E21E09">
        <w:rPr>
          <w:bCs/>
          <w:sz w:val="22"/>
          <w:lang w:val="sr-Cyrl-RS" w:eastAsia="en-US"/>
        </w:rPr>
        <w:t>а</w:t>
      </w:r>
      <w:r w:rsidR="00752DC0" w:rsidRPr="00752DC0">
        <w:rPr>
          <w:bCs/>
          <w:sz w:val="22"/>
          <w:lang w:val="sr-Cyrl-RS" w:eastAsia="en-US"/>
        </w:rPr>
        <w:t xml:space="preserve"> задуживању. Ово је локалним самоуправама омогућило да рационализују и боље искористе постојеће</w:t>
      </w:r>
      <w:r w:rsidR="00752DC0">
        <w:rPr>
          <w:bCs/>
          <w:sz w:val="22"/>
          <w:lang w:val="sr-Latn-BA" w:eastAsia="en-US"/>
        </w:rPr>
        <w:t xml:space="preserve"> </w:t>
      </w:r>
      <w:r>
        <w:rPr>
          <w:bCs/>
          <w:sz w:val="22"/>
          <w:lang w:val="sr-Cyrl-RS" w:eastAsia="en-US"/>
        </w:rPr>
        <w:t>ресурса.</w:t>
      </w:r>
      <w:r w:rsidR="00752DC0" w:rsidRPr="00752DC0">
        <w:rPr>
          <w:bCs/>
          <w:sz w:val="22"/>
          <w:lang w:val="sr-Cyrl-RS" w:eastAsia="en-US"/>
        </w:rPr>
        <w:t xml:space="preserve"> </w:t>
      </w:r>
      <w:r>
        <w:rPr>
          <w:bCs/>
          <w:sz w:val="22"/>
          <w:lang w:val="sr-Cyrl-RS" w:eastAsia="en-US"/>
        </w:rPr>
        <w:t xml:space="preserve">У </w:t>
      </w:r>
      <w:proofErr w:type="spellStart"/>
      <w:r>
        <w:rPr>
          <w:bCs/>
          <w:sz w:val="22"/>
          <w:lang w:val="sr-Cyrl-RS" w:eastAsia="en-US"/>
        </w:rPr>
        <w:t>Извјештају</w:t>
      </w:r>
      <w:proofErr w:type="spellEnd"/>
      <w:r>
        <w:rPr>
          <w:bCs/>
          <w:sz w:val="22"/>
          <w:lang w:val="sr-Cyrl-RS" w:eastAsia="en-US"/>
        </w:rPr>
        <w:t xml:space="preserve"> </w:t>
      </w:r>
      <w:r w:rsidR="00696DFD">
        <w:rPr>
          <w:bCs/>
          <w:sz w:val="22"/>
          <w:lang w:val="en-US" w:eastAsia="en-US"/>
        </w:rPr>
        <w:t>NALAS</w:t>
      </w:r>
      <w:r w:rsidR="00696DFD">
        <w:rPr>
          <w:bCs/>
          <w:sz w:val="22"/>
          <w:lang w:val="sr-Latn-RS" w:eastAsia="en-US"/>
        </w:rPr>
        <w:t xml:space="preserve">-a </w:t>
      </w:r>
      <w:r>
        <w:rPr>
          <w:bCs/>
          <w:sz w:val="22"/>
          <w:lang w:val="sr-Cyrl-RS" w:eastAsia="en-US"/>
        </w:rPr>
        <w:t xml:space="preserve">се даље наводи да </w:t>
      </w:r>
      <w:r w:rsidR="00752DC0" w:rsidRPr="00752DC0">
        <w:rPr>
          <w:bCs/>
          <w:sz w:val="22"/>
          <w:lang w:val="sr-Cyrl-RS" w:eastAsia="en-US"/>
        </w:rPr>
        <w:t>локалне са</w:t>
      </w:r>
      <w:r w:rsidR="00AC3ADB">
        <w:rPr>
          <w:bCs/>
          <w:sz w:val="22"/>
          <w:lang w:val="sr-Cyrl-RS" w:eastAsia="en-US"/>
        </w:rPr>
        <w:t>моуправе очекују да централне</w:t>
      </w:r>
      <w:r w:rsidR="00E21E09">
        <w:rPr>
          <w:bCs/>
          <w:sz w:val="22"/>
          <w:lang w:val="sr-Cyrl-RS" w:eastAsia="en-US"/>
        </w:rPr>
        <w:t xml:space="preserve"> </w:t>
      </w:r>
      <w:r w:rsidR="00AC3ADB">
        <w:rPr>
          <w:bCs/>
          <w:sz w:val="22"/>
          <w:lang w:val="sr-Cyrl-RS" w:eastAsia="en-US"/>
        </w:rPr>
        <w:t>владе</w:t>
      </w:r>
      <w:r w:rsidR="00752DC0" w:rsidRPr="00752DC0">
        <w:rPr>
          <w:bCs/>
          <w:sz w:val="22"/>
          <w:lang w:val="sr-Cyrl-RS" w:eastAsia="en-US"/>
        </w:rPr>
        <w:t xml:space="preserve"> </w:t>
      </w:r>
      <w:r w:rsidR="00E21E09">
        <w:rPr>
          <w:bCs/>
          <w:sz w:val="22"/>
          <w:lang w:val="sr-Cyrl-RS" w:eastAsia="en-US"/>
        </w:rPr>
        <w:t>треба</w:t>
      </w:r>
      <w:r w:rsidR="00AC3ADB">
        <w:rPr>
          <w:bCs/>
          <w:sz w:val="22"/>
          <w:lang w:val="sr-Cyrl-RS" w:eastAsia="en-US"/>
        </w:rPr>
        <w:t xml:space="preserve"> да усвоје</w:t>
      </w:r>
      <w:r w:rsidR="00752DC0" w:rsidRPr="00752DC0">
        <w:rPr>
          <w:bCs/>
          <w:sz w:val="22"/>
          <w:lang w:val="sr-Cyrl-RS" w:eastAsia="en-US"/>
        </w:rPr>
        <w:t xml:space="preserve"> поједностављена и флексибилнија правила о локалном задуживању, укључујући гаранције и одгоде сервисирања дуга,</w:t>
      </w:r>
      <w:r w:rsidR="00E21E09">
        <w:rPr>
          <w:bCs/>
          <w:sz w:val="22"/>
          <w:lang w:val="sr-Cyrl-RS" w:eastAsia="en-US"/>
        </w:rPr>
        <w:t xml:space="preserve"> </w:t>
      </w:r>
      <w:r w:rsidR="00752DC0" w:rsidRPr="00752DC0">
        <w:rPr>
          <w:bCs/>
          <w:sz w:val="22"/>
          <w:lang w:val="sr-Cyrl-RS" w:eastAsia="en-US"/>
        </w:rPr>
        <w:t>посебно за оне врсте пројеката који подстичу локалну економију</w:t>
      </w:r>
      <w:r w:rsidR="00E21E09">
        <w:rPr>
          <w:bCs/>
          <w:sz w:val="22"/>
          <w:lang w:val="sr-Cyrl-RS" w:eastAsia="en-US"/>
        </w:rPr>
        <w:t xml:space="preserve"> </w:t>
      </w:r>
      <w:r w:rsidR="00752DC0" w:rsidRPr="00752DC0">
        <w:rPr>
          <w:bCs/>
          <w:sz w:val="22"/>
          <w:lang w:val="sr-Cyrl-RS" w:eastAsia="en-US"/>
        </w:rPr>
        <w:t xml:space="preserve">и отварање радних места. Истовремено, </w:t>
      </w:r>
      <w:proofErr w:type="spellStart"/>
      <w:r>
        <w:rPr>
          <w:bCs/>
          <w:sz w:val="22"/>
          <w:lang w:val="sr-Cyrl-RS" w:eastAsia="en-US"/>
        </w:rPr>
        <w:t>Извјештај</w:t>
      </w:r>
      <w:proofErr w:type="spellEnd"/>
      <w:r w:rsidR="00696DFD">
        <w:rPr>
          <w:bCs/>
          <w:sz w:val="22"/>
          <w:lang w:val="sr-Latn-RS" w:eastAsia="en-US"/>
        </w:rPr>
        <w:t xml:space="preserve"> NALAS-a</w:t>
      </w:r>
      <w:r>
        <w:rPr>
          <w:bCs/>
          <w:sz w:val="22"/>
          <w:lang w:val="sr-Cyrl-RS" w:eastAsia="en-US"/>
        </w:rPr>
        <w:t xml:space="preserve"> наглашава потребу да се усвајањем </w:t>
      </w:r>
      <w:r w:rsidR="008F58E7">
        <w:rPr>
          <w:bCs/>
          <w:sz w:val="22"/>
          <w:lang w:val="sr-Cyrl-RS" w:eastAsia="en-US"/>
        </w:rPr>
        <w:t>ове експанзивне фискалне</w:t>
      </w:r>
      <w:r w:rsidR="00752DC0" w:rsidRPr="00752DC0">
        <w:rPr>
          <w:bCs/>
          <w:sz w:val="22"/>
          <w:lang w:val="sr-Cyrl-RS" w:eastAsia="en-US"/>
        </w:rPr>
        <w:t xml:space="preserve"> </w:t>
      </w:r>
      <w:r>
        <w:rPr>
          <w:bCs/>
          <w:sz w:val="22"/>
          <w:lang w:val="sr-Cyrl-RS" w:eastAsia="en-US"/>
        </w:rPr>
        <w:t>политике сачува глобална фискална</w:t>
      </w:r>
      <w:r w:rsidR="00752DC0" w:rsidRPr="00752DC0">
        <w:rPr>
          <w:bCs/>
          <w:sz w:val="22"/>
          <w:lang w:val="sr-Cyrl-RS" w:eastAsia="en-US"/>
        </w:rPr>
        <w:t xml:space="preserve"> стабилност</w:t>
      </w:r>
      <w:r w:rsidR="00185802">
        <w:rPr>
          <w:bCs/>
          <w:sz w:val="22"/>
          <w:lang w:val="sr-Cyrl-RS" w:eastAsia="en-US"/>
        </w:rPr>
        <w:t>.</w:t>
      </w:r>
      <w:r>
        <w:rPr>
          <w:bCs/>
          <w:sz w:val="22"/>
          <w:lang w:val="sr-Cyrl-RS" w:eastAsia="en-US"/>
        </w:rPr>
        <w:t xml:space="preserve"> </w:t>
      </w:r>
      <w:r w:rsidR="008F58E7">
        <w:rPr>
          <w:bCs/>
          <w:sz w:val="22"/>
          <w:lang w:val="sr-Cyrl-RS" w:eastAsia="en-US"/>
        </w:rPr>
        <w:t xml:space="preserve">У </w:t>
      </w:r>
      <w:proofErr w:type="spellStart"/>
      <w:r w:rsidR="008F58E7">
        <w:rPr>
          <w:bCs/>
          <w:sz w:val="22"/>
          <w:lang w:val="sr-Cyrl-RS" w:eastAsia="en-US"/>
        </w:rPr>
        <w:t>свјетлу</w:t>
      </w:r>
      <w:proofErr w:type="spellEnd"/>
      <w:r w:rsidR="008F58E7">
        <w:rPr>
          <w:bCs/>
          <w:sz w:val="22"/>
          <w:lang w:val="sr-Cyrl-RS" w:eastAsia="en-US"/>
        </w:rPr>
        <w:t xml:space="preserve"> ових одговор з</w:t>
      </w:r>
      <w:r>
        <w:rPr>
          <w:bCs/>
          <w:sz w:val="22"/>
          <w:lang w:val="sr-Cyrl-RS" w:eastAsia="en-US"/>
        </w:rPr>
        <w:t xml:space="preserve">а РС би </w:t>
      </w:r>
      <w:r w:rsidR="008F58E7">
        <w:rPr>
          <w:bCs/>
          <w:sz w:val="22"/>
          <w:lang w:val="sr-Cyrl-RS" w:eastAsia="en-US"/>
        </w:rPr>
        <w:t xml:space="preserve">било </w:t>
      </w:r>
      <w:r>
        <w:rPr>
          <w:bCs/>
          <w:sz w:val="22"/>
          <w:lang w:val="sr-Cyrl-RS" w:eastAsia="en-US"/>
        </w:rPr>
        <w:t>значајно да се подржи иницијати</w:t>
      </w:r>
      <w:r w:rsidR="008F58E7">
        <w:rPr>
          <w:bCs/>
          <w:sz w:val="22"/>
          <w:lang w:val="sr-Cyrl-RS" w:eastAsia="en-US"/>
        </w:rPr>
        <w:t>в</w:t>
      </w:r>
      <w:r>
        <w:rPr>
          <w:bCs/>
          <w:sz w:val="22"/>
          <w:lang w:val="sr-Cyrl-RS" w:eastAsia="en-US"/>
        </w:rPr>
        <w:t>а Савеза општина и градова</w:t>
      </w:r>
      <w:r w:rsidR="008F58E7">
        <w:rPr>
          <w:bCs/>
          <w:sz w:val="22"/>
          <w:lang w:val="sr-Cyrl-RS" w:eastAsia="en-US"/>
        </w:rPr>
        <w:t xml:space="preserve"> за </w:t>
      </w:r>
      <w:proofErr w:type="spellStart"/>
      <w:r w:rsidR="008F58E7">
        <w:rPr>
          <w:bCs/>
          <w:sz w:val="22"/>
          <w:lang w:val="sr-Cyrl-RS" w:eastAsia="en-US"/>
        </w:rPr>
        <w:t>измјену</w:t>
      </w:r>
      <w:proofErr w:type="spellEnd"/>
      <w:r w:rsidR="008F58E7">
        <w:rPr>
          <w:bCs/>
          <w:sz w:val="22"/>
          <w:lang w:val="sr-Cyrl-RS" w:eastAsia="en-US"/>
        </w:rPr>
        <w:t xml:space="preserve"> прописа о задуживању и повећању максималне стопе задуживања.</w:t>
      </w:r>
    </w:p>
    <w:p w14:paraId="233F2CA8" w14:textId="2A160947" w:rsidR="006B7984" w:rsidRDefault="006B7984" w:rsidP="00590243">
      <w:pPr>
        <w:spacing w:line="276" w:lineRule="auto"/>
        <w:ind w:firstLine="709"/>
        <w:jc w:val="both"/>
        <w:rPr>
          <w:b/>
          <w:bCs/>
          <w:color w:val="000000"/>
          <w:sz w:val="22"/>
          <w:szCs w:val="18"/>
        </w:rPr>
      </w:pPr>
    </w:p>
    <w:p w14:paraId="0461DBC4" w14:textId="29FE663F" w:rsidR="00CD6625" w:rsidRDefault="006B7984" w:rsidP="00696CF0">
      <w:pPr>
        <w:spacing w:line="276" w:lineRule="auto"/>
        <w:ind w:firstLine="709"/>
        <w:jc w:val="both"/>
        <w:rPr>
          <w:b/>
          <w:bCs/>
          <w:color w:val="000000"/>
          <w:sz w:val="22"/>
          <w:szCs w:val="18"/>
          <w:lang w:val="sr-Cyrl-RS"/>
        </w:rPr>
      </w:pPr>
      <w:r>
        <w:rPr>
          <w:b/>
          <w:bCs/>
          <w:color w:val="000000"/>
          <w:sz w:val="22"/>
          <w:szCs w:val="18"/>
          <w:lang w:val="sr-Cyrl-RS"/>
        </w:rPr>
        <w:t>-Н</w:t>
      </w:r>
      <w:proofErr w:type="spellStart"/>
      <w:r w:rsidR="00025315" w:rsidRPr="00574465">
        <w:rPr>
          <w:b/>
          <w:bCs/>
          <w:color w:val="000000"/>
          <w:sz w:val="22"/>
          <w:szCs w:val="18"/>
        </w:rPr>
        <w:t>ачин</w:t>
      </w:r>
      <w:proofErr w:type="spellEnd"/>
      <w:r>
        <w:rPr>
          <w:b/>
          <w:bCs/>
          <w:color w:val="000000"/>
          <w:sz w:val="22"/>
          <w:szCs w:val="18"/>
          <w:lang w:val="sr-Cyrl-RS"/>
        </w:rPr>
        <w:t>и на које</w:t>
      </w:r>
      <w:r w:rsidR="00025315" w:rsidRPr="00574465">
        <w:rPr>
          <w:b/>
          <w:bCs/>
          <w:color w:val="000000"/>
          <w:sz w:val="22"/>
          <w:szCs w:val="18"/>
        </w:rPr>
        <w:t xml:space="preserve"> </w:t>
      </w:r>
      <w:proofErr w:type="spellStart"/>
      <w:r w:rsidR="00025315" w:rsidRPr="00574465">
        <w:rPr>
          <w:b/>
          <w:bCs/>
          <w:color w:val="000000"/>
          <w:sz w:val="22"/>
          <w:szCs w:val="18"/>
        </w:rPr>
        <w:t>националне</w:t>
      </w:r>
      <w:proofErr w:type="spellEnd"/>
      <w:r w:rsidR="00025315" w:rsidRPr="00574465">
        <w:rPr>
          <w:b/>
          <w:bCs/>
          <w:color w:val="000000"/>
          <w:sz w:val="22"/>
          <w:szCs w:val="18"/>
        </w:rPr>
        <w:t xml:space="preserve"> </w:t>
      </w:r>
      <w:proofErr w:type="spellStart"/>
      <w:r w:rsidR="00025315" w:rsidRPr="00574465">
        <w:rPr>
          <w:b/>
          <w:bCs/>
          <w:color w:val="000000"/>
          <w:sz w:val="22"/>
          <w:szCs w:val="18"/>
        </w:rPr>
        <w:t>власти</w:t>
      </w:r>
      <w:proofErr w:type="spellEnd"/>
      <w:r w:rsidR="00025315" w:rsidRPr="00574465">
        <w:rPr>
          <w:b/>
          <w:bCs/>
          <w:color w:val="000000"/>
          <w:sz w:val="22"/>
          <w:szCs w:val="18"/>
        </w:rPr>
        <w:t xml:space="preserve"> </w:t>
      </w:r>
      <w:proofErr w:type="spellStart"/>
      <w:r w:rsidR="00025315" w:rsidRPr="00574465">
        <w:rPr>
          <w:b/>
          <w:bCs/>
          <w:color w:val="000000"/>
          <w:sz w:val="22"/>
          <w:szCs w:val="18"/>
        </w:rPr>
        <w:t>могу</w:t>
      </w:r>
      <w:proofErr w:type="spellEnd"/>
      <w:r w:rsidR="00025315" w:rsidRPr="00574465">
        <w:rPr>
          <w:b/>
          <w:bCs/>
          <w:color w:val="000000"/>
          <w:sz w:val="22"/>
          <w:szCs w:val="18"/>
        </w:rPr>
        <w:t xml:space="preserve"> </w:t>
      </w:r>
      <w:proofErr w:type="spellStart"/>
      <w:r w:rsidR="00025315" w:rsidRPr="00574465">
        <w:rPr>
          <w:b/>
          <w:bCs/>
          <w:color w:val="000000"/>
          <w:sz w:val="22"/>
          <w:szCs w:val="18"/>
        </w:rPr>
        <w:t>најбоље</w:t>
      </w:r>
      <w:proofErr w:type="spellEnd"/>
      <w:r w:rsidR="00025315">
        <w:rPr>
          <w:b/>
          <w:bCs/>
          <w:color w:val="000000"/>
          <w:sz w:val="22"/>
          <w:szCs w:val="18"/>
        </w:rPr>
        <w:t xml:space="preserve"> </w:t>
      </w:r>
      <w:proofErr w:type="spellStart"/>
      <w:r w:rsidR="00025315">
        <w:rPr>
          <w:b/>
          <w:bCs/>
          <w:color w:val="000000"/>
          <w:sz w:val="22"/>
          <w:szCs w:val="18"/>
        </w:rPr>
        <w:t>да</w:t>
      </w:r>
      <w:proofErr w:type="spellEnd"/>
      <w:r w:rsidR="00025315">
        <w:rPr>
          <w:b/>
          <w:bCs/>
          <w:color w:val="000000"/>
          <w:sz w:val="22"/>
          <w:szCs w:val="18"/>
        </w:rPr>
        <w:t xml:space="preserve"> </w:t>
      </w:r>
      <w:proofErr w:type="spellStart"/>
      <w:r w:rsidR="00025315">
        <w:rPr>
          <w:b/>
          <w:bCs/>
          <w:color w:val="000000"/>
          <w:sz w:val="22"/>
          <w:szCs w:val="18"/>
        </w:rPr>
        <w:t>подрже</w:t>
      </w:r>
      <w:proofErr w:type="spellEnd"/>
      <w:r w:rsidR="00025315">
        <w:rPr>
          <w:b/>
          <w:bCs/>
          <w:color w:val="000000"/>
          <w:sz w:val="22"/>
          <w:szCs w:val="18"/>
        </w:rPr>
        <w:t xml:space="preserve"> </w:t>
      </w:r>
      <w:proofErr w:type="spellStart"/>
      <w:r w:rsidR="00025315">
        <w:rPr>
          <w:b/>
          <w:bCs/>
          <w:color w:val="000000"/>
          <w:sz w:val="22"/>
          <w:szCs w:val="18"/>
        </w:rPr>
        <w:t>локалне</w:t>
      </w:r>
      <w:proofErr w:type="spellEnd"/>
      <w:r w:rsidR="00025315">
        <w:rPr>
          <w:b/>
          <w:bCs/>
          <w:color w:val="000000"/>
          <w:sz w:val="22"/>
          <w:szCs w:val="18"/>
        </w:rPr>
        <w:t xml:space="preserve"> </w:t>
      </w:r>
      <w:proofErr w:type="spellStart"/>
      <w:r w:rsidR="00025315">
        <w:rPr>
          <w:b/>
          <w:bCs/>
          <w:color w:val="000000"/>
          <w:sz w:val="22"/>
          <w:szCs w:val="18"/>
        </w:rPr>
        <w:t>сам</w:t>
      </w:r>
      <w:proofErr w:type="spellEnd"/>
      <w:r w:rsidR="00C24CAF">
        <w:rPr>
          <w:b/>
          <w:bCs/>
          <w:color w:val="000000"/>
          <w:sz w:val="22"/>
          <w:szCs w:val="18"/>
          <w:lang w:val="sr-Cyrl-RS"/>
        </w:rPr>
        <w:t>о</w:t>
      </w:r>
      <w:proofErr w:type="spellStart"/>
      <w:r w:rsidR="00025315">
        <w:rPr>
          <w:b/>
          <w:bCs/>
          <w:color w:val="000000"/>
          <w:sz w:val="22"/>
          <w:szCs w:val="18"/>
        </w:rPr>
        <w:t>управе</w:t>
      </w:r>
      <w:proofErr w:type="spellEnd"/>
      <w:r w:rsidR="00025315">
        <w:rPr>
          <w:b/>
          <w:bCs/>
          <w:color w:val="000000"/>
          <w:sz w:val="22"/>
          <w:szCs w:val="18"/>
        </w:rPr>
        <w:t xml:space="preserve"> </w:t>
      </w:r>
      <w:r w:rsidR="00025315" w:rsidRPr="00574465">
        <w:rPr>
          <w:b/>
          <w:bCs/>
          <w:color w:val="000000"/>
          <w:sz w:val="22"/>
          <w:szCs w:val="18"/>
        </w:rPr>
        <w:t xml:space="preserve">у </w:t>
      </w:r>
      <w:proofErr w:type="spellStart"/>
      <w:r w:rsidR="00025315" w:rsidRPr="00574465">
        <w:rPr>
          <w:b/>
          <w:bCs/>
          <w:color w:val="000000"/>
          <w:sz w:val="22"/>
          <w:szCs w:val="18"/>
        </w:rPr>
        <w:t>спровођењу</w:t>
      </w:r>
      <w:proofErr w:type="spellEnd"/>
      <w:r w:rsidR="00025315" w:rsidRPr="00574465">
        <w:rPr>
          <w:b/>
          <w:bCs/>
          <w:color w:val="000000"/>
          <w:sz w:val="22"/>
          <w:szCs w:val="18"/>
        </w:rPr>
        <w:t xml:space="preserve"> </w:t>
      </w:r>
      <w:proofErr w:type="spellStart"/>
      <w:r w:rsidR="00025315" w:rsidRPr="00574465">
        <w:rPr>
          <w:b/>
          <w:bCs/>
          <w:color w:val="000000"/>
          <w:sz w:val="22"/>
          <w:szCs w:val="18"/>
        </w:rPr>
        <w:t>мјера</w:t>
      </w:r>
      <w:proofErr w:type="spellEnd"/>
      <w:r w:rsidR="00025315" w:rsidRPr="00574465">
        <w:rPr>
          <w:b/>
          <w:bCs/>
          <w:color w:val="000000"/>
          <w:sz w:val="22"/>
          <w:szCs w:val="18"/>
        </w:rPr>
        <w:t xml:space="preserve"> </w:t>
      </w:r>
      <w:proofErr w:type="spellStart"/>
      <w:r w:rsidR="00025315" w:rsidRPr="00574465">
        <w:rPr>
          <w:b/>
          <w:bCs/>
          <w:color w:val="000000"/>
          <w:sz w:val="22"/>
          <w:szCs w:val="18"/>
        </w:rPr>
        <w:t>опоравка</w:t>
      </w:r>
      <w:proofErr w:type="spellEnd"/>
      <w:r w:rsidR="00025315" w:rsidRPr="00574465">
        <w:rPr>
          <w:b/>
          <w:bCs/>
          <w:color w:val="000000"/>
          <w:sz w:val="22"/>
          <w:szCs w:val="18"/>
        </w:rPr>
        <w:t xml:space="preserve"> </w:t>
      </w:r>
      <w:proofErr w:type="spellStart"/>
      <w:r w:rsidR="00025315" w:rsidRPr="00574465">
        <w:rPr>
          <w:b/>
          <w:bCs/>
          <w:color w:val="000000"/>
          <w:sz w:val="22"/>
          <w:szCs w:val="18"/>
        </w:rPr>
        <w:t>од</w:t>
      </w:r>
      <w:proofErr w:type="spellEnd"/>
      <w:r w:rsidR="00025315" w:rsidRPr="00574465">
        <w:rPr>
          <w:b/>
          <w:bCs/>
          <w:color w:val="000000"/>
          <w:sz w:val="22"/>
          <w:szCs w:val="18"/>
        </w:rPr>
        <w:t xml:space="preserve"> </w:t>
      </w:r>
      <w:proofErr w:type="spellStart"/>
      <w:r w:rsidR="00025315" w:rsidRPr="00574465">
        <w:rPr>
          <w:b/>
          <w:bCs/>
          <w:color w:val="000000"/>
          <w:sz w:val="22"/>
          <w:szCs w:val="18"/>
        </w:rPr>
        <w:t>кризе</w:t>
      </w:r>
      <w:proofErr w:type="spellEnd"/>
      <w:r w:rsidR="00C24CAF">
        <w:rPr>
          <w:rStyle w:val="FootnoteReference"/>
          <w:b/>
          <w:bCs/>
          <w:color w:val="000000"/>
          <w:sz w:val="22"/>
          <w:szCs w:val="18"/>
        </w:rPr>
        <w:footnoteReference w:id="16"/>
      </w:r>
      <w:r>
        <w:rPr>
          <w:b/>
          <w:bCs/>
          <w:color w:val="000000"/>
          <w:sz w:val="22"/>
          <w:szCs w:val="18"/>
          <w:lang w:val="sr-Cyrl-RS"/>
        </w:rPr>
        <w:t>.</w:t>
      </w:r>
      <w:r w:rsidR="00025315">
        <w:rPr>
          <w:b/>
          <w:bCs/>
          <w:color w:val="000000"/>
          <w:sz w:val="22"/>
          <w:szCs w:val="18"/>
          <w:lang w:val="sr-Cyrl-RS"/>
        </w:rPr>
        <w:t xml:space="preserve"> </w:t>
      </w:r>
    </w:p>
    <w:p w14:paraId="518653FB" w14:textId="4B7D6900" w:rsidR="00B638F9" w:rsidRPr="00CD6625" w:rsidRDefault="0003007A" w:rsidP="00BE2D03">
      <w:pPr>
        <w:spacing w:line="276" w:lineRule="auto"/>
        <w:jc w:val="both"/>
        <w:rPr>
          <w:bCs/>
          <w:sz w:val="20"/>
          <w:lang w:val="sr-Cyrl-RS" w:eastAsia="en-US"/>
        </w:rPr>
      </w:pPr>
      <w:r w:rsidRPr="00281985">
        <w:rPr>
          <w:bCs/>
          <w:sz w:val="22"/>
          <w:lang w:val="sr-Cyrl-BA" w:eastAsia="en-US"/>
        </w:rPr>
        <w:tab/>
      </w:r>
      <w:proofErr w:type="spellStart"/>
      <w:r w:rsidR="00696CF0">
        <w:rPr>
          <w:bCs/>
          <w:sz w:val="22"/>
          <w:lang w:val="sr-Cyrl-BA" w:eastAsia="en-US"/>
        </w:rPr>
        <w:t>Ивјештај</w:t>
      </w:r>
      <w:proofErr w:type="spellEnd"/>
      <w:r w:rsidRPr="00281985">
        <w:rPr>
          <w:bCs/>
          <w:sz w:val="22"/>
          <w:lang w:val="sr-Cyrl-BA" w:eastAsia="en-US"/>
        </w:rPr>
        <w:t xml:space="preserve"> </w:t>
      </w:r>
      <w:r w:rsidRPr="00281985">
        <w:rPr>
          <w:bCs/>
          <w:sz w:val="22"/>
          <w:lang w:val="en-US" w:eastAsia="en-US"/>
        </w:rPr>
        <w:t>NALAS</w:t>
      </w:r>
      <w:r w:rsidR="00C70E06" w:rsidRPr="00281985">
        <w:rPr>
          <w:bCs/>
          <w:sz w:val="22"/>
          <w:lang w:val="sr-Latn-RS" w:eastAsia="en-US"/>
        </w:rPr>
        <w:t>-a</w:t>
      </w:r>
      <w:r w:rsidR="00C70E06" w:rsidRPr="00281985">
        <w:rPr>
          <w:bCs/>
          <w:sz w:val="22"/>
          <w:lang w:val="sr-Cyrl-RS" w:eastAsia="en-US"/>
        </w:rPr>
        <w:t xml:space="preserve"> показује да се</w:t>
      </w:r>
      <w:r w:rsidR="00696CF0">
        <w:rPr>
          <w:bCs/>
          <w:sz w:val="22"/>
          <w:lang w:val="sr-Cyrl-RS" w:eastAsia="en-US"/>
        </w:rPr>
        <w:t>,</w:t>
      </w:r>
      <w:r w:rsidR="00C70E06" w:rsidRPr="00281985">
        <w:rPr>
          <w:bCs/>
          <w:sz w:val="22"/>
          <w:lang w:val="sr-Cyrl-RS" w:eastAsia="en-US"/>
        </w:rPr>
        <w:t xml:space="preserve"> из перспективе ЈЛС </w:t>
      </w:r>
      <w:r w:rsidR="006B7984">
        <w:rPr>
          <w:bCs/>
          <w:sz w:val="22"/>
          <w:lang w:val="sr-Cyrl-RS" w:eastAsia="en-US"/>
        </w:rPr>
        <w:t>из ЈИЕ</w:t>
      </w:r>
      <w:r w:rsidR="00696CF0">
        <w:rPr>
          <w:bCs/>
          <w:sz w:val="22"/>
          <w:lang w:val="sr-Cyrl-RS" w:eastAsia="en-US"/>
        </w:rPr>
        <w:t>,</w:t>
      </w:r>
      <w:r w:rsidR="006B7984">
        <w:rPr>
          <w:bCs/>
          <w:sz w:val="22"/>
          <w:lang w:val="sr-Cyrl-RS" w:eastAsia="en-US"/>
        </w:rPr>
        <w:t xml:space="preserve"> </w:t>
      </w:r>
      <w:r w:rsidRPr="00281985">
        <w:rPr>
          <w:bCs/>
          <w:sz w:val="22"/>
          <w:lang w:val="sr-Cyrl-RS" w:eastAsia="en-US"/>
        </w:rPr>
        <w:t>очекуј</w:t>
      </w:r>
      <w:r w:rsidR="00C24CAF">
        <w:rPr>
          <w:bCs/>
          <w:sz w:val="22"/>
          <w:lang w:val="sr-Cyrl-RS" w:eastAsia="en-US"/>
        </w:rPr>
        <w:t>у</w:t>
      </w:r>
      <w:r w:rsidRPr="00281985">
        <w:rPr>
          <w:bCs/>
          <w:sz w:val="22"/>
          <w:lang w:val="sr-Cyrl-RS" w:eastAsia="en-US"/>
        </w:rPr>
        <w:t xml:space="preserve"> од </w:t>
      </w:r>
      <w:r w:rsidR="00C24CAF">
        <w:rPr>
          <w:bCs/>
          <w:sz w:val="22"/>
          <w:lang w:val="sr-Cyrl-RS" w:eastAsia="en-US"/>
        </w:rPr>
        <w:t xml:space="preserve">виших нивоа власти и </w:t>
      </w:r>
      <w:r w:rsidRPr="00281985">
        <w:rPr>
          <w:bCs/>
          <w:sz w:val="22"/>
          <w:lang w:val="sr-Cyrl-RS" w:eastAsia="en-US"/>
        </w:rPr>
        <w:t>централ</w:t>
      </w:r>
      <w:r w:rsidR="00C70E06" w:rsidRPr="00281985">
        <w:rPr>
          <w:bCs/>
          <w:sz w:val="22"/>
          <w:lang w:val="sr-Cyrl-RS" w:eastAsia="en-US"/>
        </w:rPr>
        <w:t xml:space="preserve">них влада </w:t>
      </w:r>
      <w:r w:rsidRPr="00281985">
        <w:rPr>
          <w:bCs/>
          <w:sz w:val="22"/>
          <w:lang w:val="sr-Cyrl-RS" w:eastAsia="en-US"/>
        </w:rPr>
        <w:t>добро планиране и циљане политике</w:t>
      </w:r>
      <w:r w:rsidR="004C5830" w:rsidRPr="00281985">
        <w:rPr>
          <w:bCs/>
          <w:sz w:val="22"/>
          <w:lang w:val="sr-Cyrl-RS" w:eastAsia="en-US"/>
        </w:rPr>
        <w:t xml:space="preserve">, као кључне за </w:t>
      </w:r>
      <w:proofErr w:type="spellStart"/>
      <w:r w:rsidR="004C5830" w:rsidRPr="00281985">
        <w:rPr>
          <w:bCs/>
          <w:sz w:val="22"/>
          <w:lang w:val="sr-Cyrl-RS" w:eastAsia="en-US"/>
        </w:rPr>
        <w:t>социо</w:t>
      </w:r>
      <w:proofErr w:type="spellEnd"/>
      <w:r w:rsidR="004C5830" w:rsidRPr="00281985">
        <w:rPr>
          <w:bCs/>
          <w:sz w:val="22"/>
          <w:lang w:val="sr-Cyrl-RS" w:eastAsia="en-US"/>
        </w:rPr>
        <w:t>-екон</w:t>
      </w:r>
      <w:r w:rsidR="00C70E06" w:rsidRPr="00281985">
        <w:rPr>
          <w:bCs/>
          <w:sz w:val="22"/>
          <w:lang w:val="sr-Cyrl-RS" w:eastAsia="en-US"/>
        </w:rPr>
        <w:t>омски опоравак</w:t>
      </w:r>
      <w:r w:rsidR="004C5830" w:rsidRPr="00281985">
        <w:rPr>
          <w:bCs/>
          <w:sz w:val="22"/>
          <w:lang w:val="sr-Cyrl-RS" w:eastAsia="en-US"/>
        </w:rPr>
        <w:t xml:space="preserve">. Сматра </w:t>
      </w:r>
      <w:r w:rsidR="004C5830" w:rsidRPr="00281985">
        <w:rPr>
          <w:bCs/>
          <w:sz w:val="22"/>
          <w:lang w:val="sr-Cyrl-RS" w:eastAsia="en-US"/>
        </w:rPr>
        <w:lastRenderedPageBreak/>
        <w:t>се да треба повећати степен консултација између централне владе и ЈЛС. Као битно питање истиче се функционална и финансијска дец</w:t>
      </w:r>
      <w:r w:rsidR="00C70E06" w:rsidRPr="00281985">
        <w:rPr>
          <w:bCs/>
          <w:sz w:val="22"/>
          <w:lang w:val="sr-Cyrl-RS" w:eastAsia="en-US"/>
        </w:rPr>
        <w:t>е</w:t>
      </w:r>
      <w:r w:rsidR="004C5830" w:rsidRPr="00281985">
        <w:rPr>
          <w:bCs/>
          <w:sz w:val="22"/>
          <w:lang w:val="sr-Cyrl-RS" w:eastAsia="en-US"/>
        </w:rPr>
        <w:t>нтрализација и флексибилнија правила за</w:t>
      </w:r>
      <w:r w:rsidR="00C70E06" w:rsidRPr="00281985">
        <w:rPr>
          <w:bCs/>
          <w:sz w:val="22"/>
          <w:lang w:val="sr-Cyrl-RS" w:eastAsia="en-US"/>
        </w:rPr>
        <w:t xml:space="preserve"> задуживање. Такође, сматра се </w:t>
      </w:r>
      <w:r w:rsidR="004C5830" w:rsidRPr="00281985">
        <w:rPr>
          <w:bCs/>
          <w:sz w:val="22"/>
          <w:lang w:val="sr-Cyrl-RS" w:eastAsia="en-US"/>
        </w:rPr>
        <w:t xml:space="preserve">да влада </w:t>
      </w:r>
      <w:r w:rsidR="00C70E06" w:rsidRPr="00281985">
        <w:rPr>
          <w:bCs/>
          <w:sz w:val="22"/>
          <w:lang w:val="sr-Cyrl-RS" w:eastAsia="en-US"/>
        </w:rPr>
        <w:t xml:space="preserve">треба да </w:t>
      </w:r>
      <w:proofErr w:type="spellStart"/>
      <w:r w:rsidR="004C5830" w:rsidRPr="00281985">
        <w:rPr>
          <w:bCs/>
          <w:sz w:val="22"/>
          <w:lang w:val="sr-Cyrl-RS" w:eastAsia="en-US"/>
        </w:rPr>
        <w:t>обезбједи</w:t>
      </w:r>
      <w:proofErr w:type="spellEnd"/>
      <w:r w:rsidR="004C5830" w:rsidRPr="00281985">
        <w:rPr>
          <w:bCs/>
          <w:sz w:val="22"/>
          <w:lang w:val="sr-Cyrl-RS" w:eastAsia="en-US"/>
        </w:rPr>
        <w:t xml:space="preserve"> и </w:t>
      </w:r>
      <w:proofErr w:type="spellStart"/>
      <w:r w:rsidR="004C5830" w:rsidRPr="00281985">
        <w:rPr>
          <w:bCs/>
          <w:sz w:val="22"/>
          <w:lang w:val="sr-Cyrl-RS" w:eastAsia="en-US"/>
        </w:rPr>
        <w:t>алоцира</w:t>
      </w:r>
      <w:proofErr w:type="spellEnd"/>
      <w:r w:rsidR="004C5830" w:rsidRPr="00281985">
        <w:rPr>
          <w:bCs/>
          <w:sz w:val="22"/>
          <w:lang w:val="sr-Cyrl-RS" w:eastAsia="en-US"/>
        </w:rPr>
        <w:t xml:space="preserve"> више средстава за </w:t>
      </w:r>
      <w:proofErr w:type="spellStart"/>
      <w:r w:rsidR="004C5830" w:rsidRPr="00281985">
        <w:rPr>
          <w:bCs/>
          <w:sz w:val="22"/>
          <w:lang w:val="sr-Cyrl-RS" w:eastAsia="en-US"/>
        </w:rPr>
        <w:t>социо</w:t>
      </w:r>
      <w:proofErr w:type="spellEnd"/>
      <w:r w:rsidR="004C5830" w:rsidRPr="00281985">
        <w:rPr>
          <w:bCs/>
          <w:sz w:val="22"/>
          <w:lang w:val="sr-Cyrl-RS" w:eastAsia="en-US"/>
        </w:rPr>
        <w:t>-екон</w:t>
      </w:r>
      <w:r w:rsidR="00C70E06" w:rsidRPr="00281985">
        <w:rPr>
          <w:bCs/>
          <w:sz w:val="22"/>
          <w:lang w:val="sr-Cyrl-RS" w:eastAsia="en-US"/>
        </w:rPr>
        <w:t>омски опоравак за локални ниво власти  и привреду</w:t>
      </w:r>
      <w:r w:rsidR="004C5830" w:rsidRPr="00281985">
        <w:rPr>
          <w:bCs/>
          <w:sz w:val="22"/>
          <w:lang w:val="sr-Cyrl-RS" w:eastAsia="en-US"/>
        </w:rPr>
        <w:t xml:space="preserve">, кроз различите финансијске </w:t>
      </w:r>
      <w:proofErr w:type="spellStart"/>
      <w:r w:rsidR="004C5830" w:rsidRPr="00281985">
        <w:rPr>
          <w:bCs/>
          <w:sz w:val="22"/>
          <w:lang w:val="sr-Cyrl-RS" w:eastAsia="en-US"/>
        </w:rPr>
        <w:t>инст</w:t>
      </w:r>
      <w:r w:rsidR="00C70E06" w:rsidRPr="00281985">
        <w:rPr>
          <w:bCs/>
          <w:sz w:val="22"/>
          <w:lang w:val="sr-Cyrl-RS" w:eastAsia="en-US"/>
        </w:rPr>
        <w:t>р</w:t>
      </w:r>
      <w:r w:rsidR="004C5830" w:rsidRPr="00281985">
        <w:rPr>
          <w:bCs/>
          <w:sz w:val="22"/>
          <w:lang w:val="sr-Cyrl-RS" w:eastAsia="en-US"/>
        </w:rPr>
        <w:t>урменте</w:t>
      </w:r>
      <w:proofErr w:type="spellEnd"/>
      <w:r w:rsidR="004C5830" w:rsidRPr="00281985">
        <w:rPr>
          <w:bCs/>
          <w:sz w:val="22"/>
          <w:lang w:val="sr-Cyrl-RS" w:eastAsia="en-US"/>
        </w:rPr>
        <w:t>.</w:t>
      </w:r>
      <w:r w:rsidR="00FE0E01" w:rsidRPr="00281985">
        <w:rPr>
          <w:bCs/>
          <w:sz w:val="22"/>
          <w:lang w:val="sr-Cyrl-RS" w:eastAsia="en-US"/>
        </w:rPr>
        <w:t xml:space="preserve"> Локалне самоуправе очекују да централне власти пруже помоћ у обнављању </w:t>
      </w:r>
      <w:r w:rsidR="00FE0E01" w:rsidRPr="00281985">
        <w:rPr>
          <w:bCs/>
          <w:sz w:val="22"/>
          <w:lang w:val="en-US" w:eastAsia="en-US"/>
        </w:rPr>
        <w:t>IT</w:t>
      </w:r>
      <w:r w:rsidR="00FE0E01" w:rsidRPr="00281985">
        <w:rPr>
          <w:bCs/>
          <w:sz w:val="22"/>
          <w:lang w:val="sr-Cyrl-RS" w:eastAsia="en-US"/>
        </w:rPr>
        <w:t xml:space="preserve"> </w:t>
      </w:r>
      <w:proofErr w:type="spellStart"/>
      <w:r w:rsidR="00FE0E01" w:rsidRPr="00281985">
        <w:rPr>
          <w:bCs/>
          <w:sz w:val="22"/>
          <w:lang w:val="sr-Cyrl-RS" w:eastAsia="en-US"/>
        </w:rPr>
        <w:t>инфраст</w:t>
      </w:r>
      <w:proofErr w:type="spellEnd"/>
      <w:r w:rsidR="00FE0E01" w:rsidRPr="00281985">
        <w:rPr>
          <w:bCs/>
          <w:sz w:val="22"/>
          <w:lang w:val="sr-Latn-RS" w:eastAsia="en-US"/>
        </w:rPr>
        <w:t>r</w:t>
      </w:r>
      <w:r w:rsidR="00FE0E01" w:rsidRPr="00281985">
        <w:rPr>
          <w:bCs/>
          <w:sz w:val="22"/>
          <w:lang w:val="sr-Cyrl-RS" w:eastAsia="en-US"/>
        </w:rPr>
        <w:t xml:space="preserve">укруте и повећају капацитете и </w:t>
      </w:r>
      <w:proofErr w:type="spellStart"/>
      <w:r w:rsidR="00FE0E01" w:rsidRPr="00281985">
        <w:rPr>
          <w:bCs/>
          <w:sz w:val="22"/>
          <w:lang w:val="sr-Cyrl-RS" w:eastAsia="en-US"/>
        </w:rPr>
        <w:t>вј</w:t>
      </w:r>
      <w:r w:rsidR="00C70E06" w:rsidRPr="00281985">
        <w:rPr>
          <w:bCs/>
          <w:sz w:val="22"/>
          <w:lang w:val="sr-Cyrl-RS" w:eastAsia="en-US"/>
        </w:rPr>
        <w:t>еш</w:t>
      </w:r>
      <w:r w:rsidR="00FE0E01" w:rsidRPr="00281985">
        <w:rPr>
          <w:bCs/>
          <w:sz w:val="22"/>
          <w:lang w:val="sr-Cyrl-RS" w:eastAsia="en-US"/>
        </w:rPr>
        <w:t>тине</w:t>
      </w:r>
      <w:proofErr w:type="spellEnd"/>
      <w:r w:rsidR="00FE0E01" w:rsidRPr="00281985">
        <w:rPr>
          <w:bCs/>
          <w:sz w:val="22"/>
          <w:lang w:val="sr-Cyrl-RS" w:eastAsia="en-US"/>
        </w:rPr>
        <w:t xml:space="preserve"> свих јавних службеника у области кризног менаџмента.</w:t>
      </w:r>
      <w:r w:rsidR="006259B7">
        <w:rPr>
          <w:bCs/>
          <w:sz w:val="22"/>
          <w:lang w:val="sr-Cyrl-RS" w:eastAsia="en-US"/>
        </w:rPr>
        <w:t xml:space="preserve"> Од анкетираних ЈЛС из РС, </w:t>
      </w:r>
      <w:r w:rsidR="00696DFD">
        <w:rPr>
          <w:bCs/>
          <w:sz w:val="22"/>
          <w:lang w:val="sr-Cyrl-RS" w:eastAsia="en-US"/>
        </w:rPr>
        <w:t xml:space="preserve">према </w:t>
      </w:r>
      <w:proofErr w:type="spellStart"/>
      <w:r w:rsidR="00696DFD">
        <w:rPr>
          <w:bCs/>
          <w:sz w:val="22"/>
          <w:lang w:val="sr-Cyrl-RS" w:eastAsia="en-US"/>
        </w:rPr>
        <w:t>Извјештају</w:t>
      </w:r>
      <w:proofErr w:type="spellEnd"/>
      <w:r w:rsidR="00696DFD">
        <w:rPr>
          <w:bCs/>
          <w:sz w:val="22"/>
          <w:lang w:val="sr-Cyrl-RS" w:eastAsia="en-US"/>
        </w:rPr>
        <w:t xml:space="preserve"> </w:t>
      </w:r>
      <w:r w:rsidR="00696DFD">
        <w:rPr>
          <w:bCs/>
          <w:sz w:val="22"/>
          <w:lang w:val="sr-Latn-RS" w:eastAsia="en-US"/>
        </w:rPr>
        <w:t>N</w:t>
      </w:r>
      <w:r w:rsidR="00696DFD">
        <w:rPr>
          <w:bCs/>
          <w:sz w:val="22"/>
          <w:lang w:val="en-US" w:eastAsia="en-US"/>
        </w:rPr>
        <w:t>ALAS</w:t>
      </w:r>
      <w:r w:rsidR="00696DFD">
        <w:rPr>
          <w:bCs/>
          <w:sz w:val="22"/>
          <w:lang w:val="sr-Latn-RS" w:eastAsia="en-US"/>
        </w:rPr>
        <w:t xml:space="preserve">-a, </w:t>
      </w:r>
      <w:r w:rsidR="006259B7">
        <w:rPr>
          <w:bCs/>
          <w:sz w:val="22"/>
          <w:lang w:val="sr-Cyrl-RS" w:eastAsia="en-US"/>
        </w:rPr>
        <w:t xml:space="preserve">2/3 сматра да су од низа </w:t>
      </w:r>
      <w:proofErr w:type="spellStart"/>
      <w:r w:rsidR="006259B7">
        <w:rPr>
          <w:bCs/>
          <w:sz w:val="22"/>
          <w:lang w:val="sr-Cyrl-RS" w:eastAsia="en-US"/>
        </w:rPr>
        <w:t>мјера</w:t>
      </w:r>
      <w:proofErr w:type="spellEnd"/>
      <w:r w:rsidR="006259B7">
        <w:rPr>
          <w:bCs/>
          <w:sz w:val="22"/>
          <w:lang w:val="sr-Cyrl-RS" w:eastAsia="en-US"/>
        </w:rPr>
        <w:t xml:space="preserve">, које влада треба да предузме како би подржала локалне самоуправе, најкорисније сљедеће: јасна координација између нивоа власти, формирање адекватних финансијских фондова и </w:t>
      </w:r>
      <w:proofErr w:type="spellStart"/>
      <w:r w:rsidR="006259B7">
        <w:rPr>
          <w:bCs/>
          <w:sz w:val="22"/>
          <w:lang w:val="sr-Cyrl-RS" w:eastAsia="en-US"/>
        </w:rPr>
        <w:t>обезбјеђење</w:t>
      </w:r>
      <w:proofErr w:type="spellEnd"/>
      <w:r w:rsidR="006259B7">
        <w:rPr>
          <w:bCs/>
          <w:sz w:val="22"/>
          <w:lang w:val="sr-Cyrl-RS" w:eastAsia="en-US"/>
        </w:rPr>
        <w:t xml:space="preserve"> више јавних инвестиционих </w:t>
      </w:r>
      <w:proofErr w:type="spellStart"/>
      <w:r w:rsidR="006259B7">
        <w:rPr>
          <w:bCs/>
          <w:sz w:val="22"/>
          <w:lang w:val="sr-Cyrl-RS" w:eastAsia="en-US"/>
        </w:rPr>
        <w:t>мјера</w:t>
      </w:r>
      <w:proofErr w:type="spellEnd"/>
      <w:r w:rsidR="006259B7">
        <w:rPr>
          <w:bCs/>
          <w:sz w:val="22"/>
          <w:lang w:val="sr-Cyrl-RS" w:eastAsia="en-US"/>
        </w:rPr>
        <w:t>.</w:t>
      </w:r>
      <w:r w:rsidR="004C5830" w:rsidRPr="00281985">
        <w:rPr>
          <w:bCs/>
          <w:sz w:val="22"/>
          <w:lang w:val="sr-Cyrl-RS" w:eastAsia="en-US"/>
        </w:rPr>
        <w:t xml:space="preserve">  </w:t>
      </w:r>
    </w:p>
    <w:p w14:paraId="40100F4C" w14:textId="6D503B91" w:rsidR="00CF1357" w:rsidRDefault="00CF1357" w:rsidP="00CD6625">
      <w:pPr>
        <w:spacing w:line="276" w:lineRule="auto"/>
        <w:ind w:firstLine="709"/>
        <w:jc w:val="both"/>
        <w:rPr>
          <w:b/>
          <w:bCs/>
          <w:sz w:val="22"/>
          <w:lang w:val="sr-Cyrl-BA" w:eastAsia="en-US"/>
        </w:rPr>
      </w:pPr>
    </w:p>
    <w:p w14:paraId="29509F73" w14:textId="21865B05" w:rsidR="0003007A" w:rsidRDefault="00CF1357" w:rsidP="00CD6625">
      <w:pPr>
        <w:spacing w:line="276" w:lineRule="auto"/>
        <w:ind w:firstLine="709"/>
        <w:jc w:val="both"/>
        <w:rPr>
          <w:b/>
          <w:bCs/>
          <w:sz w:val="22"/>
          <w:lang w:val="sr-Cyrl-BA" w:eastAsia="en-US"/>
        </w:rPr>
      </w:pPr>
      <w:r>
        <w:rPr>
          <w:b/>
          <w:bCs/>
          <w:sz w:val="22"/>
          <w:lang w:val="sr-Cyrl-BA" w:eastAsia="en-US"/>
        </w:rPr>
        <w:t xml:space="preserve">-Активности </w:t>
      </w:r>
      <w:r w:rsidR="00CD6625" w:rsidRPr="00CD6625">
        <w:rPr>
          <w:b/>
          <w:bCs/>
          <w:sz w:val="22"/>
          <w:lang w:val="sr-Cyrl-BA" w:eastAsia="en-US"/>
        </w:rPr>
        <w:t>локалн</w:t>
      </w:r>
      <w:r>
        <w:rPr>
          <w:b/>
          <w:bCs/>
          <w:sz w:val="22"/>
          <w:lang w:val="sr-Cyrl-BA" w:eastAsia="en-US"/>
        </w:rPr>
        <w:t>их</w:t>
      </w:r>
      <w:r w:rsidR="00CD6625" w:rsidRPr="00CD6625">
        <w:rPr>
          <w:b/>
          <w:bCs/>
          <w:sz w:val="22"/>
          <w:lang w:val="sr-Cyrl-BA" w:eastAsia="en-US"/>
        </w:rPr>
        <w:t xml:space="preserve"> самоуправ</w:t>
      </w:r>
      <w:r>
        <w:rPr>
          <w:b/>
          <w:bCs/>
          <w:sz w:val="22"/>
          <w:lang w:val="sr-Cyrl-BA" w:eastAsia="en-US"/>
        </w:rPr>
        <w:t>а</w:t>
      </w:r>
      <w:r w:rsidR="00CD6625" w:rsidRPr="00CD6625">
        <w:rPr>
          <w:b/>
          <w:bCs/>
          <w:sz w:val="22"/>
          <w:lang w:val="sr-Cyrl-BA" w:eastAsia="en-US"/>
        </w:rPr>
        <w:t xml:space="preserve"> </w:t>
      </w:r>
      <w:r>
        <w:rPr>
          <w:b/>
          <w:bCs/>
          <w:sz w:val="22"/>
          <w:lang w:val="sr-Cyrl-BA" w:eastAsia="en-US"/>
        </w:rPr>
        <w:t xml:space="preserve"> на </w:t>
      </w:r>
      <w:r w:rsidR="00CD6625" w:rsidRPr="00CD6625">
        <w:rPr>
          <w:b/>
          <w:bCs/>
          <w:sz w:val="22"/>
          <w:lang w:val="sr-Cyrl-BA" w:eastAsia="en-US"/>
        </w:rPr>
        <w:t>пруж</w:t>
      </w:r>
      <w:r>
        <w:rPr>
          <w:b/>
          <w:bCs/>
          <w:sz w:val="22"/>
          <w:lang w:val="sr-Cyrl-BA" w:eastAsia="en-US"/>
        </w:rPr>
        <w:t>ању</w:t>
      </w:r>
      <w:r w:rsidR="00CD6625" w:rsidRPr="00CD6625">
        <w:rPr>
          <w:b/>
          <w:bCs/>
          <w:sz w:val="22"/>
          <w:lang w:val="sr-Cyrl-BA" w:eastAsia="en-US"/>
        </w:rPr>
        <w:t xml:space="preserve"> проактивн</w:t>
      </w:r>
      <w:r>
        <w:rPr>
          <w:b/>
          <w:bCs/>
          <w:sz w:val="22"/>
          <w:lang w:val="sr-Cyrl-BA" w:eastAsia="en-US"/>
        </w:rPr>
        <w:t>е</w:t>
      </w:r>
      <w:r w:rsidR="00CD6625" w:rsidRPr="00CD6625">
        <w:rPr>
          <w:b/>
          <w:bCs/>
          <w:sz w:val="22"/>
          <w:lang w:val="sr-Cyrl-BA" w:eastAsia="en-US"/>
        </w:rPr>
        <w:t xml:space="preserve"> подршк</w:t>
      </w:r>
      <w:r>
        <w:rPr>
          <w:b/>
          <w:bCs/>
          <w:sz w:val="22"/>
          <w:lang w:val="sr-Cyrl-BA" w:eastAsia="en-US"/>
        </w:rPr>
        <w:t>е</w:t>
      </w:r>
      <w:r w:rsidR="00CD6625" w:rsidRPr="00CD6625">
        <w:rPr>
          <w:b/>
          <w:bCs/>
          <w:sz w:val="22"/>
          <w:lang w:val="sr-Cyrl-BA" w:eastAsia="en-US"/>
        </w:rPr>
        <w:t xml:space="preserve"> својим заједницама</w:t>
      </w:r>
      <w:r>
        <w:rPr>
          <w:b/>
          <w:bCs/>
          <w:sz w:val="22"/>
          <w:lang w:val="sr-Cyrl-BA" w:eastAsia="en-US"/>
        </w:rPr>
        <w:t xml:space="preserve"> у кратком и средњем року</w:t>
      </w:r>
      <w:r w:rsidR="00C24CAF">
        <w:rPr>
          <w:rStyle w:val="FootnoteReference"/>
          <w:b/>
          <w:bCs/>
          <w:sz w:val="22"/>
          <w:lang w:val="sr-Cyrl-BA" w:eastAsia="en-US"/>
        </w:rPr>
        <w:footnoteReference w:id="17"/>
      </w:r>
      <w:r>
        <w:rPr>
          <w:b/>
          <w:bCs/>
          <w:sz w:val="22"/>
          <w:lang w:val="sr-Cyrl-BA" w:eastAsia="en-US"/>
        </w:rPr>
        <w:t>.</w:t>
      </w:r>
    </w:p>
    <w:p w14:paraId="1501BB66" w14:textId="77777777" w:rsidR="00B638F9" w:rsidRDefault="00B638F9" w:rsidP="00CD6625">
      <w:pPr>
        <w:spacing w:line="276" w:lineRule="auto"/>
        <w:ind w:firstLine="709"/>
        <w:jc w:val="both"/>
        <w:rPr>
          <w:b/>
          <w:bCs/>
          <w:sz w:val="22"/>
          <w:lang w:val="sr-Cyrl-BA" w:eastAsia="en-US"/>
        </w:rPr>
      </w:pPr>
    </w:p>
    <w:p w14:paraId="0C4367CF" w14:textId="6DCE1A51" w:rsidR="002E5F12" w:rsidRPr="002D28EA" w:rsidRDefault="0076299B" w:rsidP="002E5F12">
      <w:pPr>
        <w:tabs>
          <w:tab w:val="left" w:pos="1065"/>
        </w:tabs>
        <w:spacing w:line="276" w:lineRule="auto"/>
        <w:jc w:val="both"/>
        <w:rPr>
          <w:bCs/>
          <w:sz w:val="22"/>
          <w:lang w:val="sr-Cyrl-BA" w:eastAsia="en-US"/>
        </w:rPr>
      </w:pPr>
      <w:r>
        <w:rPr>
          <w:bCs/>
          <w:sz w:val="22"/>
          <w:lang w:val="sr-Cyrl-BA" w:eastAsia="en-US"/>
        </w:rPr>
        <w:tab/>
      </w:r>
      <w:r w:rsidR="002D28EA">
        <w:rPr>
          <w:bCs/>
          <w:sz w:val="22"/>
          <w:lang w:val="sr-Cyrl-RS" w:eastAsia="en-US"/>
        </w:rPr>
        <w:t xml:space="preserve">У </w:t>
      </w:r>
      <w:proofErr w:type="spellStart"/>
      <w:r w:rsidR="002D28EA">
        <w:rPr>
          <w:bCs/>
          <w:sz w:val="22"/>
          <w:lang w:val="sr-Cyrl-RS" w:eastAsia="en-US"/>
        </w:rPr>
        <w:t>Извјештају</w:t>
      </w:r>
      <w:proofErr w:type="spellEnd"/>
      <w:r w:rsidR="002D28EA">
        <w:rPr>
          <w:bCs/>
          <w:sz w:val="22"/>
          <w:lang w:val="sr-Cyrl-RS" w:eastAsia="en-US"/>
        </w:rPr>
        <w:t xml:space="preserve"> </w:t>
      </w:r>
      <w:r w:rsidR="002D28EA">
        <w:rPr>
          <w:bCs/>
          <w:sz w:val="22"/>
          <w:lang w:val="en-US" w:eastAsia="en-US"/>
        </w:rPr>
        <w:t>NALAS</w:t>
      </w:r>
      <w:r w:rsidR="002D28EA">
        <w:rPr>
          <w:bCs/>
          <w:sz w:val="22"/>
          <w:lang w:val="sr-Latn-RS" w:eastAsia="en-US"/>
        </w:rPr>
        <w:t xml:space="preserve">-a, </w:t>
      </w:r>
      <w:r w:rsidR="002D28EA">
        <w:rPr>
          <w:bCs/>
          <w:sz w:val="22"/>
          <w:lang w:val="sr-Cyrl-RS" w:eastAsia="en-US"/>
        </w:rPr>
        <w:t>тачка</w:t>
      </w:r>
      <w:r w:rsidR="002D28EA">
        <w:rPr>
          <w:bCs/>
          <w:sz w:val="22"/>
          <w:lang w:val="sr-Latn-RS" w:eastAsia="en-US"/>
        </w:rPr>
        <w:t xml:space="preserve"> 6</w:t>
      </w:r>
      <w:r w:rsidR="002D28EA">
        <w:rPr>
          <w:bCs/>
          <w:sz w:val="22"/>
          <w:lang w:val="sr-Cyrl-RS" w:eastAsia="en-US"/>
        </w:rPr>
        <w:t>.</w:t>
      </w:r>
      <w:r w:rsidR="002D28EA">
        <w:rPr>
          <w:bCs/>
          <w:sz w:val="22"/>
          <w:lang w:val="sr-Latn-RS" w:eastAsia="en-US"/>
        </w:rPr>
        <w:t>1</w:t>
      </w:r>
      <w:r w:rsidR="002D28EA">
        <w:rPr>
          <w:bCs/>
          <w:sz w:val="22"/>
          <w:lang w:val="sr-Cyrl-RS" w:eastAsia="en-US"/>
        </w:rPr>
        <w:t>. дат је сумарни преглед активности к</w:t>
      </w:r>
      <w:r w:rsidR="002D28EA" w:rsidRPr="002D28EA">
        <w:rPr>
          <w:bCs/>
          <w:sz w:val="22"/>
          <w:lang w:val="sr-Cyrl-RS" w:eastAsia="en-US"/>
        </w:rPr>
        <w:t xml:space="preserve">оје </w:t>
      </w:r>
      <w:r w:rsidR="002D28EA" w:rsidRPr="002D28EA">
        <w:rPr>
          <w:bCs/>
          <w:sz w:val="22"/>
          <w:lang w:val="sr-Cyrl-BA" w:eastAsia="en-US"/>
        </w:rPr>
        <w:t>локалне самоуправе могу да пруже као подршку својим заједницама у кратком и средњем року</w:t>
      </w:r>
      <w:r w:rsidR="002E5F12" w:rsidRPr="002D28EA">
        <w:rPr>
          <w:bCs/>
          <w:sz w:val="22"/>
          <w:lang w:val="sr-Cyrl-BA" w:eastAsia="en-US"/>
        </w:rPr>
        <w:t>,</w:t>
      </w:r>
      <w:r w:rsidR="002D28EA">
        <w:rPr>
          <w:bCs/>
          <w:sz w:val="22"/>
          <w:lang w:val="sr-Cyrl-BA" w:eastAsia="en-US"/>
        </w:rPr>
        <w:t xml:space="preserve"> од чега се најзначајније наводе у наставку, у смислу, прихватљивости за наше ЈЛС</w:t>
      </w:r>
      <w:r w:rsidR="006D03B1" w:rsidRPr="002D28EA">
        <w:rPr>
          <w:bCs/>
          <w:sz w:val="22"/>
          <w:lang w:val="sr-Cyrl-BA" w:eastAsia="en-US"/>
        </w:rPr>
        <w:t xml:space="preserve">: </w:t>
      </w:r>
      <w:r w:rsidR="002E5F12" w:rsidRPr="002D28EA">
        <w:rPr>
          <w:bCs/>
          <w:sz w:val="22"/>
          <w:lang w:val="sr-Cyrl-BA" w:eastAsia="en-US"/>
        </w:rPr>
        <w:t xml:space="preserve"> </w:t>
      </w:r>
    </w:p>
    <w:p w14:paraId="10F21644" w14:textId="39F2BCE8"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w:t>
      </w:r>
      <w:r w:rsidR="002D28EA">
        <w:rPr>
          <w:bCs/>
          <w:sz w:val="22"/>
          <w:lang w:val="sr-Cyrl-BA" w:eastAsia="en-US"/>
        </w:rPr>
        <w:t>проводити континуиране активности на очувању јавног здравља (</w:t>
      </w:r>
      <w:r w:rsidR="002E5F12" w:rsidRPr="002E5F12">
        <w:rPr>
          <w:bCs/>
          <w:sz w:val="22"/>
          <w:lang w:val="sr-Cyrl-BA" w:eastAsia="en-US"/>
        </w:rPr>
        <w:t xml:space="preserve">санације/дезинфекције јавних </w:t>
      </w:r>
      <w:r w:rsidR="002D28EA">
        <w:rPr>
          <w:bCs/>
          <w:sz w:val="22"/>
          <w:lang w:val="sr-Cyrl-BA" w:eastAsia="en-US"/>
        </w:rPr>
        <w:t>простора) и информисање</w:t>
      </w:r>
      <w:r w:rsidR="002E5F12" w:rsidRPr="002E5F12">
        <w:rPr>
          <w:bCs/>
          <w:sz w:val="22"/>
          <w:lang w:val="sr-Cyrl-BA" w:eastAsia="en-US"/>
        </w:rPr>
        <w:t xml:space="preserve"> грађана о хигијенским мјерама,</w:t>
      </w:r>
      <w:r w:rsidR="002E5F12" w:rsidRPr="002E5F12">
        <w:rPr>
          <w:bCs/>
          <w:sz w:val="22"/>
          <w:lang w:val="en-US" w:eastAsia="en-US"/>
        </w:rPr>
        <w:t xml:space="preserve"> </w:t>
      </w:r>
      <w:r w:rsidR="002E5F12" w:rsidRPr="002E5F12">
        <w:rPr>
          <w:bCs/>
          <w:sz w:val="22"/>
          <w:lang w:val="sr-Cyrl-RS" w:eastAsia="en-US"/>
        </w:rPr>
        <w:t xml:space="preserve">те </w:t>
      </w:r>
      <w:proofErr w:type="spellStart"/>
      <w:r w:rsidR="002D28EA">
        <w:rPr>
          <w:bCs/>
          <w:sz w:val="22"/>
          <w:lang w:val="sr-Cyrl-BA" w:eastAsia="en-US"/>
        </w:rPr>
        <w:t>помогање</w:t>
      </w:r>
      <w:proofErr w:type="spellEnd"/>
      <w:r w:rsidR="002E5F12" w:rsidRPr="002E5F12">
        <w:rPr>
          <w:bCs/>
          <w:sz w:val="22"/>
          <w:lang w:val="sr-Cyrl-BA" w:eastAsia="en-US"/>
        </w:rPr>
        <w:t xml:space="preserve"> </w:t>
      </w:r>
      <w:r w:rsidR="002D28EA">
        <w:rPr>
          <w:bCs/>
          <w:sz w:val="22"/>
          <w:lang w:val="sr-Cyrl-BA" w:eastAsia="en-US"/>
        </w:rPr>
        <w:t xml:space="preserve">другим институцијама </w:t>
      </w:r>
      <w:r w:rsidR="002E5F12" w:rsidRPr="002E5F12">
        <w:rPr>
          <w:bCs/>
          <w:sz w:val="22"/>
          <w:lang w:val="sr-Cyrl-BA" w:eastAsia="en-US"/>
        </w:rPr>
        <w:t xml:space="preserve">у </w:t>
      </w:r>
      <w:r w:rsidR="002D28EA">
        <w:rPr>
          <w:bCs/>
          <w:sz w:val="22"/>
          <w:lang w:val="sr-Cyrl-BA" w:eastAsia="en-US"/>
        </w:rPr>
        <w:t>циљу подизања</w:t>
      </w:r>
      <w:r w:rsidR="002E5F12" w:rsidRPr="002E5F12">
        <w:rPr>
          <w:bCs/>
          <w:sz w:val="22"/>
          <w:lang w:val="sr-Cyrl-BA" w:eastAsia="en-US"/>
        </w:rPr>
        <w:t xml:space="preserve"> св</w:t>
      </w:r>
      <w:r w:rsidR="002D28EA">
        <w:rPr>
          <w:bCs/>
          <w:sz w:val="22"/>
          <w:lang w:val="sr-Cyrl-BA" w:eastAsia="en-US"/>
        </w:rPr>
        <w:t>и</w:t>
      </w:r>
      <w:r w:rsidR="002E5F12" w:rsidRPr="002E5F12">
        <w:rPr>
          <w:bCs/>
          <w:sz w:val="22"/>
          <w:lang w:val="sr-Cyrl-BA" w:eastAsia="en-US"/>
        </w:rPr>
        <w:t>јести грађана</w:t>
      </w:r>
      <w:r w:rsidR="002D28EA">
        <w:rPr>
          <w:bCs/>
          <w:sz w:val="22"/>
          <w:lang w:val="sr-Cyrl-BA" w:eastAsia="en-US"/>
        </w:rPr>
        <w:t xml:space="preserve"> о значају поштовања хигијенских и других мјера</w:t>
      </w:r>
      <w:r w:rsidR="002E5F12" w:rsidRPr="002E5F12">
        <w:rPr>
          <w:bCs/>
          <w:sz w:val="22"/>
          <w:lang w:val="sr-Cyrl-BA" w:eastAsia="en-US"/>
        </w:rPr>
        <w:t>,</w:t>
      </w:r>
    </w:p>
    <w:p w14:paraId="324CECAC" w14:textId="13A3458C"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w:t>
      </w:r>
      <w:r w:rsidR="002D28EA">
        <w:rPr>
          <w:bCs/>
          <w:sz w:val="22"/>
          <w:lang w:val="sr-Cyrl-BA" w:eastAsia="en-US"/>
        </w:rPr>
        <w:t xml:space="preserve">криза је показала да је потребно повећати локалне капацитете и вјештине у кризном менаџменту (управљање кризним ситуацијама), а у појединим случајевима размотрити потребу реорганизације и </w:t>
      </w:r>
      <w:proofErr w:type="spellStart"/>
      <w:r w:rsidR="002D28EA">
        <w:rPr>
          <w:bCs/>
          <w:sz w:val="22"/>
          <w:lang w:val="sr-Cyrl-BA" w:eastAsia="en-US"/>
        </w:rPr>
        <w:t>унапређење</w:t>
      </w:r>
      <w:proofErr w:type="spellEnd"/>
      <w:r w:rsidR="002D28EA">
        <w:rPr>
          <w:bCs/>
          <w:sz w:val="22"/>
          <w:lang w:val="sr-Cyrl-BA" w:eastAsia="en-US"/>
        </w:rPr>
        <w:t xml:space="preserve"> система цивилне заштите  ради ефикаснијег дјеловања, </w:t>
      </w:r>
      <w:r w:rsidR="002E5F12" w:rsidRPr="002E5F12">
        <w:rPr>
          <w:bCs/>
          <w:sz w:val="22"/>
          <w:lang w:val="sr-Cyrl-BA" w:eastAsia="en-US"/>
        </w:rPr>
        <w:t xml:space="preserve">што ће играти кључну улогу у сузбијању очекиваног другог таласа </w:t>
      </w:r>
      <w:proofErr w:type="spellStart"/>
      <w:r w:rsidR="002D28EA">
        <w:rPr>
          <w:bCs/>
          <w:sz w:val="22"/>
          <w:lang w:val="sr-Cyrl-BA" w:eastAsia="en-US"/>
        </w:rPr>
        <w:t>пандемије</w:t>
      </w:r>
      <w:proofErr w:type="spellEnd"/>
      <w:r w:rsidR="002E5F12" w:rsidRPr="002E5F12">
        <w:rPr>
          <w:bCs/>
          <w:sz w:val="22"/>
          <w:lang w:val="sr-Cyrl-BA" w:eastAsia="en-US"/>
        </w:rPr>
        <w:t>,</w:t>
      </w:r>
      <w:r w:rsidR="002D28EA">
        <w:rPr>
          <w:bCs/>
          <w:sz w:val="22"/>
          <w:lang w:val="sr-Cyrl-BA" w:eastAsia="en-US"/>
        </w:rPr>
        <w:t xml:space="preserve"> а и у наредном периоду,</w:t>
      </w:r>
    </w:p>
    <w:p w14:paraId="4C203E47" w14:textId="6BB2060C"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w:t>
      </w:r>
      <w:r w:rsidR="002D28EA">
        <w:rPr>
          <w:bCs/>
          <w:sz w:val="22"/>
          <w:lang w:val="sr-Cyrl-BA" w:eastAsia="en-US"/>
        </w:rPr>
        <w:t xml:space="preserve">потребно је развијати </w:t>
      </w:r>
      <w:r w:rsidR="002E5F12" w:rsidRPr="002E5F12">
        <w:rPr>
          <w:bCs/>
          <w:sz w:val="22"/>
          <w:lang w:val="sr-Cyrl-BA" w:eastAsia="en-US"/>
        </w:rPr>
        <w:t xml:space="preserve">локалне стратегије и програме за социјални и економски опоравак. Економски подстицаји играју кључну улогу у овим стратегијама. </w:t>
      </w:r>
      <w:r w:rsidR="002D28EA">
        <w:rPr>
          <w:bCs/>
          <w:sz w:val="22"/>
          <w:lang w:val="sr-Cyrl-BA" w:eastAsia="en-US"/>
        </w:rPr>
        <w:t>У степену у којој је то у надлежности ЈЛС, предузимати мјере</w:t>
      </w:r>
      <w:r w:rsidR="002E5F12" w:rsidRPr="002E5F12">
        <w:rPr>
          <w:bCs/>
          <w:sz w:val="22"/>
          <w:lang w:val="sr-Cyrl-BA" w:eastAsia="en-US"/>
        </w:rPr>
        <w:t xml:space="preserve"> фискалних </w:t>
      </w:r>
      <w:r w:rsidR="002D28EA">
        <w:rPr>
          <w:bCs/>
          <w:sz w:val="22"/>
          <w:lang w:val="sr-Cyrl-BA" w:eastAsia="en-US"/>
        </w:rPr>
        <w:t xml:space="preserve">и других </w:t>
      </w:r>
      <w:r w:rsidR="002E5F12" w:rsidRPr="002E5F12">
        <w:rPr>
          <w:bCs/>
          <w:sz w:val="22"/>
          <w:lang w:val="sr-Cyrl-BA" w:eastAsia="en-US"/>
        </w:rPr>
        <w:t>олакшица, укључујући смањења</w:t>
      </w:r>
      <w:r w:rsidR="00E55208">
        <w:rPr>
          <w:bCs/>
          <w:sz w:val="22"/>
          <w:lang w:val="sr-Cyrl-BA" w:eastAsia="en-US"/>
        </w:rPr>
        <w:t xml:space="preserve"> и одлагања</w:t>
      </w:r>
      <w:r w:rsidR="002E5F12" w:rsidRPr="002E5F12">
        <w:rPr>
          <w:bCs/>
          <w:sz w:val="22"/>
          <w:lang w:val="sr-Cyrl-BA" w:eastAsia="en-US"/>
        </w:rPr>
        <w:t xml:space="preserve"> рокова плаћања за одређене категорије, посебно најугроженије</w:t>
      </w:r>
      <w:r w:rsidR="00E55208">
        <w:rPr>
          <w:bCs/>
          <w:sz w:val="22"/>
          <w:lang w:val="sr-Cyrl-BA" w:eastAsia="en-US"/>
        </w:rPr>
        <w:t xml:space="preserve">. Процјењује се да </w:t>
      </w:r>
      <w:proofErr w:type="spellStart"/>
      <w:r w:rsidR="00E55208">
        <w:rPr>
          <w:bCs/>
          <w:sz w:val="22"/>
          <w:lang w:val="sr-Cyrl-BA" w:eastAsia="en-US"/>
        </w:rPr>
        <w:t>ћето</w:t>
      </w:r>
      <w:proofErr w:type="spellEnd"/>
      <w:r w:rsidR="00E55208">
        <w:rPr>
          <w:bCs/>
          <w:sz w:val="22"/>
          <w:lang w:val="sr-Cyrl-BA" w:eastAsia="en-US"/>
        </w:rPr>
        <w:t xml:space="preserve">  највјероватније бити и </w:t>
      </w:r>
      <w:r w:rsidR="002E5F12" w:rsidRPr="002E5F12">
        <w:rPr>
          <w:bCs/>
          <w:sz w:val="22"/>
          <w:lang w:val="sr-Cyrl-BA" w:eastAsia="en-US"/>
        </w:rPr>
        <w:t>остати срж локалних напора да подрже своје заједнице и е</w:t>
      </w:r>
      <w:r w:rsidR="00E55208">
        <w:rPr>
          <w:bCs/>
          <w:sz w:val="22"/>
          <w:lang w:val="sr-Cyrl-BA" w:eastAsia="en-US"/>
        </w:rPr>
        <w:t>кономије. Слично, механизми директне финансијске подршке за средња и мала предузећа  и самосталне предузетнике, који су били највише погођени забраном рада и кризом, веома је добар начин да се сачувају радна мјеста,</w:t>
      </w:r>
    </w:p>
    <w:p w14:paraId="0C0201B0" w14:textId="57CC74AC"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w:t>
      </w:r>
      <w:r w:rsidR="00892B05">
        <w:rPr>
          <w:bCs/>
          <w:sz w:val="22"/>
          <w:lang w:val="sr-Cyrl-BA" w:eastAsia="en-US"/>
        </w:rPr>
        <w:t>локалне самоуправе</w:t>
      </w:r>
      <w:r w:rsidR="00E55208">
        <w:rPr>
          <w:bCs/>
          <w:sz w:val="22"/>
          <w:lang w:val="sr-Cyrl-BA" w:eastAsia="en-US"/>
        </w:rPr>
        <w:t xml:space="preserve">, по оцјени </w:t>
      </w:r>
      <w:r w:rsidR="00E55208">
        <w:rPr>
          <w:bCs/>
          <w:sz w:val="22"/>
          <w:lang w:val="sr-Cyrl-RS" w:eastAsia="en-US"/>
        </w:rPr>
        <w:t xml:space="preserve">из </w:t>
      </w:r>
      <w:proofErr w:type="spellStart"/>
      <w:r w:rsidR="00E55208">
        <w:rPr>
          <w:bCs/>
          <w:sz w:val="22"/>
          <w:lang w:val="sr-Cyrl-RS" w:eastAsia="en-US"/>
        </w:rPr>
        <w:t>Извјештаја</w:t>
      </w:r>
      <w:proofErr w:type="spellEnd"/>
      <w:r w:rsidR="00E55208">
        <w:rPr>
          <w:bCs/>
          <w:sz w:val="22"/>
          <w:lang w:val="sr-Cyrl-RS" w:eastAsia="en-US"/>
        </w:rPr>
        <w:t xml:space="preserve"> </w:t>
      </w:r>
      <w:r w:rsidR="00E55208">
        <w:rPr>
          <w:bCs/>
          <w:sz w:val="22"/>
          <w:lang w:val="en-US" w:eastAsia="en-US"/>
        </w:rPr>
        <w:t>NALAS-a</w:t>
      </w:r>
      <w:r w:rsidR="00E55208">
        <w:rPr>
          <w:bCs/>
          <w:sz w:val="22"/>
          <w:lang w:val="sr-Cyrl-RS" w:eastAsia="en-US"/>
        </w:rPr>
        <w:t>,</w:t>
      </w:r>
      <w:r w:rsidR="00E55208">
        <w:rPr>
          <w:bCs/>
          <w:sz w:val="22"/>
          <w:lang w:val="sr-Cyrl-BA" w:eastAsia="en-US"/>
        </w:rPr>
        <w:t xml:space="preserve"> </w:t>
      </w:r>
      <w:r w:rsidR="002E5F12" w:rsidRPr="002E5F12">
        <w:rPr>
          <w:bCs/>
          <w:sz w:val="22"/>
          <w:lang w:val="sr-Cyrl-BA" w:eastAsia="en-US"/>
        </w:rPr>
        <w:t xml:space="preserve">играју важну улогу у промоцији запошљавања и отварања нових радних </w:t>
      </w:r>
      <w:proofErr w:type="spellStart"/>
      <w:r w:rsidR="002E5F12" w:rsidRPr="002E5F12">
        <w:rPr>
          <w:bCs/>
          <w:sz w:val="22"/>
          <w:lang w:val="sr-Cyrl-BA" w:eastAsia="en-US"/>
        </w:rPr>
        <w:t>места</w:t>
      </w:r>
      <w:proofErr w:type="spellEnd"/>
      <w:r w:rsidR="002E5F12" w:rsidRPr="002E5F12">
        <w:rPr>
          <w:bCs/>
          <w:sz w:val="22"/>
          <w:lang w:val="sr-Cyrl-BA" w:eastAsia="en-US"/>
        </w:rPr>
        <w:t>, кроз специфичне програме, укључујући и подстицаје за одређене категорије пос</w:t>
      </w:r>
      <w:r w:rsidR="00E55208">
        <w:rPr>
          <w:bCs/>
          <w:sz w:val="22"/>
          <w:lang w:val="sr-Cyrl-BA" w:eastAsia="en-US"/>
        </w:rPr>
        <w:t>лова и сектора, обуке и стручна</w:t>
      </w:r>
      <w:r w:rsidR="002E5F12" w:rsidRPr="002E5F12">
        <w:rPr>
          <w:bCs/>
          <w:sz w:val="22"/>
          <w:lang w:val="sr-Cyrl-BA" w:eastAsia="en-US"/>
        </w:rPr>
        <w:t xml:space="preserve"> образовања, </w:t>
      </w:r>
      <w:r w:rsidR="00E55208">
        <w:rPr>
          <w:bCs/>
          <w:sz w:val="22"/>
          <w:lang w:val="sr-Cyrl-BA" w:eastAsia="en-US"/>
        </w:rPr>
        <w:t xml:space="preserve">кроз координацију са приватним сектором и </w:t>
      </w:r>
      <w:proofErr w:type="spellStart"/>
      <w:r w:rsidR="00E55208">
        <w:rPr>
          <w:bCs/>
          <w:sz w:val="22"/>
          <w:lang w:val="sr-Cyrl-BA" w:eastAsia="en-US"/>
        </w:rPr>
        <w:t>сл</w:t>
      </w:r>
      <w:proofErr w:type="spellEnd"/>
      <w:r w:rsidR="002E5F12" w:rsidRPr="002E5F12">
        <w:rPr>
          <w:bCs/>
          <w:sz w:val="22"/>
          <w:lang w:val="sr-Cyrl-BA" w:eastAsia="en-US"/>
        </w:rPr>
        <w:t xml:space="preserve">, </w:t>
      </w:r>
    </w:p>
    <w:p w14:paraId="440772E3" w14:textId="37D5C52A"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w:t>
      </w:r>
      <w:r w:rsidR="00E55208">
        <w:rPr>
          <w:bCs/>
          <w:sz w:val="22"/>
          <w:lang w:val="sr-Cyrl-BA" w:eastAsia="en-US"/>
        </w:rPr>
        <w:t xml:space="preserve">потребно је </w:t>
      </w:r>
      <w:r w:rsidR="002E5F12" w:rsidRPr="002E5F12">
        <w:rPr>
          <w:bCs/>
          <w:sz w:val="22"/>
          <w:lang w:val="sr-Cyrl-BA" w:eastAsia="en-US"/>
        </w:rPr>
        <w:t>наст</w:t>
      </w:r>
      <w:r w:rsidR="00E55208">
        <w:rPr>
          <w:bCs/>
          <w:sz w:val="22"/>
          <w:lang w:val="sr-Cyrl-BA" w:eastAsia="en-US"/>
        </w:rPr>
        <w:t>авити</w:t>
      </w:r>
      <w:r w:rsidR="002E5F12" w:rsidRPr="002E5F12">
        <w:rPr>
          <w:bCs/>
          <w:sz w:val="22"/>
          <w:lang w:val="sr-Cyrl-BA" w:eastAsia="en-US"/>
        </w:rPr>
        <w:t xml:space="preserve"> са подстицајима за локалну економију</w:t>
      </w:r>
      <w:r w:rsidR="00E55208">
        <w:rPr>
          <w:bCs/>
          <w:sz w:val="22"/>
          <w:lang w:val="sr-Cyrl-BA" w:eastAsia="en-US"/>
        </w:rPr>
        <w:t>,</w:t>
      </w:r>
      <w:r w:rsidR="002E5F12" w:rsidRPr="002E5F12">
        <w:rPr>
          <w:bCs/>
          <w:sz w:val="22"/>
          <w:lang w:val="sr-Cyrl-BA" w:eastAsia="en-US"/>
        </w:rPr>
        <w:t xml:space="preserve"> кроз добро циљане инвестиције и посебну пажњу </w:t>
      </w:r>
      <w:r w:rsidR="00E55208">
        <w:rPr>
          <w:bCs/>
          <w:sz w:val="22"/>
          <w:lang w:val="sr-Cyrl-BA" w:eastAsia="en-US"/>
        </w:rPr>
        <w:t>посветити</w:t>
      </w:r>
      <w:r w:rsidR="002E5F12" w:rsidRPr="002E5F12">
        <w:rPr>
          <w:bCs/>
          <w:sz w:val="22"/>
          <w:lang w:val="sr-Cyrl-BA" w:eastAsia="en-US"/>
        </w:rPr>
        <w:t xml:space="preserve"> погођеним </w:t>
      </w:r>
      <w:r w:rsidR="00E55208">
        <w:rPr>
          <w:bCs/>
          <w:sz w:val="22"/>
          <w:lang w:val="sr-Cyrl-BA" w:eastAsia="en-US"/>
        </w:rPr>
        <w:t>привредним гранама</w:t>
      </w:r>
      <w:r w:rsidR="002E5F12" w:rsidRPr="002E5F12">
        <w:rPr>
          <w:bCs/>
          <w:sz w:val="22"/>
          <w:lang w:val="sr-Cyrl-BA" w:eastAsia="en-US"/>
        </w:rPr>
        <w:t xml:space="preserve">, </w:t>
      </w:r>
      <w:r w:rsidR="00E55208">
        <w:rPr>
          <w:bCs/>
          <w:sz w:val="22"/>
          <w:lang w:val="sr-Cyrl-BA" w:eastAsia="en-US"/>
        </w:rPr>
        <w:t>што поред осталог, укључује повећану промоцију и помоћ у  развоју</w:t>
      </w:r>
      <w:r w:rsidR="002E5F12" w:rsidRPr="002E5F12">
        <w:rPr>
          <w:bCs/>
          <w:sz w:val="22"/>
          <w:lang w:val="sr-Cyrl-BA" w:eastAsia="en-US"/>
        </w:rPr>
        <w:t xml:space="preserve"> локалних туристичких производа</w:t>
      </w:r>
      <w:r w:rsidR="00E55208">
        <w:rPr>
          <w:bCs/>
          <w:sz w:val="22"/>
          <w:lang w:val="sr-Cyrl-BA" w:eastAsia="en-US"/>
        </w:rPr>
        <w:t xml:space="preserve"> и подстицај домаће тражње,</w:t>
      </w:r>
      <w:r w:rsidR="002E5F12" w:rsidRPr="002E5F12">
        <w:rPr>
          <w:bCs/>
          <w:sz w:val="22"/>
          <w:lang w:val="sr-Cyrl-BA" w:eastAsia="en-US"/>
        </w:rPr>
        <w:t xml:space="preserve"> </w:t>
      </w:r>
    </w:p>
    <w:p w14:paraId="6CCF3FE9" w14:textId="115FC1F0"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w:t>
      </w:r>
      <w:r w:rsidR="00E55208">
        <w:rPr>
          <w:bCs/>
          <w:sz w:val="22"/>
          <w:lang w:val="sr-Cyrl-BA" w:eastAsia="en-US"/>
        </w:rPr>
        <w:t xml:space="preserve">поред помоћи локалним пословним субјектима и грађанима, обавеза је ЈЛС да </w:t>
      </w:r>
      <w:r w:rsidR="002E5F12" w:rsidRPr="002E5F12">
        <w:rPr>
          <w:bCs/>
          <w:sz w:val="22"/>
          <w:lang w:val="sr-Cyrl-BA" w:eastAsia="en-US"/>
        </w:rPr>
        <w:t xml:space="preserve">предузму мјере за побољшање мобилизације </w:t>
      </w:r>
      <w:r w:rsidR="00E55208">
        <w:rPr>
          <w:bCs/>
          <w:sz w:val="22"/>
          <w:lang w:val="sr-Cyrl-BA" w:eastAsia="en-US"/>
        </w:rPr>
        <w:t xml:space="preserve">и администрације </w:t>
      </w:r>
      <w:r w:rsidR="002E5F12" w:rsidRPr="002E5F12">
        <w:rPr>
          <w:bCs/>
          <w:sz w:val="22"/>
          <w:lang w:val="sr-Cyrl-BA" w:eastAsia="en-US"/>
        </w:rPr>
        <w:t>локалних прихода</w:t>
      </w:r>
      <w:r w:rsidR="00E55208">
        <w:rPr>
          <w:bCs/>
          <w:sz w:val="22"/>
          <w:lang w:val="sr-Cyrl-BA" w:eastAsia="en-US"/>
        </w:rPr>
        <w:t>,</w:t>
      </w:r>
      <w:r w:rsidR="002E5F12" w:rsidRPr="002E5F12">
        <w:rPr>
          <w:bCs/>
          <w:sz w:val="22"/>
          <w:lang w:val="sr-Cyrl-BA" w:eastAsia="en-US"/>
        </w:rPr>
        <w:t xml:space="preserve"> ради </w:t>
      </w:r>
      <w:r w:rsidR="00E55208">
        <w:rPr>
          <w:bCs/>
          <w:sz w:val="22"/>
          <w:lang w:val="sr-Cyrl-BA" w:eastAsia="en-US"/>
        </w:rPr>
        <w:t>повећања</w:t>
      </w:r>
      <w:r w:rsidR="002E5F12" w:rsidRPr="002E5F12">
        <w:rPr>
          <w:bCs/>
          <w:sz w:val="22"/>
          <w:lang w:val="sr-Cyrl-BA" w:eastAsia="en-US"/>
        </w:rPr>
        <w:t xml:space="preserve"> прихода на одржив начин</w:t>
      </w:r>
      <w:r w:rsidR="00E55208">
        <w:rPr>
          <w:bCs/>
          <w:sz w:val="22"/>
          <w:lang w:val="sr-Cyrl-BA" w:eastAsia="en-US"/>
        </w:rPr>
        <w:t>.</w:t>
      </w:r>
      <w:r w:rsidR="002E5F12" w:rsidRPr="002E5F12">
        <w:rPr>
          <w:bCs/>
          <w:sz w:val="22"/>
          <w:lang w:val="sr-Cyrl-BA" w:eastAsia="en-US"/>
        </w:rPr>
        <w:t xml:space="preserve"> </w:t>
      </w:r>
      <w:r w:rsidR="00E55208">
        <w:rPr>
          <w:bCs/>
          <w:sz w:val="22"/>
          <w:lang w:val="sr-Cyrl-BA" w:eastAsia="en-US"/>
        </w:rPr>
        <w:t>Истовремено, треба предузимати активности у вези са пла</w:t>
      </w:r>
      <w:r w:rsidR="002E5F12" w:rsidRPr="002E5F12">
        <w:rPr>
          <w:bCs/>
          <w:sz w:val="22"/>
          <w:lang w:val="sr-Cyrl-BA" w:eastAsia="en-US"/>
        </w:rPr>
        <w:t>новима локалне потрошње</w:t>
      </w:r>
      <w:r w:rsidR="00E55208">
        <w:rPr>
          <w:bCs/>
          <w:sz w:val="22"/>
          <w:lang w:val="sr-Cyrl-BA" w:eastAsia="en-US"/>
        </w:rPr>
        <w:t>,</w:t>
      </w:r>
      <w:r w:rsidR="002E5F12" w:rsidRPr="002E5F12">
        <w:rPr>
          <w:bCs/>
          <w:sz w:val="22"/>
          <w:lang w:val="sr-Cyrl-BA" w:eastAsia="en-US"/>
        </w:rPr>
        <w:t xml:space="preserve"> ради повећања ефикасности и ефективности локалних политика </w:t>
      </w:r>
      <w:r w:rsidR="00E55208">
        <w:rPr>
          <w:bCs/>
          <w:sz w:val="22"/>
          <w:lang w:val="sr-Cyrl-BA" w:eastAsia="en-US"/>
        </w:rPr>
        <w:t>у трошењу јавних средстава</w:t>
      </w:r>
      <w:r w:rsidR="002E5F12" w:rsidRPr="002E5F12">
        <w:rPr>
          <w:bCs/>
          <w:sz w:val="22"/>
          <w:lang w:val="sr-Cyrl-BA" w:eastAsia="en-US"/>
        </w:rPr>
        <w:t xml:space="preserve">. Побољшана мобилизација прихода и </w:t>
      </w:r>
      <w:r w:rsidR="00E55208">
        <w:rPr>
          <w:bCs/>
          <w:sz w:val="22"/>
          <w:lang w:val="sr-Cyrl-BA" w:eastAsia="en-US"/>
        </w:rPr>
        <w:t xml:space="preserve">континуирани надзор </w:t>
      </w:r>
      <w:r w:rsidR="002E5F12" w:rsidRPr="002E5F12">
        <w:rPr>
          <w:bCs/>
          <w:sz w:val="22"/>
          <w:lang w:val="sr-Cyrl-BA" w:eastAsia="en-US"/>
        </w:rPr>
        <w:t>потрошње</w:t>
      </w:r>
      <w:r w:rsidR="00E55208">
        <w:rPr>
          <w:bCs/>
          <w:sz w:val="22"/>
          <w:lang w:val="sr-Cyrl-BA" w:eastAsia="en-US"/>
        </w:rPr>
        <w:t>,</w:t>
      </w:r>
      <w:r w:rsidR="002E5F12" w:rsidRPr="002E5F12">
        <w:rPr>
          <w:bCs/>
          <w:sz w:val="22"/>
          <w:lang w:val="sr-Cyrl-BA" w:eastAsia="en-US"/>
        </w:rPr>
        <w:t xml:space="preserve"> помоћи </w:t>
      </w:r>
      <w:r w:rsidR="00E55208">
        <w:rPr>
          <w:bCs/>
          <w:sz w:val="22"/>
          <w:lang w:val="sr-Cyrl-BA" w:eastAsia="en-US"/>
        </w:rPr>
        <w:t xml:space="preserve">ће </w:t>
      </w:r>
      <w:r w:rsidR="002E5F12" w:rsidRPr="002E5F12">
        <w:rPr>
          <w:bCs/>
          <w:sz w:val="22"/>
          <w:lang w:val="sr-Cyrl-BA" w:eastAsia="en-US"/>
        </w:rPr>
        <w:t xml:space="preserve">у стварању потребних </w:t>
      </w:r>
      <w:r w:rsidR="005F6749">
        <w:rPr>
          <w:bCs/>
          <w:sz w:val="22"/>
          <w:lang w:val="sr-Cyrl-BA" w:eastAsia="en-US"/>
        </w:rPr>
        <w:t>ресурса за подршку повећаној потрошњи у сврху</w:t>
      </w:r>
      <w:r w:rsidR="002E5F12" w:rsidRPr="002E5F12">
        <w:rPr>
          <w:bCs/>
          <w:sz w:val="22"/>
          <w:lang w:val="sr-Cyrl-BA" w:eastAsia="en-US"/>
        </w:rPr>
        <w:t xml:space="preserve"> </w:t>
      </w:r>
      <w:r w:rsidR="005F6749">
        <w:rPr>
          <w:bCs/>
          <w:sz w:val="22"/>
          <w:lang w:val="sr-Cyrl-BA" w:eastAsia="en-US"/>
        </w:rPr>
        <w:t>социјалног и економског</w:t>
      </w:r>
      <w:r w:rsidR="002E5F12" w:rsidRPr="002E5F12">
        <w:rPr>
          <w:bCs/>
          <w:sz w:val="22"/>
          <w:lang w:val="sr-Cyrl-BA" w:eastAsia="en-US"/>
        </w:rPr>
        <w:t xml:space="preserve"> опоравак</w:t>
      </w:r>
      <w:r w:rsidR="005F6749">
        <w:rPr>
          <w:bCs/>
          <w:sz w:val="22"/>
          <w:lang w:val="sr-Cyrl-BA" w:eastAsia="en-US"/>
        </w:rPr>
        <w:t>а</w:t>
      </w:r>
      <w:r w:rsidR="002E5F12" w:rsidRPr="002E5F12">
        <w:rPr>
          <w:bCs/>
          <w:sz w:val="22"/>
          <w:lang w:val="sr-Cyrl-BA" w:eastAsia="en-US"/>
        </w:rPr>
        <w:t>,</w:t>
      </w:r>
    </w:p>
    <w:p w14:paraId="65D3B87E" w14:textId="015E6147"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 у области здравства</w:t>
      </w:r>
      <w:r w:rsidR="005F6749">
        <w:rPr>
          <w:bCs/>
          <w:sz w:val="22"/>
          <w:lang w:val="sr-Cyrl-BA" w:eastAsia="en-US"/>
        </w:rPr>
        <w:t xml:space="preserve"> ЈЛС би</w:t>
      </w:r>
      <w:r w:rsidR="002E5F12" w:rsidRPr="002E5F12">
        <w:rPr>
          <w:bCs/>
          <w:sz w:val="22"/>
          <w:lang w:val="sr-Cyrl-BA" w:eastAsia="en-US"/>
        </w:rPr>
        <w:t xml:space="preserve"> могле да наст</w:t>
      </w:r>
      <w:r w:rsidR="005F6749">
        <w:rPr>
          <w:bCs/>
          <w:sz w:val="22"/>
          <w:lang w:val="sr-Cyrl-BA" w:eastAsia="en-US"/>
        </w:rPr>
        <w:t xml:space="preserve">аве подржавање локалних </w:t>
      </w:r>
      <w:r w:rsidR="002E5F12" w:rsidRPr="002E5F12">
        <w:rPr>
          <w:bCs/>
          <w:sz w:val="22"/>
          <w:lang w:val="sr-Cyrl-BA" w:eastAsia="en-US"/>
        </w:rPr>
        <w:t>домова здравља</w:t>
      </w:r>
      <w:r w:rsidR="00601421">
        <w:rPr>
          <w:bCs/>
          <w:sz w:val="22"/>
          <w:lang w:val="sr-Cyrl-BA" w:eastAsia="en-US"/>
        </w:rPr>
        <w:t xml:space="preserve"> у набавци </w:t>
      </w:r>
      <w:r w:rsidR="002E5F12" w:rsidRPr="002E5F12">
        <w:rPr>
          <w:bCs/>
          <w:sz w:val="22"/>
          <w:lang w:val="sr-Cyrl-BA" w:eastAsia="en-US"/>
        </w:rPr>
        <w:t xml:space="preserve"> </w:t>
      </w:r>
      <w:r w:rsidR="00601421">
        <w:rPr>
          <w:bCs/>
          <w:sz w:val="22"/>
          <w:lang w:val="sr-Cyrl-BA" w:eastAsia="en-US"/>
        </w:rPr>
        <w:t>заштитног материјала</w:t>
      </w:r>
      <w:r w:rsidR="002E5F12" w:rsidRPr="002E5F12">
        <w:rPr>
          <w:bCs/>
          <w:sz w:val="22"/>
          <w:lang w:val="sr-Cyrl-BA" w:eastAsia="en-US"/>
        </w:rPr>
        <w:t xml:space="preserve"> и медици</w:t>
      </w:r>
      <w:r w:rsidR="00601421">
        <w:rPr>
          <w:bCs/>
          <w:sz w:val="22"/>
          <w:lang w:val="sr-Cyrl-BA" w:eastAsia="en-US"/>
        </w:rPr>
        <w:t>нске опреме</w:t>
      </w:r>
      <w:r w:rsidR="002E5F12" w:rsidRPr="002E5F12">
        <w:rPr>
          <w:bCs/>
          <w:sz w:val="22"/>
          <w:lang w:val="sr-Cyrl-BA" w:eastAsia="en-US"/>
        </w:rPr>
        <w:t xml:space="preserve"> или</w:t>
      </w:r>
      <w:r w:rsidR="00601421">
        <w:rPr>
          <w:bCs/>
          <w:sz w:val="22"/>
          <w:lang w:val="sr-Cyrl-BA" w:eastAsia="en-US"/>
        </w:rPr>
        <w:t xml:space="preserve"> подршком у  адаптацији</w:t>
      </w:r>
      <w:r w:rsidR="002E5F12" w:rsidRPr="002E5F12">
        <w:rPr>
          <w:bCs/>
          <w:sz w:val="22"/>
          <w:lang w:val="sr-Cyrl-BA" w:eastAsia="en-US"/>
        </w:rPr>
        <w:t xml:space="preserve"> локалних здравствених установа. </w:t>
      </w:r>
      <w:r w:rsidR="002E5F12" w:rsidRPr="002E5F12">
        <w:rPr>
          <w:bCs/>
          <w:sz w:val="22"/>
          <w:lang w:val="sr-Cyrl-BA" w:eastAsia="en-US"/>
        </w:rPr>
        <w:lastRenderedPageBreak/>
        <w:t xml:space="preserve">У сарадњи са вишим нивоима власти, подршка </w:t>
      </w:r>
      <w:r w:rsidR="00601421">
        <w:rPr>
          <w:bCs/>
          <w:sz w:val="22"/>
          <w:lang w:val="sr-Cyrl-BA" w:eastAsia="en-US"/>
        </w:rPr>
        <w:t>ЈЛС</w:t>
      </w:r>
      <w:r w:rsidR="002E5F12" w:rsidRPr="002E5F12">
        <w:rPr>
          <w:bCs/>
          <w:sz w:val="22"/>
          <w:lang w:val="sr-Cyrl-BA" w:eastAsia="en-US"/>
        </w:rPr>
        <w:t xml:space="preserve"> би могла да укључ</w:t>
      </w:r>
      <w:r w:rsidR="00601421">
        <w:rPr>
          <w:bCs/>
          <w:sz w:val="22"/>
          <w:lang w:val="sr-Cyrl-BA" w:eastAsia="en-US"/>
        </w:rPr>
        <w:t>ује и повећање број здравствених радника</w:t>
      </w:r>
      <w:r w:rsidR="002E5F12" w:rsidRPr="002E5F12">
        <w:rPr>
          <w:bCs/>
          <w:sz w:val="22"/>
          <w:lang w:val="sr-Cyrl-BA" w:eastAsia="en-US"/>
        </w:rPr>
        <w:t xml:space="preserve">, </w:t>
      </w:r>
    </w:p>
    <w:p w14:paraId="06599484" w14:textId="6E696A11"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 xml:space="preserve">-у области образовања, локалне самоуправе у партнерству са вишим нивоима власти, приватним сектором и </w:t>
      </w:r>
      <w:r w:rsidR="00892B05">
        <w:rPr>
          <w:bCs/>
          <w:sz w:val="22"/>
          <w:lang w:val="sr-Cyrl-BA" w:eastAsia="en-US"/>
        </w:rPr>
        <w:t xml:space="preserve">другим </w:t>
      </w:r>
      <w:r w:rsidR="002E5F12" w:rsidRPr="002E5F12">
        <w:rPr>
          <w:bCs/>
          <w:sz w:val="22"/>
          <w:lang w:val="sr-Cyrl-BA" w:eastAsia="en-US"/>
        </w:rPr>
        <w:t>заинтересованим странама, могле би предузети активне м</w:t>
      </w:r>
      <w:r w:rsidR="00892B05">
        <w:rPr>
          <w:bCs/>
          <w:sz w:val="22"/>
          <w:lang w:val="sr-Cyrl-BA" w:eastAsia="en-US"/>
        </w:rPr>
        <w:t>ј</w:t>
      </w:r>
      <w:r w:rsidR="002E5F12" w:rsidRPr="002E5F12">
        <w:rPr>
          <w:bCs/>
          <w:sz w:val="22"/>
          <w:lang w:val="sr-Cyrl-BA" w:eastAsia="en-US"/>
        </w:rPr>
        <w:t xml:space="preserve">ере </w:t>
      </w:r>
      <w:r w:rsidR="00892B05">
        <w:rPr>
          <w:bCs/>
          <w:sz w:val="22"/>
          <w:lang w:val="sr-Cyrl-BA" w:eastAsia="en-US"/>
        </w:rPr>
        <w:t xml:space="preserve">помоћи које би имале за циљ да се школски простори прилагоде како би </w:t>
      </w:r>
      <w:r w:rsidR="002E5F12" w:rsidRPr="002E5F12">
        <w:rPr>
          <w:bCs/>
          <w:sz w:val="22"/>
          <w:lang w:val="sr-Cyrl-BA" w:eastAsia="en-US"/>
        </w:rPr>
        <w:t xml:space="preserve">се спријечило ширење </w:t>
      </w:r>
      <w:r w:rsidR="002E5F12" w:rsidRPr="002E5F12">
        <w:rPr>
          <w:bCs/>
          <w:sz w:val="22"/>
          <w:lang w:val="en-US" w:eastAsia="en-US"/>
        </w:rPr>
        <w:t>COVID</w:t>
      </w:r>
      <w:r w:rsidR="002E5F12" w:rsidRPr="002E5F12">
        <w:rPr>
          <w:bCs/>
          <w:sz w:val="22"/>
          <w:lang w:val="sr-Cyrl-BA" w:eastAsia="en-US"/>
        </w:rPr>
        <w:t xml:space="preserve">-19, </w:t>
      </w:r>
      <w:r w:rsidR="00892B05">
        <w:rPr>
          <w:bCs/>
          <w:sz w:val="22"/>
          <w:lang w:val="sr-Cyrl-BA" w:eastAsia="en-US"/>
        </w:rPr>
        <w:t xml:space="preserve">затим да се </w:t>
      </w:r>
      <w:proofErr w:type="spellStart"/>
      <w:r w:rsidR="00892B05">
        <w:rPr>
          <w:bCs/>
          <w:sz w:val="22"/>
          <w:lang w:val="sr-Cyrl-BA" w:eastAsia="en-US"/>
        </w:rPr>
        <w:t>обезбиједи</w:t>
      </w:r>
      <w:proofErr w:type="spellEnd"/>
      <w:r w:rsidR="00892B05">
        <w:rPr>
          <w:bCs/>
          <w:sz w:val="22"/>
          <w:lang w:val="sr-Cyrl-BA" w:eastAsia="en-US"/>
        </w:rPr>
        <w:t xml:space="preserve"> потребна </w:t>
      </w:r>
      <w:r w:rsidR="002E5F12" w:rsidRPr="002E5F12">
        <w:rPr>
          <w:bCs/>
          <w:sz w:val="22"/>
          <w:lang w:val="en-US" w:eastAsia="en-US"/>
        </w:rPr>
        <w:t xml:space="preserve">IT </w:t>
      </w:r>
      <w:r w:rsidR="00892B05">
        <w:rPr>
          <w:bCs/>
          <w:sz w:val="22"/>
          <w:lang w:val="sr-Cyrl-BA" w:eastAsia="en-US"/>
        </w:rPr>
        <w:t>инфраструктура и осигура техничка опрема за</w:t>
      </w:r>
      <w:r w:rsidR="002E5F12" w:rsidRPr="002E5F12">
        <w:rPr>
          <w:bCs/>
          <w:sz w:val="22"/>
          <w:lang w:val="sr-Cyrl-BA" w:eastAsia="en-US"/>
        </w:rPr>
        <w:t xml:space="preserve"> учење на даљину. Треба предузети посебне </w:t>
      </w:r>
      <w:proofErr w:type="spellStart"/>
      <w:r w:rsidR="002E5F12" w:rsidRPr="002E5F12">
        <w:rPr>
          <w:bCs/>
          <w:sz w:val="22"/>
          <w:lang w:val="sr-Cyrl-BA" w:eastAsia="en-US"/>
        </w:rPr>
        <w:t>мере</w:t>
      </w:r>
      <w:proofErr w:type="spellEnd"/>
      <w:r w:rsidR="002E5F12" w:rsidRPr="002E5F12">
        <w:rPr>
          <w:bCs/>
          <w:sz w:val="22"/>
          <w:lang w:val="sr-Cyrl-BA" w:eastAsia="en-US"/>
        </w:rPr>
        <w:t xml:space="preserve"> за д</w:t>
      </w:r>
      <w:r w:rsidR="00892B05">
        <w:rPr>
          <w:bCs/>
          <w:sz w:val="22"/>
          <w:lang w:val="sr-Cyrl-BA" w:eastAsia="en-US"/>
        </w:rPr>
        <w:t>ј</w:t>
      </w:r>
      <w:r w:rsidR="002E5F12" w:rsidRPr="002E5F12">
        <w:rPr>
          <w:bCs/>
          <w:sz w:val="22"/>
          <w:lang w:val="sr-Cyrl-BA" w:eastAsia="en-US"/>
        </w:rPr>
        <w:t>ецу и студенте из сиромашних домаћинстава, кроз</w:t>
      </w:r>
      <w:r w:rsidR="00892B05">
        <w:rPr>
          <w:bCs/>
          <w:sz w:val="22"/>
          <w:lang w:val="sr-Cyrl-BA" w:eastAsia="en-US"/>
        </w:rPr>
        <w:t xml:space="preserve"> обезбјеђење интернета и рачунарске опреме</w:t>
      </w:r>
      <w:r w:rsidR="002E5F12" w:rsidRPr="002E5F12">
        <w:rPr>
          <w:bCs/>
          <w:sz w:val="22"/>
          <w:lang w:val="sr-Cyrl-BA" w:eastAsia="en-US"/>
        </w:rPr>
        <w:t xml:space="preserve">, </w:t>
      </w:r>
    </w:p>
    <w:p w14:paraId="35A33E28" w14:textId="673EC300"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sr-Cyrl-BA" w:eastAsia="en-US"/>
        </w:rPr>
        <w:t>-у области социјалне заштите</w:t>
      </w:r>
      <w:r w:rsidR="00A748CC">
        <w:rPr>
          <w:bCs/>
          <w:sz w:val="22"/>
          <w:lang w:val="sr-Cyrl-BA" w:eastAsia="en-US"/>
        </w:rPr>
        <w:t xml:space="preserve">, према Извјештају </w:t>
      </w:r>
      <w:r w:rsidR="00A748CC">
        <w:rPr>
          <w:bCs/>
          <w:sz w:val="22"/>
          <w:lang w:val="en-US" w:eastAsia="en-US"/>
        </w:rPr>
        <w:t>NALAS</w:t>
      </w:r>
      <w:r w:rsidR="00A748CC">
        <w:rPr>
          <w:bCs/>
          <w:sz w:val="22"/>
          <w:lang w:val="sr-Latn-RS" w:eastAsia="en-US"/>
        </w:rPr>
        <w:t>-a,</w:t>
      </w:r>
      <w:r w:rsidR="002E5F12" w:rsidRPr="002E5F12">
        <w:rPr>
          <w:bCs/>
          <w:sz w:val="22"/>
          <w:lang w:val="sr-Cyrl-BA" w:eastAsia="en-US"/>
        </w:rPr>
        <w:t xml:space="preserve"> локалне самоуправе су </w:t>
      </w:r>
      <w:proofErr w:type="spellStart"/>
      <w:r w:rsidR="002E5F12" w:rsidRPr="002E5F12">
        <w:rPr>
          <w:bCs/>
          <w:sz w:val="22"/>
          <w:lang w:val="sr-Cyrl-BA" w:eastAsia="en-US"/>
        </w:rPr>
        <w:t>обезбиједиле</w:t>
      </w:r>
      <w:proofErr w:type="spellEnd"/>
      <w:r w:rsidR="002E5F12" w:rsidRPr="002E5F12">
        <w:rPr>
          <w:bCs/>
          <w:sz w:val="22"/>
          <w:lang w:val="sr-Cyrl-BA" w:eastAsia="en-US"/>
        </w:rPr>
        <w:t xml:space="preserve"> подршку најугроженијима дистрибуцијом хране, санитарних производа и </w:t>
      </w:r>
      <w:proofErr w:type="spellStart"/>
      <w:r w:rsidR="002E5F12" w:rsidRPr="002E5F12">
        <w:rPr>
          <w:bCs/>
          <w:sz w:val="22"/>
          <w:lang w:val="sr-Cyrl-BA" w:eastAsia="en-US"/>
        </w:rPr>
        <w:t>лијекова</w:t>
      </w:r>
      <w:proofErr w:type="spellEnd"/>
      <w:r w:rsidR="002E5F12" w:rsidRPr="002E5F12">
        <w:rPr>
          <w:bCs/>
          <w:sz w:val="22"/>
          <w:lang w:val="sr-Cyrl-BA" w:eastAsia="en-US"/>
        </w:rPr>
        <w:t>. Подршка је обухватала и готовинске трансфере, укидање или смањење локалних накнада. Службе социјалне заштите реорганизоване су и прилагођене новој стварности,</w:t>
      </w:r>
    </w:p>
    <w:p w14:paraId="529452D5" w14:textId="346D38D5" w:rsidR="002E5F12" w:rsidRPr="002E5F12" w:rsidRDefault="006D03B1" w:rsidP="002E5F12">
      <w:pPr>
        <w:tabs>
          <w:tab w:val="left" w:pos="1065"/>
        </w:tabs>
        <w:spacing w:line="276" w:lineRule="auto"/>
        <w:jc w:val="both"/>
        <w:rPr>
          <w:bCs/>
          <w:sz w:val="22"/>
          <w:lang w:val="sr-Cyrl-BA" w:eastAsia="en-US"/>
        </w:rPr>
      </w:pPr>
      <w:r>
        <w:rPr>
          <w:bCs/>
          <w:sz w:val="22"/>
          <w:lang w:val="sr-Cyrl-BA" w:eastAsia="en-US"/>
        </w:rPr>
        <w:tab/>
      </w:r>
      <w:r w:rsidR="00306D31">
        <w:rPr>
          <w:bCs/>
          <w:sz w:val="22"/>
          <w:lang w:val="sr-Cyrl-BA" w:eastAsia="en-US"/>
        </w:rPr>
        <w:t xml:space="preserve">-у области пољопривреде, </w:t>
      </w:r>
      <w:r w:rsidR="00306D31">
        <w:rPr>
          <w:bCs/>
          <w:sz w:val="22"/>
          <w:lang w:val="sr-Cyrl-RS" w:eastAsia="en-US"/>
        </w:rPr>
        <w:t xml:space="preserve">криза изазвана </w:t>
      </w:r>
      <w:proofErr w:type="spellStart"/>
      <w:r w:rsidR="00306D31">
        <w:rPr>
          <w:bCs/>
          <w:sz w:val="22"/>
          <w:lang w:val="sr-Cyrl-RS" w:eastAsia="en-US"/>
        </w:rPr>
        <w:t>пандемијом</w:t>
      </w:r>
      <w:proofErr w:type="spellEnd"/>
      <w:r w:rsidR="00306D31">
        <w:rPr>
          <w:bCs/>
          <w:sz w:val="22"/>
          <w:lang w:val="sr-Cyrl-RS" w:eastAsia="en-US"/>
        </w:rPr>
        <w:t xml:space="preserve"> </w:t>
      </w:r>
      <w:r w:rsidR="00306D31">
        <w:rPr>
          <w:bCs/>
          <w:sz w:val="22"/>
          <w:lang w:val="en-US" w:eastAsia="en-US"/>
        </w:rPr>
        <w:t xml:space="preserve">COVID-19 </w:t>
      </w:r>
      <w:r w:rsidR="00306D31">
        <w:rPr>
          <w:bCs/>
          <w:sz w:val="22"/>
          <w:lang w:val="sr-Cyrl-RS" w:eastAsia="en-US"/>
        </w:rPr>
        <w:t xml:space="preserve">показала је значај развоја и подршке одрживе пољопривреди. </w:t>
      </w:r>
      <w:r w:rsidR="002B5931">
        <w:rPr>
          <w:bCs/>
          <w:sz w:val="22"/>
          <w:lang w:val="sr-Cyrl-RS" w:eastAsia="en-US"/>
        </w:rPr>
        <w:t>То укључује</w:t>
      </w:r>
      <w:r w:rsidR="002E5F12" w:rsidRPr="002E5F12">
        <w:rPr>
          <w:bCs/>
          <w:sz w:val="22"/>
          <w:lang w:val="sr-Cyrl-BA" w:eastAsia="en-US"/>
        </w:rPr>
        <w:t xml:space="preserve"> финансијску и администра</w:t>
      </w:r>
      <w:r w:rsidR="002B5931">
        <w:rPr>
          <w:bCs/>
          <w:sz w:val="22"/>
          <w:lang w:val="sr-Cyrl-BA" w:eastAsia="en-US"/>
        </w:rPr>
        <w:t>тивну подршку пољопривредницима</w:t>
      </w:r>
      <w:r w:rsidR="002E5F12" w:rsidRPr="002E5F12">
        <w:rPr>
          <w:bCs/>
          <w:sz w:val="22"/>
          <w:lang w:val="sr-Cyrl-BA" w:eastAsia="en-US"/>
        </w:rPr>
        <w:t xml:space="preserve"> </w:t>
      </w:r>
      <w:r w:rsidR="002B5931">
        <w:rPr>
          <w:bCs/>
          <w:sz w:val="22"/>
          <w:lang w:val="sr-Cyrl-BA" w:eastAsia="en-US"/>
        </w:rPr>
        <w:t xml:space="preserve">кроз обезбјеђење </w:t>
      </w:r>
      <w:r w:rsidR="002E5F12" w:rsidRPr="002E5F12">
        <w:rPr>
          <w:bCs/>
          <w:sz w:val="22"/>
          <w:lang w:val="sr-Cyrl-BA" w:eastAsia="en-US"/>
        </w:rPr>
        <w:t>бесплатних сјемена</w:t>
      </w:r>
      <w:r w:rsidR="002B5931">
        <w:rPr>
          <w:bCs/>
          <w:sz w:val="22"/>
          <w:lang w:val="sr-Cyrl-BA" w:eastAsia="en-US"/>
        </w:rPr>
        <w:t xml:space="preserve"> и пољопривредне опреме</w:t>
      </w:r>
      <w:r w:rsidR="002E5F12" w:rsidRPr="002E5F12">
        <w:rPr>
          <w:bCs/>
          <w:sz w:val="22"/>
          <w:lang w:val="sr-Cyrl-BA" w:eastAsia="en-US"/>
        </w:rPr>
        <w:t>, сав</w:t>
      </w:r>
      <w:r w:rsidR="002B5931">
        <w:rPr>
          <w:bCs/>
          <w:sz w:val="22"/>
          <w:lang w:val="sr-Cyrl-BA" w:eastAsia="en-US"/>
        </w:rPr>
        <w:t>ј</w:t>
      </w:r>
      <w:r w:rsidR="002E5F12" w:rsidRPr="002E5F12">
        <w:rPr>
          <w:bCs/>
          <w:sz w:val="22"/>
          <w:lang w:val="sr-Cyrl-BA" w:eastAsia="en-US"/>
        </w:rPr>
        <w:t>етовања</w:t>
      </w:r>
      <w:r w:rsidR="002B5931">
        <w:rPr>
          <w:bCs/>
          <w:sz w:val="22"/>
          <w:lang w:val="sr-Cyrl-BA" w:eastAsia="en-US"/>
        </w:rPr>
        <w:t>, помоћ</w:t>
      </w:r>
      <w:r w:rsidR="002E5F12" w:rsidRPr="002E5F12">
        <w:rPr>
          <w:bCs/>
          <w:sz w:val="22"/>
          <w:lang w:val="sr-Cyrl-BA" w:eastAsia="en-US"/>
        </w:rPr>
        <w:t xml:space="preserve"> </w:t>
      </w:r>
      <w:r w:rsidR="002B5931">
        <w:rPr>
          <w:bCs/>
          <w:sz w:val="22"/>
          <w:lang w:val="sr-Cyrl-BA" w:eastAsia="en-US"/>
        </w:rPr>
        <w:t>у осигурању приступа тржиштима, прије свега локалном (</w:t>
      </w:r>
      <w:r w:rsidR="002B5931">
        <w:rPr>
          <w:bCs/>
          <w:sz w:val="22"/>
          <w:lang w:val="en-US" w:eastAsia="en-US"/>
        </w:rPr>
        <w:t xml:space="preserve">online </w:t>
      </w:r>
      <w:r w:rsidR="002B5931">
        <w:rPr>
          <w:bCs/>
          <w:sz w:val="22"/>
          <w:lang w:val="sr-Cyrl-RS" w:eastAsia="en-US"/>
        </w:rPr>
        <w:t>пољопривредно тржиште и сл.)</w:t>
      </w:r>
      <w:r w:rsidR="002E5F12" w:rsidRPr="002E5F12">
        <w:rPr>
          <w:bCs/>
          <w:sz w:val="22"/>
          <w:lang w:val="sr-Cyrl-BA" w:eastAsia="en-US"/>
        </w:rPr>
        <w:t>,</w:t>
      </w:r>
    </w:p>
    <w:p w14:paraId="38825FB5" w14:textId="77777777" w:rsidR="002B5931" w:rsidRDefault="006D03B1" w:rsidP="002B5931">
      <w:pPr>
        <w:tabs>
          <w:tab w:val="left" w:pos="1065"/>
        </w:tabs>
        <w:spacing w:line="276" w:lineRule="auto"/>
        <w:jc w:val="both"/>
        <w:rPr>
          <w:bCs/>
          <w:sz w:val="22"/>
          <w:lang w:val="sr-Cyrl-BA" w:eastAsia="en-US"/>
        </w:rPr>
      </w:pPr>
      <w:r>
        <w:rPr>
          <w:bCs/>
          <w:sz w:val="22"/>
          <w:lang w:val="sr-Cyrl-BA" w:eastAsia="en-US"/>
        </w:rPr>
        <w:tab/>
      </w:r>
      <w:r w:rsidR="002B5931">
        <w:rPr>
          <w:bCs/>
          <w:sz w:val="22"/>
          <w:lang w:val="sr-Cyrl-BA" w:eastAsia="en-US"/>
        </w:rPr>
        <w:t>-у области локалне администрације</w:t>
      </w:r>
      <w:r w:rsidR="002E5F12" w:rsidRPr="002E5F12">
        <w:rPr>
          <w:bCs/>
          <w:sz w:val="22"/>
          <w:lang w:val="sr-Cyrl-BA" w:eastAsia="en-US"/>
        </w:rPr>
        <w:t xml:space="preserve">, </w:t>
      </w:r>
      <w:r w:rsidR="002B5931">
        <w:rPr>
          <w:bCs/>
          <w:sz w:val="22"/>
          <w:lang w:val="sr-Cyrl-BA" w:eastAsia="en-US"/>
        </w:rPr>
        <w:t xml:space="preserve">ЈЛС </w:t>
      </w:r>
      <w:r w:rsidR="002E5F12" w:rsidRPr="002E5F12">
        <w:rPr>
          <w:bCs/>
          <w:sz w:val="22"/>
          <w:lang w:val="sr-Cyrl-BA" w:eastAsia="en-US"/>
        </w:rPr>
        <w:t xml:space="preserve">могу предузети </w:t>
      </w:r>
      <w:r w:rsidR="002B5931">
        <w:rPr>
          <w:bCs/>
          <w:sz w:val="22"/>
          <w:lang w:val="sr-Cyrl-BA" w:eastAsia="en-US"/>
        </w:rPr>
        <w:t>додатне кораке ка дигитализацији услуга</w:t>
      </w:r>
      <w:r w:rsidR="002E5F12" w:rsidRPr="002E5F12">
        <w:rPr>
          <w:bCs/>
          <w:sz w:val="22"/>
          <w:lang w:val="sr-Cyrl-BA" w:eastAsia="en-US"/>
        </w:rPr>
        <w:t xml:space="preserve">, повећати број </w:t>
      </w:r>
      <w:r w:rsidR="002B5931">
        <w:rPr>
          <w:bCs/>
          <w:sz w:val="22"/>
          <w:lang w:val="en-US" w:eastAsia="en-US"/>
        </w:rPr>
        <w:t>on</w:t>
      </w:r>
      <w:r w:rsidR="002E5F12" w:rsidRPr="002E5F12">
        <w:rPr>
          <w:bCs/>
          <w:sz w:val="22"/>
          <w:lang w:val="en-US" w:eastAsia="en-US"/>
        </w:rPr>
        <w:t>line</w:t>
      </w:r>
      <w:r w:rsidR="002E5F12" w:rsidRPr="002E5F12">
        <w:rPr>
          <w:bCs/>
          <w:sz w:val="22"/>
          <w:lang w:val="sr-Cyrl-BA" w:eastAsia="en-US"/>
        </w:rPr>
        <w:t xml:space="preserve"> услуга</w:t>
      </w:r>
      <w:r w:rsidR="002B5931">
        <w:rPr>
          <w:bCs/>
          <w:sz w:val="22"/>
          <w:lang w:val="sr-Cyrl-BA" w:eastAsia="en-US"/>
        </w:rPr>
        <w:t>,</w:t>
      </w:r>
      <w:r w:rsidR="002E5F12" w:rsidRPr="002E5F12">
        <w:rPr>
          <w:bCs/>
          <w:sz w:val="22"/>
          <w:lang w:val="sr-Cyrl-BA" w:eastAsia="en-US"/>
        </w:rPr>
        <w:t xml:space="preserve"> које пружају путем одређених апликација</w:t>
      </w:r>
      <w:r w:rsidR="002B5931">
        <w:rPr>
          <w:bCs/>
          <w:sz w:val="22"/>
          <w:lang w:val="sr-Cyrl-BA" w:eastAsia="en-US"/>
        </w:rPr>
        <w:t xml:space="preserve"> и </w:t>
      </w:r>
      <w:proofErr w:type="spellStart"/>
      <w:r w:rsidR="002B5931">
        <w:rPr>
          <w:bCs/>
          <w:sz w:val="22"/>
          <w:lang w:val="sr-Cyrl-BA" w:eastAsia="en-US"/>
        </w:rPr>
        <w:t>сл</w:t>
      </w:r>
      <w:proofErr w:type="spellEnd"/>
      <w:r w:rsidR="002E5F12" w:rsidRPr="002E5F12">
        <w:rPr>
          <w:bCs/>
          <w:sz w:val="22"/>
          <w:lang w:val="sr-Cyrl-BA" w:eastAsia="en-US"/>
        </w:rPr>
        <w:t>,</w:t>
      </w:r>
    </w:p>
    <w:p w14:paraId="29D7E6F2" w14:textId="2D72238D" w:rsidR="00CF1357" w:rsidRDefault="002B5931" w:rsidP="002B5931">
      <w:pPr>
        <w:tabs>
          <w:tab w:val="left" w:pos="1065"/>
        </w:tabs>
        <w:spacing w:line="276" w:lineRule="auto"/>
        <w:jc w:val="both"/>
        <w:rPr>
          <w:bCs/>
          <w:sz w:val="22"/>
          <w:lang w:val="sr-Cyrl-BA" w:eastAsia="en-US"/>
        </w:rPr>
      </w:pPr>
      <w:r>
        <w:rPr>
          <w:bCs/>
          <w:sz w:val="22"/>
          <w:lang w:val="sr-Cyrl-BA" w:eastAsia="en-US"/>
        </w:rPr>
        <w:tab/>
      </w:r>
      <w:r w:rsidR="002E5F12" w:rsidRPr="002E5F12">
        <w:rPr>
          <w:bCs/>
          <w:sz w:val="22"/>
          <w:lang w:val="en-US" w:eastAsia="en-US"/>
        </w:rPr>
        <w:t>-</w:t>
      </w:r>
      <w:r>
        <w:rPr>
          <w:bCs/>
          <w:sz w:val="22"/>
          <w:lang w:val="sr-Cyrl-RS" w:eastAsia="en-US"/>
        </w:rPr>
        <w:t>лок</w:t>
      </w:r>
      <w:r w:rsidR="0049580A">
        <w:rPr>
          <w:bCs/>
          <w:sz w:val="22"/>
          <w:lang w:val="sr-Cyrl-RS" w:eastAsia="en-US"/>
        </w:rPr>
        <w:t>ал</w:t>
      </w:r>
      <w:r>
        <w:rPr>
          <w:bCs/>
          <w:sz w:val="22"/>
          <w:lang w:val="sr-Cyrl-RS" w:eastAsia="en-US"/>
        </w:rPr>
        <w:t>не самоуправе треба да</w:t>
      </w:r>
      <w:r w:rsidR="002E5F12" w:rsidRPr="002E5F12">
        <w:rPr>
          <w:bCs/>
          <w:sz w:val="22"/>
          <w:lang w:val="sr-Cyrl-BA" w:eastAsia="en-US"/>
        </w:rPr>
        <w:t xml:space="preserve"> пруже подршку </w:t>
      </w:r>
      <w:proofErr w:type="spellStart"/>
      <w:r w:rsidR="002E5F12" w:rsidRPr="002E5F12">
        <w:rPr>
          <w:bCs/>
          <w:sz w:val="22"/>
          <w:lang w:val="sr-Cyrl-BA" w:eastAsia="en-US"/>
        </w:rPr>
        <w:t>волонтирању</w:t>
      </w:r>
      <w:proofErr w:type="spellEnd"/>
      <w:r w:rsidR="002E5F12" w:rsidRPr="002E5F12">
        <w:rPr>
          <w:bCs/>
          <w:sz w:val="22"/>
          <w:lang w:val="sr-Cyrl-BA" w:eastAsia="en-US"/>
        </w:rPr>
        <w:t xml:space="preserve">, које је </w:t>
      </w:r>
      <w:r>
        <w:rPr>
          <w:bCs/>
          <w:sz w:val="22"/>
          <w:lang w:val="sr-Cyrl-BA" w:eastAsia="en-US"/>
        </w:rPr>
        <w:t xml:space="preserve">у појединим земљама </w:t>
      </w:r>
      <w:r w:rsidR="002E5F12" w:rsidRPr="002E5F12">
        <w:rPr>
          <w:bCs/>
          <w:sz w:val="22"/>
          <w:lang w:val="sr-Cyrl-BA" w:eastAsia="en-US"/>
        </w:rPr>
        <w:t>играло кључну улогу у пружању подршке најугроженијима</w:t>
      </w:r>
      <w:r>
        <w:rPr>
          <w:bCs/>
          <w:sz w:val="22"/>
          <w:lang w:val="sr-Cyrl-BA" w:eastAsia="en-US"/>
        </w:rPr>
        <w:t xml:space="preserve"> грађанима</w:t>
      </w:r>
      <w:r w:rsidR="002E5F12" w:rsidRPr="002E5F12">
        <w:rPr>
          <w:bCs/>
          <w:sz w:val="22"/>
          <w:lang w:val="sr-Cyrl-BA" w:eastAsia="en-US"/>
        </w:rPr>
        <w:t xml:space="preserve"> током </w:t>
      </w:r>
      <w:proofErr w:type="spellStart"/>
      <w:r>
        <w:rPr>
          <w:bCs/>
          <w:sz w:val="22"/>
          <w:lang w:val="sr-Cyrl-BA" w:eastAsia="en-US"/>
        </w:rPr>
        <w:t>пандемије</w:t>
      </w:r>
      <w:proofErr w:type="spellEnd"/>
      <w:r>
        <w:rPr>
          <w:bCs/>
          <w:sz w:val="22"/>
          <w:lang w:val="sr-Cyrl-BA" w:eastAsia="en-US"/>
        </w:rPr>
        <w:t xml:space="preserve"> </w:t>
      </w:r>
      <w:r>
        <w:rPr>
          <w:bCs/>
          <w:sz w:val="22"/>
          <w:lang w:val="en-US" w:eastAsia="en-US"/>
        </w:rPr>
        <w:t>COVID-19</w:t>
      </w:r>
      <w:r w:rsidR="002E5F12" w:rsidRPr="002E5F12">
        <w:rPr>
          <w:bCs/>
          <w:sz w:val="22"/>
          <w:lang w:val="sr-Cyrl-BA" w:eastAsia="en-US"/>
        </w:rPr>
        <w:t>.</w:t>
      </w:r>
    </w:p>
    <w:p w14:paraId="0ECA9FB5" w14:textId="1B9FB185" w:rsidR="0049580A" w:rsidRPr="0049580A" w:rsidRDefault="0049580A" w:rsidP="002B5931">
      <w:pPr>
        <w:tabs>
          <w:tab w:val="left" w:pos="1065"/>
        </w:tabs>
        <w:spacing w:line="276" w:lineRule="auto"/>
        <w:jc w:val="both"/>
        <w:rPr>
          <w:bCs/>
          <w:sz w:val="22"/>
          <w:lang w:val="sr-Cyrl-RS" w:eastAsia="en-US"/>
        </w:rPr>
      </w:pPr>
      <w:r>
        <w:rPr>
          <w:bCs/>
          <w:sz w:val="22"/>
          <w:lang w:val="sr-Cyrl-BA" w:eastAsia="en-US"/>
        </w:rPr>
        <w:tab/>
        <w:t xml:space="preserve">Одговори ЈЛС из РС, које су одговориле на </w:t>
      </w:r>
      <w:r>
        <w:rPr>
          <w:bCs/>
          <w:sz w:val="22"/>
          <w:lang w:val="en-US" w:eastAsia="en-US"/>
        </w:rPr>
        <w:t>NALAS</w:t>
      </w:r>
      <w:r>
        <w:rPr>
          <w:bCs/>
          <w:sz w:val="22"/>
          <w:lang w:val="sr-Cyrl-RS" w:eastAsia="en-US"/>
        </w:rPr>
        <w:t xml:space="preserve">-ов упитник, у великом </w:t>
      </w:r>
      <w:proofErr w:type="spellStart"/>
      <w:r>
        <w:rPr>
          <w:bCs/>
          <w:sz w:val="22"/>
          <w:lang w:val="sr-Cyrl-RS" w:eastAsia="en-US"/>
        </w:rPr>
        <w:t>дјелу</w:t>
      </w:r>
      <w:proofErr w:type="spellEnd"/>
      <w:r>
        <w:rPr>
          <w:bCs/>
          <w:sz w:val="22"/>
          <w:lang w:val="sr-Cyrl-RS" w:eastAsia="en-US"/>
        </w:rPr>
        <w:t xml:space="preserve">,  поклапају се са горе наведеним сумираним </w:t>
      </w:r>
      <w:proofErr w:type="spellStart"/>
      <w:r>
        <w:rPr>
          <w:bCs/>
          <w:sz w:val="22"/>
          <w:lang w:val="sr-Cyrl-RS" w:eastAsia="en-US"/>
        </w:rPr>
        <w:t>мјерама</w:t>
      </w:r>
      <w:proofErr w:type="spellEnd"/>
      <w:r>
        <w:rPr>
          <w:bCs/>
          <w:sz w:val="22"/>
          <w:lang w:val="sr-Cyrl-RS" w:eastAsia="en-US"/>
        </w:rPr>
        <w:t xml:space="preserve"> и активностима наведеним у тачки 6.1. </w:t>
      </w:r>
      <w:proofErr w:type="spellStart"/>
      <w:r>
        <w:rPr>
          <w:bCs/>
          <w:sz w:val="22"/>
          <w:lang w:val="sr-Cyrl-RS" w:eastAsia="en-US"/>
        </w:rPr>
        <w:t>Извјештаја</w:t>
      </w:r>
      <w:proofErr w:type="spellEnd"/>
      <w:r>
        <w:rPr>
          <w:bCs/>
          <w:sz w:val="22"/>
          <w:lang w:val="sr-Cyrl-RS" w:eastAsia="en-US"/>
        </w:rPr>
        <w:t xml:space="preserve"> </w:t>
      </w:r>
      <w:r>
        <w:rPr>
          <w:bCs/>
          <w:sz w:val="22"/>
          <w:lang w:val="en-US" w:eastAsia="en-US"/>
        </w:rPr>
        <w:t>NALAS</w:t>
      </w:r>
      <w:r>
        <w:rPr>
          <w:bCs/>
          <w:sz w:val="22"/>
          <w:lang w:val="sr-Cyrl-RS" w:eastAsia="en-US"/>
        </w:rPr>
        <w:t xml:space="preserve">-а. </w:t>
      </w:r>
      <w:proofErr w:type="spellStart"/>
      <w:r>
        <w:rPr>
          <w:bCs/>
          <w:sz w:val="22"/>
          <w:lang w:val="sr-Cyrl-RS" w:eastAsia="en-US"/>
        </w:rPr>
        <w:t>Закучак</w:t>
      </w:r>
      <w:proofErr w:type="spellEnd"/>
      <w:r>
        <w:rPr>
          <w:bCs/>
          <w:sz w:val="22"/>
          <w:lang w:val="sr-Cyrl-RS" w:eastAsia="en-US"/>
        </w:rPr>
        <w:t xml:space="preserve"> је овог </w:t>
      </w:r>
      <w:proofErr w:type="spellStart"/>
      <w:r>
        <w:rPr>
          <w:bCs/>
          <w:sz w:val="22"/>
          <w:lang w:val="sr-Cyrl-RS" w:eastAsia="en-US"/>
        </w:rPr>
        <w:t>дијела</w:t>
      </w:r>
      <w:proofErr w:type="spellEnd"/>
      <w:r>
        <w:rPr>
          <w:bCs/>
          <w:sz w:val="22"/>
          <w:lang w:val="sr-Cyrl-RS" w:eastAsia="en-US"/>
        </w:rPr>
        <w:t xml:space="preserve"> </w:t>
      </w:r>
      <w:proofErr w:type="spellStart"/>
      <w:r>
        <w:rPr>
          <w:bCs/>
          <w:sz w:val="22"/>
          <w:lang w:val="sr-Cyrl-RS" w:eastAsia="en-US"/>
        </w:rPr>
        <w:t>Извјештаја</w:t>
      </w:r>
      <w:proofErr w:type="spellEnd"/>
      <w:r>
        <w:rPr>
          <w:bCs/>
          <w:sz w:val="22"/>
          <w:lang w:val="sr-Cyrl-RS" w:eastAsia="en-US"/>
        </w:rPr>
        <w:t xml:space="preserve"> </w:t>
      </w:r>
      <w:r>
        <w:rPr>
          <w:bCs/>
          <w:sz w:val="22"/>
          <w:lang w:val="en-US" w:eastAsia="en-US"/>
        </w:rPr>
        <w:t>NALAS</w:t>
      </w:r>
      <w:r>
        <w:rPr>
          <w:bCs/>
          <w:sz w:val="22"/>
          <w:lang w:val="sr-Cyrl-RS" w:eastAsia="en-US"/>
        </w:rPr>
        <w:t xml:space="preserve">-а да „локалне самоуправе су биле и сигурно ће остати на првој линији одговора на кризу изазвану </w:t>
      </w:r>
      <w:proofErr w:type="spellStart"/>
      <w:r>
        <w:rPr>
          <w:bCs/>
          <w:sz w:val="22"/>
          <w:lang w:val="sr-Cyrl-RS" w:eastAsia="en-US"/>
        </w:rPr>
        <w:t>пандемијом</w:t>
      </w:r>
      <w:proofErr w:type="spellEnd"/>
      <w:r>
        <w:rPr>
          <w:bCs/>
          <w:sz w:val="22"/>
          <w:lang w:val="sr-Cyrl-RS" w:eastAsia="en-US"/>
        </w:rPr>
        <w:t xml:space="preserve"> </w:t>
      </w:r>
      <w:r>
        <w:rPr>
          <w:bCs/>
          <w:sz w:val="22"/>
          <w:lang w:val="en-US" w:eastAsia="en-US"/>
        </w:rPr>
        <w:t>COVID-19</w:t>
      </w:r>
      <w:r>
        <w:rPr>
          <w:bCs/>
          <w:sz w:val="22"/>
          <w:lang w:val="sr-Latn-RS" w:eastAsia="en-US"/>
        </w:rPr>
        <w:t xml:space="preserve"> </w:t>
      </w:r>
      <w:r>
        <w:rPr>
          <w:bCs/>
          <w:sz w:val="22"/>
          <w:lang w:val="sr-Cyrl-RS" w:eastAsia="en-US"/>
        </w:rPr>
        <w:t>суочавајући се са изазовима без преседана“</w:t>
      </w:r>
      <w:r w:rsidR="001862F5">
        <w:rPr>
          <w:rStyle w:val="FootnoteReference"/>
          <w:bCs/>
          <w:sz w:val="22"/>
          <w:lang w:val="sr-Cyrl-RS" w:eastAsia="en-US"/>
        </w:rPr>
        <w:footnoteReference w:id="18"/>
      </w:r>
      <w:r>
        <w:rPr>
          <w:bCs/>
          <w:sz w:val="22"/>
          <w:lang w:val="sr-Cyrl-RS" w:eastAsia="en-US"/>
        </w:rPr>
        <w:t xml:space="preserve">. </w:t>
      </w:r>
    </w:p>
    <w:p w14:paraId="7A388292" w14:textId="317A3F89" w:rsidR="00C20CEF" w:rsidRDefault="00C20CEF" w:rsidP="00C20CEF">
      <w:pPr>
        <w:spacing w:line="276" w:lineRule="auto"/>
        <w:ind w:firstLine="709"/>
        <w:jc w:val="both"/>
        <w:rPr>
          <w:b/>
          <w:color w:val="000000"/>
          <w:sz w:val="22"/>
          <w:szCs w:val="22"/>
          <w:lang w:val="sr-Cyrl-RS"/>
        </w:rPr>
      </w:pPr>
    </w:p>
    <w:p w14:paraId="3E434EB3" w14:textId="19314735" w:rsidR="00580191" w:rsidRDefault="00D93C87" w:rsidP="00C20CEF">
      <w:pPr>
        <w:spacing w:line="276" w:lineRule="auto"/>
        <w:ind w:firstLine="709"/>
        <w:jc w:val="both"/>
        <w:rPr>
          <w:b/>
          <w:color w:val="000000"/>
          <w:sz w:val="22"/>
          <w:szCs w:val="22"/>
          <w:lang w:val="sr-Cyrl-RS"/>
        </w:rPr>
      </w:pPr>
      <w:r>
        <w:rPr>
          <w:b/>
          <w:color w:val="000000"/>
          <w:sz w:val="22"/>
          <w:szCs w:val="22"/>
          <w:lang w:val="sr-Cyrl-RS"/>
        </w:rPr>
        <w:t>-</w:t>
      </w:r>
      <w:r w:rsidR="00CF1357">
        <w:rPr>
          <w:b/>
          <w:color w:val="000000"/>
          <w:sz w:val="22"/>
          <w:szCs w:val="22"/>
          <w:lang w:val="sr-Cyrl-RS"/>
        </w:rPr>
        <w:t>Локалне</w:t>
      </w:r>
      <w:r w:rsidR="00CF1357" w:rsidRPr="0055390D">
        <w:rPr>
          <w:b/>
          <w:color w:val="000000"/>
          <w:sz w:val="22"/>
          <w:szCs w:val="22"/>
          <w:lang w:val="sr-Cyrl-RS"/>
        </w:rPr>
        <w:t xml:space="preserve"> </w:t>
      </w:r>
      <w:r w:rsidR="006538DD" w:rsidRPr="0055390D">
        <w:rPr>
          <w:b/>
          <w:color w:val="000000"/>
          <w:sz w:val="22"/>
          <w:szCs w:val="22"/>
          <w:lang w:val="sr-Cyrl-RS"/>
        </w:rPr>
        <w:t>самоуправ</w:t>
      </w:r>
      <w:r w:rsidR="006E5012">
        <w:rPr>
          <w:b/>
          <w:color w:val="000000"/>
          <w:sz w:val="22"/>
          <w:szCs w:val="22"/>
          <w:lang w:val="sr-Cyrl-RS"/>
        </w:rPr>
        <w:t xml:space="preserve">е </w:t>
      </w:r>
      <w:r w:rsidR="00CF1357">
        <w:rPr>
          <w:b/>
          <w:color w:val="000000"/>
          <w:sz w:val="22"/>
          <w:szCs w:val="22"/>
          <w:lang w:val="sr-Cyrl-RS"/>
        </w:rPr>
        <w:t xml:space="preserve">и </w:t>
      </w:r>
      <w:r w:rsidR="003264CE">
        <w:rPr>
          <w:b/>
          <w:color w:val="000000"/>
          <w:sz w:val="22"/>
          <w:szCs w:val="22"/>
          <w:lang w:val="sr-Cyrl-RS"/>
        </w:rPr>
        <w:t>стратегиј</w:t>
      </w:r>
      <w:r w:rsidR="00CF1357">
        <w:rPr>
          <w:b/>
          <w:color w:val="000000"/>
          <w:sz w:val="22"/>
          <w:szCs w:val="22"/>
          <w:lang w:val="sr-Cyrl-RS"/>
        </w:rPr>
        <w:t>е</w:t>
      </w:r>
      <w:r w:rsidR="003264CE">
        <w:rPr>
          <w:b/>
          <w:color w:val="000000"/>
          <w:sz w:val="22"/>
          <w:szCs w:val="22"/>
          <w:lang w:val="sr-Cyrl-RS"/>
        </w:rPr>
        <w:t xml:space="preserve"> опоравк</w:t>
      </w:r>
      <w:r w:rsidR="00131A1D">
        <w:rPr>
          <w:b/>
          <w:color w:val="000000"/>
          <w:sz w:val="22"/>
          <w:szCs w:val="22"/>
          <w:lang w:val="sr-Cyrl-RS"/>
        </w:rPr>
        <w:t>а</w:t>
      </w:r>
      <w:r w:rsidR="00C24CAF">
        <w:rPr>
          <w:rStyle w:val="FootnoteReference"/>
          <w:b/>
          <w:color w:val="000000"/>
          <w:sz w:val="22"/>
          <w:szCs w:val="22"/>
          <w:lang w:val="sr-Cyrl-RS"/>
        </w:rPr>
        <w:footnoteReference w:id="19"/>
      </w:r>
      <w:r w:rsidR="00CF1357">
        <w:rPr>
          <w:b/>
          <w:color w:val="000000"/>
          <w:sz w:val="22"/>
          <w:szCs w:val="22"/>
          <w:lang w:val="sr-Cyrl-RS"/>
        </w:rPr>
        <w:t>.</w:t>
      </w:r>
    </w:p>
    <w:p w14:paraId="1E187828" w14:textId="03EFC81B" w:rsidR="00B75B95" w:rsidRPr="00D93C87" w:rsidRDefault="006538DD" w:rsidP="003264CE">
      <w:pPr>
        <w:spacing w:line="276" w:lineRule="auto"/>
        <w:ind w:firstLine="709"/>
        <w:jc w:val="both"/>
        <w:rPr>
          <w:b/>
          <w:bCs/>
          <w:sz w:val="22"/>
          <w:szCs w:val="22"/>
          <w:lang w:val="sr-Latn-RS" w:eastAsia="en-US"/>
        </w:rPr>
      </w:pPr>
      <w:r w:rsidRPr="0055390D">
        <w:rPr>
          <w:color w:val="000000"/>
          <w:sz w:val="22"/>
          <w:szCs w:val="22"/>
          <w:lang w:val="sr-Cyrl-RS"/>
        </w:rPr>
        <w:t xml:space="preserve">Према </w:t>
      </w:r>
      <w:proofErr w:type="spellStart"/>
      <w:r w:rsidR="006E5012">
        <w:rPr>
          <w:color w:val="000000"/>
          <w:sz w:val="22"/>
          <w:szCs w:val="22"/>
          <w:lang w:val="sr-Cyrl-RS"/>
        </w:rPr>
        <w:t>Извј</w:t>
      </w:r>
      <w:r w:rsidR="00D93C87">
        <w:rPr>
          <w:color w:val="000000"/>
          <w:sz w:val="22"/>
          <w:szCs w:val="22"/>
          <w:lang w:val="sr-Cyrl-RS"/>
        </w:rPr>
        <w:t>е</w:t>
      </w:r>
      <w:r w:rsidR="006E5012">
        <w:rPr>
          <w:color w:val="000000"/>
          <w:sz w:val="22"/>
          <w:szCs w:val="22"/>
          <w:lang w:val="sr-Cyrl-RS"/>
        </w:rPr>
        <w:t>ш</w:t>
      </w:r>
      <w:r w:rsidR="00D93C87">
        <w:rPr>
          <w:color w:val="000000"/>
          <w:sz w:val="22"/>
          <w:szCs w:val="22"/>
          <w:lang w:val="sr-Cyrl-RS"/>
        </w:rPr>
        <w:t>тају</w:t>
      </w:r>
      <w:proofErr w:type="spellEnd"/>
      <w:r w:rsidRPr="0055390D">
        <w:rPr>
          <w:color w:val="000000"/>
          <w:sz w:val="22"/>
          <w:szCs w:val="22"/>
          <w:lang w:val="sr-Cyrl-RS"/>
        </w:rPr>
        <w:t xml:space="preserve"> </w:t>
      </w:r>
      <w:r w:rsidRPr="0055390D">
        <w:rPr>
          <w:color w:val="000000"/>
          <w:sz w:val="22"/>
          <w:szCs w:val="22"/>
          <w:lang w:val="en-US"/>
        </w:rPr>
        <w:t>NALAS</w:t>
      </w:r>
      <w:r w:rsidRPr="0055390D">
        <w:rPr>
          <w:color w:val="000000"/>
          <w:sz w:val="22"/>
          <w:szCs w:val="22"/>
          <w:lang w:val="sr-Cyrl-RS"/>
        </w:rPr>
        <w:t>-а, кључне области интервенције и стратегије опоравка за већину анкетираних ЈЛС, су локална економија, социјална заштита, зд</w:t>
      </w:r>
      <w:r w:rsidR="00F93C69" w:rsidRPr="0055390D">
        <w:rPr>
          <w:color w:val="000000"/>
          <w:sz w:val="22"/>
          <w:szCs w:val="22"/>
          <w:lang w:val="sr-Cyrl-RS"/>
        </w:rPr>
        <w:t>р</w:t>
      </w:r>
      <w:r w:rsidRPr="0055390D">
        <w:rPr>
          <w:color w:val="000000"/>
          <w:sz w:val="22"/>
          <w:szCs w:val="22"/>
          <w:lang w:val="sr-Cyrl-RS"/>
        </w:rPr>
        <w:t xml:space="preserve">авство и циљане инвестиције. </w:t>
      </w:r>
      <w:r w:rsidR="0003007A" w:rsidRPr="0055390D">
        <w:rPr>
          <w:color w:val="000000"/>
          <w:sz w:val="22"/>
          <w:szCs w:val="22"/>
          <w:lang w:val="sr-Cyrl-RS"/>
        </w:rPr>
        <w:t>На нивоу анкетираних ЈЛС у југоисточној Евро</w:t>
      </w:r>
      <w:r w:rsidR="00F93C69" w:rsidRPr="0055390D">
        <w:rPr>
          <w:color w:val="000000"/>
          <w:sz w:val="22"/>
          <w:szCs w:val="22"/>
          <w:lang w:val="sr-Cyrl-RS"/>
        </w:rPr>
        <w:t xml:space="preserve">пи, 40% их је усвојило посебну </w:t>
      </w:r>
      <w:r w:rsidR="0003007A" w:rsidRPr="0055390D">
        <w:rPr>
          <w:color w:val="000000"/>
          <w:sz w:val="22"/>
          <w:szCs w:val="22"/>
          <w:lang w:val="sr-Cyrl-RS"/>
        </w:rPr>
        <w:t>стратегију опоравка, поред ребаланса буџета.</w:t>
      </w:r>
      <w:r w:rsidR="00D93C87">
        <w:rPr>
          <w:color w:val="000000"/>
          <w:sz w:val="22"/>
          <w:szCs w:val="22"/>
          <w:lang w:val="sr-Cyrl-RS"/>
        </w:rPr>
        <w:t xml:space="preserve"> </w:t>
      </w:r>
      <w:r w:rsidR="006E5012">
        <w:rPr>
          <w:color w:val="000000"/>
          <w:sz w:val="22"/>
          <w:szCs w:val="22"/>
          <w:lang w:val="sr-Cyrl-RS"/>
        </w:rPr>
        <w:t>Увидом у појединачне упитнике, с</w:t>
      </w:r>
      <w:r w:rsidR="00D93C87">
        <w:rPr>
          <w:color w:val="000000"/>
          <w:sz w:val="22"/>
          <w:szCs w:val="22"/>
          <w:lang w:val="sr-Cyrl-RS"/>
        </w:rPr>
        <w:t>ве анкетиране ЈЛС</w:t>
      </w:r>
      <w:r w:rsidR="00D93C87">
        <w:rPr>
          <w:color w:val="000000"/>
          <w:sz w:val="22"/>
          <w:szCs w:val="22"/>
          <w:lang w:val="sr-Latn-RS"/>
        </w:rPr>
        <w:t xml:space="preserve"> </w:t>
      </w:r>
      <w:r w:rsidR="00D93C87">
        <w:rPr>
          <w:color w:val="000000"/>
          <w:sz w:val="22"/>
          <w:szCs w:val="22"/>
          <w:lang w:val="sr-Cyrl-RS"/>
        </w:rPr>
        <w:t xml:space="preserve">из РС у овом истраживању </w:t>
      </w:r>
      <w:r w:rsidR="00D93C87">
        <w:rPr>
          <w:color w:val="000000"/>
          <w:sz w:val="22"/>
          <w:szCs w:val="22"/>
          <w:lang w:val="en-US"/>
        </w:rPr>
        <w:t>NALAS</w:t>
      </w:r>
      <w:r w:rsidR="00D93C87">
        <w:rPr>
          <w:color w:val="000000"/>
          <w:sz w:val="22"/>
          <w:szCs w:val="22"/>
          <w:lang w:val="sr-Cyrl-RS"/>
        </w:rPr>
        <w:t xml:space="preserve">-а су одговориле да нису усвојиле посебну стратегију опоравка, али је евидентно да су све приступиле усвајању ребаланса буџета, како би </w:t>
      </w:r>
      <w:proofErr w:type="spellStart"/>
      <w:r w:rsidR="00D93C87">
        <w:rPr>
          <w:color w:val="000000"/>
          <w:sz w:val="22"/>
          <w:szCs w:val="22"/>
          <w:lang w:val="sr-Cyrl-RS"/>
        </w:rPr>
        <w:t>редефи</w:t>
      </w:r>
      <w:r w:rsidR="006E5012">
        <w:rPr>
          <w:color w:val="000000"/>
          <w:sz w:val="22"/>
          <w:szCs w:val="22"/>
          <w:lang w:val="sr-Cyrl-RS"/>
        </w:rPr>
        <w:t>нислае</w:t>
      </w:r>
      <w:proofErr w:type="spellEnd"/>
      <w:r w:rsidR="006E5012">
        <w:rPr>
          <w:color w:val="000000"/>
          <w:sz w:val="22"/>
          <w:szCs w:val="22"/>
          <w:lang w:val="sr-Cyrl-RS"/>
        </w:rPr>
        <w:t xml:space="preserve"> приоритете у потрошњи у складу</w:t>
      </w:r>
      <w:r w:rsidR="00D93C87">
        <w:rPr>
          <w:color w:val="000000"/>
          <w:sz w:val="22"/>
          <w:szCs w:val="22"/>
          <w:lang w:val="sr-Cyrl-RS"/>
        </w:rPr>
        <w:t xml:space="preserve"> са падом прихода.</w:t>
      </w:r>
    </w:p>
    <w:p w14:paraId="754B0B4E" w14:textId="350E7481" w:rsidR="0080553C" w:rsidRDefault="0080553C" w:rsidP="00D93C87">
      <w:pPr>
        <w:spacing w:line="276" w:lineRule="auto"/>
        <w:jc w:val="both"/>
        <w:rPr>
          <w:b/>
          <w:sz w:val="22"/>
          <w:szCs w:val="22"/>
          <w:lang w:val="sr-Cyrl-RS"/>
        </w:rPr>
      </w:pPr>
    </w:p>
    <w:p w14:paraId="717F3B7B" w14:textId="04C34118" w:rsidR="004944FA" w:rsidRDefault="0080553C" w:rsidP="003264CE">
      <w:pPr>
        <w:spacing w:line="276" w:lineRule="auto"/>
        <w:ind w:firstLine="709"/>
        <w:jc w:val="both"/>
        <w:rPr>
          <w:b/>
          <w:sz w:val="22"/>
          <w:szCs w:val="22"/>
          <w:lang w:val="sr-Cyrl-RS"/>
        </w:rPr>
      </w:pPr>
      <w:r>
        <w:rPr>
          <w:b/>
          <w:sz w:val="22"/>
          <w:szCs w:val="22"/>
          <w:lang w:val="sr-Cyrl-RS"/>
        </w:rPr>
        <w:t>-У</w:t>
      </w:r>
      <w:r w:rsidR="002E5785" w:rsidRPr="0055390D">
        <w:rPr>
          <w:b/>
          <w:sz w:val="22"/>
          <w:szCs w:val="22"/>
          <w:lang w:val="sr-Cyrl-RS"/>
        </w:rPr>
        <w:t xml:space="preserve">тицај </w:t>
      </w:r>
      <w:proofErr w:type="spellStart"/>
      <w:r w:rsidR="002E5785" w:rsidRPr="0055390D">
        <w:rPr>
          <w:b/>
          <w:sz w:val="22"/>
          <w:szCs w:val="22"/>
          <w:lang w:val="sr-Cyrl-RS"/>
        </w:rPr>
        <w:t>пандемије</w:t>
      </w:r>
      <w:proofErr w:type="spellEnd"/>
      <w:r w:rsidR="002E5785" w:rsidRPr="0055390D">
        <w:rPr>
          <w:b/>
          <w:sz w:val="22"/>
          <w:szCs w:val="22"/>
          <w:lang w:val="sr-Cyrl-RS"/>
        </w:rPr>
        <w:t xml:space="preserve"> на буџет</w:t>
      </w:r>
      <w:r>
        <w:rPr>
          <w:b/>
          <w:sz w:val="22"/>
          <w:szCs w:val="22"/>
          <w:lang w:val="sr-Cyrl-RS"/>
        </w:rPr>
        <w:t>е</w:t>
      </w:r>
      <w:r w:rsidR="006E5012">
        <w:rPr>
          <w:b/>
          <w:sz w:val="22"/>
          <w:szCs w:val="22"/>
          <w:lang w:val="sr-Cyrl-RS"/>
        </w:rPr>
        <w:t xml:space="preserve"> локалне самоуп</w:t>
      </w:r>
      <w:r w:rsidR="002E5785" w:rsidRPr="0055390D">
        <w:rPr>
          <w:b/>
          <w:sz w:val="22"/>
          <w:szCs w:val="22"/>
          <w:lang w:val="sr-Cyrl-RS"/>
        </w:rPr>
        <w:t>р</w:t>
      </w:r>
      <w:r w:rsidR="006E5012">
        <w:rPr>
          <w:b/>
          <w:sz w:val="22"/>
          <w:szCs w:val="22"/>
          <w:lang w:val="sr-Cyrl-RS"/>
        </w:rPr>
        <w:t>а</w:t>
      </w:r>
      <w:r w:rsidR="002E5785" w:rsidRPr="0055390D">
        <w:rPr>
          <w:b/>
          <w:sz w:val="22"/>
          <w:szCs w:val="22"/>
          <w:lang w:val="sr-Cyrl-RS"/>
        </w:rPr>
        <w:t xml:space="preserve">ве у средњем року, у случају да виши ниво власти не </w:t>
      </w:r>
      <w:proofErr w:type="spellStart"/>
      <w:r w:rsidR="002E5785" w:rsidRPr="0055390D">
        <w:rPr>
          <w:b/>
          <w:sz w:val="22"/>
          <w:szCs w:val="22"/>
          <w:lang w:val="sr-Cyrl-RS"/>
        </w:rPr>
        <w:t>обезб</w:t>
      </w:r>
      <w:r w:rsidR="00F93C69" w:rsidRPr="0055390D">
        <w:rPr>
          <w:b/>
          <w:sz w:val="22"/>
          <w:szCs w:val="22"/>
          <w:lang w:val="sr-Cyrl-RS"/>
        </w:rPr>
        <w:t>и</w:t>
      </w:r>
      <w:r w:rsidR="002E5785" w:rsidRPr="0055390D">
        <w:rPr>
          <w:b/>
          <w:sz w:val="22"/>
          <w:szCs w:val="22"/>
          <w:lang w:val="sr-Cyrl-RS"/>
        </w:rPr>
        <w:t>једи</w:t>
      </w:r>
      <w:proofErr w:type="spellEnd"/>
      <w:r w:rsidR="002E5785" w:rsidRPr="0055390D">
        <w:rPr>
          <w:b/>
          <w:sz w:val="22"/>
          <w:szCs w:val="22"/>
          <w:lang w:val="sr-Cyrl-RS"/>
        </w:rPr>
        <w:t xml:space="preserve"> додатна средства или повећање прихода</w:t>
      </w:r>
      <w:r w:rsidR="00C24CAF">
        <w:rPr>
          <w:rStyle w:val="FootnoteReference"/>
          <w:b/>
          <w:sz w:val="22"/>
          <w:szCs w:val="22"/>
          <w:lang w:val="sr-Cyrl-RS"/>
        </w:rPr>
        <w:footnoteReference w:id="20"/>
      </w:r>
      <w:r>
        <w:rPr>
          <w:b/>
          <w:sz w:val="22"/>
          <w:szCs w:val="22"/>
          <w:lang w:val="sr-Cyrl-RS"/>
        </w:rPr>
        <w:t>.</w:t>
      </w:r>
    </w:p>
    <w:p w14:paraId="54380B2A" w14:textId="08332740" w:rsidR="006C5D53" w:rsidRPr="0049580A" w:rsidRDefault="006E5012" w:rsidP="00790A22">
      <w:pPr>
        <w:spacing w:line="276" w:lineRule="auto"/>
        <w:ind w:firstLine="709"/>
        <w:jc w:val="both"/>
        <w:rPr>
          <w:sz w:val="22"/>
          <w:szCs w:val="22"/>
          <w:lang w:val="sr-Latn-RS"/>
        </w:rPr>
      </w:pPr>
      <w:r>
        <w:rPr>
          <w:sz w:val="22"/>
          <w:szCs w:val="22"/>
          <w:lang w:val="sr-Cyrl-RS"/>
        </w:rPr>
        <w:t xml:space="preserve">Према </w:t>
      </w:r>
      <w:proofErr w:type="spellStart"/>
      <w:r>
        <w:rPr>
          <w:sz w:val="22"/>
          <w:szCs w:val="22"/>
          <w:lang w:val="sr-Cyrl-RS"/>
        </w:rPr>
        <w:t>Извјештају</w:t>
      </w:r>
      <w:proofErr w:type="spellEnd"/>
      <w:r>
        <w:rPr>
          <w:sz w:val="22"/>
          <w:szCs w:val="22"/>
          <w:lang w:val="sr-Cyrl-RS"/>
        </w:rPr>
        <w:t xml:space="preserve"> </w:t>
      </w:r>
      <w:r>
        <w:rPr>
          <w:sz w:val="22"/>
          <w:szCs w:val="22"/>
          <w:lang w:val="en-US"/>
        </w:rPr>
        <w:t>NALAS</w:t>
      </w:r>
      <w:r>
        <w:rPr>
          <w:sz w:val="22"/>
          <w:szCs w:val="22"/>
          <w:lang w:val="sr-Latn-RS"/>
        </w:rPr>
        <w:t>-a</w:t>
      </w:r>
      <w:r>
        <w:rPr>
          <w:sz w:val="22"/>
          <w:szCs w:val="22"/>
          <w:lang w:val="sr-Cyrl-RS"/>
        </w:rPr>
        <w:t>,</w:t>
      </w:r>
      <w:r>
        <w:rPr>
          <w:sz w:val="22"/>
          <w:szCs w:val="22"/>
          <w:lang w:val="sr-Latn-RS"/>
        </w:rPr>
        <w:t xml:space="preserve"> </w:t>
      </w:r>
      <w:r>
        <w:rPr>
          <w:sz w:val="22"/>
          <w:szCs w:val="22"/>
          <w:lang w:val="sr-Cyrl-RS"/>
        </w:rPr>
        <w:t>л</w:t>
      </w:r>
      <w:r w:rsidR="006C5D53" w:rsidRPr="006C5D53">
        <w:rPr>
          <w:sz w:val="22"/>
          <w:szCs w:val="22"/>
          <w:lang w:val="sr-Cyrl-RS"/>
        </w:rPr>
        <w:t>окалне сам</w:t>
      </w:r>
      <w:r>
        <w:rPr>
          <w:sz w:val="22"/>
          <w:szCs w:val="22"/>
          <w:lang w:val="sr-Cyrl-RS"/>
        </w:rPr>
        <w:t>о</w:t>
      </w:r>
      <w:r w:rsidR="006C5D53" w:rsidRPr="006C5D53">
        <w:rPr>
          <w:sz w:val="22"/>
          <w:szCs w:val="22"/>
          <w:lang w:val="sr-Cyrl-RS"/>
        </w:rPr>
        <w:t xml:space="preserve">управе у ЈИЕ очекују </w:t>
      </w:r>
      <w:proofErr w:type="spellStart"/>
      <w:r w:rsidR="006C5D53" w:rsidRPr="006C5D53">
        <w:rPr>
          <w:sz w:val="22"/>
          <w:szCs w:val="22"/>
          <w:lang w:val="sr-Latn-BA"/>
        </w:rPr>
        <w:t>промјену</w:t>
      </w:r>
      <w:proofErr w:type="spellEnd"/>
      <w:r w:rsidR="006C5D53" w:rsidRPr="006C5D53">
        <w:rPr>
          <w:sz w:val="22"/>
          <w:szCs w:val="22"/>
          <w:lang w:val="sr-Latn-BA"/>
        </w:rPr>
        <w:t xml:space="preserve"> у </w:t>
      </w:r>
      <w:r>
        <w:rPr>
          <w:sz w:val="22"/>
          <w:szCs w:val="22"/>
          <w:lang w:val="sr-Cyrl-RS"/>
        </w:rPr>
        <w:t>структури</w:t>
      </w:r>
      <w:r w:rsidR="006C5D53" w:rsidRPr="006C5D53">
        <w:rPr>
          <w:sz w:val="22"/>
          <w:szCs w:val="22"/>
          <w:lang w:val="sr-Latn-BA"/>
        </w:rPr>
        <w:t xml:space="preserve"> </w:t>
      </w:r>
      <w:proofErr w:type="spellStart"/>
      <w:r w:rsidR="006C5D53" w:rsidRPr="006C5D53">
        <w:rPr>
          <w:sz w:val="22"/>
          <w:szCs w:val="22"/>
          <w:lang w:val="sr-Latn-BA"/>
        </w:rPr>
        <w:t>потрошње</w:t>
      </w:r>
      <w:proofErr w:type="spellEnd"/>
      <w:r w:rsidR="006C5D53" w:rsidRPr="006C5D53">
        <w:rPr>
          <w:sz w:val="22"/>
          <w:szCs w:val="22"/>
          <w:lang w:val="sr-Latn-BA"/>
        </w:rPr>
        <w:t xml:space="preserve"> у </w:t>
      </w:r>
      <w:proofErr w:type="spellStart"/>
      <w:r w:rsidR="006C5D53" w:rsidRPr="006C5D53">
        <w:rPr>
          <w:sz w:val="22"/>
          <w:szCs w:val="22"/>
          <w:lang w:val="sr-Latn-BA"/>
        </w:rPr>
        <w:t>средњорочном</w:t>
      </w:r>
      <w:proofErr w:type="spellEnd"/>
      <w:r w:rsidR="006C5D53" w:rsidRPr="006C5D53">
        <w:rPr>
          <w:sz w:val="22"/>
          <w:szCs w:val="22"/>
          <w:lang w:val="sr-Latn-BA"/>
        </w:rPr>
        <w:t xml:space="preserve"> </w:t>
      </w:r>
      <w:proofErr w:type="spellStart"/>
      <w:r w:rsidR="006C5D53" w:rsidRPr="006C5D53">
        <w:rPr>
          <w:sz w:val="22"/>
          <w:szCs w:val="22"/>
          <w:lang w:val="sr-Latn-BA"/>
        </w:rPr>
        <w:t>периоду</w:t>
      </w:r>
      <w:proofErr w:type="spellEnd"/>
      <w:r w:rsidR="006C5D53" w:rsidRPr="006C5D53">
        <w:rPr>
          <w:sz w:val="22"/>
          <w:szCs w:val="22"/>
          <w:lang w:val="sr-Latn-BA"/>
        </w:rPr>
        <w:t xml:space="preserve">, </w:t>
      </w:r>
      <w:proofErr w:type="spellStart"/>
      <w:r w:rsidR="006C5D53" w:rsidRPr="006C5D53">
        <w:rPr>
          <w:sz w:val="22"/>
          <w:szCs w:val="22"/>
          <w:lang w:val="sr-Latn-BA"/>
        </w:rPr>
        <w:t>ако</w:t>
      </w:r>
      <w:proofErr w:type="spellEnd"/>
      <w:r w:rsidR="006C5D53" w:rsidRPr="006C5D53">
        <w:rPr>
          <w:sz w:val="22"/>
          <w:szCs w:val="22"/>
          <w:lang w:val="sr-Latn-BA"/>
        </w:rPr>
        <w:t xml:space="preserve"> </w:t>
      </w:r>
      <w:proofErr w:type="spellStart"/>
      <w:r w:rsidR="006C5D53" w:rsidRPr="006C5D53">
        <w:rPr>
          <w:sz w:val="22"/>
          <w:szCs w:val="22"/>
          <w:lang w:val="sr-Latn-BA"/>
        </w:rPr>
        <w:t>се</w:t>
      </w:r>
      <w:proofErr w:type="spellEnd"/>
      <w:r w:rsidR="006C5D53" w:rsidRPr="006C5D53">
        <w:rPr>
          <w:sz w:val="22"/>
          <w:szCs w:val="22"/>
          <w:lang w:val="sr-Latn-BA"/>
        </w:rPr>
        <w:t xml:space="preserve"> </w:t>
      </w:r>
      <w:proofErr w:type="spellStart"/>
      <w:r w:rsidR="006C5D53" w:rsidRPr="006C5D53">
        <w:rPr>
          <w:sz w:val="22"/>
          <w:szCs w:val="22"/>
          <w:lang w:val="sr-Latn-BA"/>
        </w:rPr>
        <w:t>са</w:t>
      </w:r>
      <w:proofErr w:type="spellEnd"/>
      <w:r w:rsidR="006C5D53" w:rsidRPr="006C5D53">
        <w:rPr>
          <w:sz w:val="22"/>
          <w:szCs w:val="22"/>
          <w:lang w:val="sr-Latn-BA"/>
        </w:rPr>
        <w:t xml:space="preserve"> </w:t>
      </w:r>
      <w:proofErr w:type="spellStart"/>
      <w:r w:rsidR="006C5D53" w:rsidRPr="006C5D53">
        <w:rPr>
          <w:sz w:val="22"/>
          <w:szCs w:val="22"/>
          <w:lang w:val="sr-Latn-BA"/>
        </w:rPr>
        <w:t>виших</w:t>
      </w:r>
      <w:proofErr w:type="spellEnd"/>
      <w:r w:rsidR="006C5D53" w:rsidRPr="006C5D53">
        <w:rPr>
          <w:sz w:val="22"/>
          <w:szCs w:val="22"/>
          <w:lang w:val="sr-Latn-BA"/>
        </w:rPr>
        <w:t xml:space="preserve"> </w:t>
      </w:r>
      <w:proofErr w:type="spellStart"/>
      <w:r w:rsidR="006C5D53" w:rsidRPr="006C5D53">
        <w:rPr>
          <w:sz w:val="22"/>
          <w:szCs w:val="22"/>
          <w:lang w:val="sr-Latn-BA"/>
        </w:rPr>
        <w:t>нивоа</w:t>
      </w:r>
      <w:proofErr w:type="spellEnd"/>
      <w:r w:rsidR="006C5D53" w:rsidRPr="006C5D53">
        <w:rPr>
          <w:sz w:val="22"/>
          <w:szCs w:val="22"/>
          <w:lang w:val="sr-Latn-BA"/>
        </w:rPr>
        <w:t xml:space="preserve"> </w:t>
      </w:r>
      <w:proofErr w:type="spellStart"/>
      <w:r w:rsidR="006C5D53" w:rsidRPr="006C5D53">
        <w:rPr>
          <w:sz w:val="22"/>
          <w:szCs w:val="22"/>
          <w:lang w:val="sr-Latn-BA"/>
        </w:rPr>
        <w:t>власти</w:t>
      </w:r>
      <w:proofErr w:type="spellEnd"/>
      <w:r w:rsidR="006C5D53" w:rsidRPr="006C5D53">
        <w:rPr>
          <w:sz w:val="22"/>
          <w:szCs w:val="22"/>
          <w:lang w:val="sr-Latn-BA"/>
        </w:rPr>
        <w:t xml:space="preserve"> </w:t>
      </w:r>
      <w:proofErr w:type="spellStart"/>
      <w:r w:rsidR="006C5D53" w:rsidRPr="006C5D53">
        <w:rPr>
          <w:sz w:val="22"/>
          <w:szCs w:val="22"/>
          <w:lang w:val="sr-Latn-BA"/>
        </w:rPr>
        <w:t>не</w:t>
      </w:r>
      <w:proofErr w:type="spellEnd"/>
      <w:r w:rsidR="006C5D53" w:rsidRPr="006C5D53">
        <w:rPr>
          <w:sz w:val="22"/>
          <w:szCs w:val="22"/>
          <w:lang w:val="sr-Latn-BA"/>
        </w:rPr>
        <w:t xml:space="preserve"> </w:t>
      </w:r>
      <w:proofErr w:type="spellStart"/>
      <w:r w:rsidR="006C5D53" w:rsidRPr="006C5D53">
        <w:rPr>
          <w:sz w:val="22"/>
          <w:szCs w:val="22"/>
          <w:lang w:val="sr-Latn-BA"/>
        </w:rPr>
        <w:t>обезб</w:t>
      </w:r>
      <w:r>
        <w:rPr>
          <w:sz w:val="22"/>
          <w:szCs w:val="22"/>
          <w:lang w:val="sr-Cyrl-RS"/>
        </w:rPr>
        <w:t>иј</w:t>
      </w:r>
      <w:r w:rsidR="006C5D53" w:rsidRPr="006C5D53">
        <w:rPr>
          <w:sz w:val="22"/>
          <w:szCs w:val="22"/>
          <w:lang w:val="sr-Latn-BA"/>
        </w:rPr>
        <w:t>еде</w:t>
      </w:r>
      <w:proofErr w:type="spellEnd"/>
      <w:r w:rsidR="006C5D53" w:rsidRPr="006C5D53">
        <w:rPr>
          <w:sz w:val="22"/>
          <w:szCs w:val="22"/>
          <w:lang w:val="sr-Latn-BA"/>
        </w:rPr>
        <w:t xml:space="preserve"> </w:t>
      </w:r>
      <w:proofErr w:type="spellStart"/>
      <w:r w:rsidR="006C5D53" w:rsidRPr="006C5D53">
        <w:rPr>
          <w:sz w:val="22"/>
          <w:szCs w:val="22"/>
          <w:lang w:val="sr-Latn-BA"/>
        </w:rPr>
        <w:t>додатна</w:t>
      </w:r>
      <w:proofErr w:type="spellEnd"/>
      <w:r w:rsidR="006C5D53" w:rsidRPr="006C5D53">
        <w:rPr>
          <w:sz w:val="22"/>
          <w:szCs w:val="22"/>
          <w:lang w:val="sr-Latn-BA"/>
        </w:rPr>
        <w:t xml:space="preserve"> </w:t>
      </w:r>
      <w:proofErr w:type="spellStart"/>
      <w:r w:rsidR="006C5D53" w:rsidRPr="006C5D53">
        <w:rPr>
          <w:sz w:val="22"/>
          <w:szCs w:val="22"/>
          <w:lang w:val="sr-Latn-BA"/>
        </w:rPr>
        <w:t>средства</w:t>
      </w:r>
      <w:proofErr w:type="spellEnd"/>
      <w:r w:rsidR="006C5D53" w:rsidRPr="006C5D53">
        <w:rPr>
          <w:sz w:val="22"/>
          <w:szCs w:val="22"/>
          <w:lang w:val="sr-Latn-BA"/>
        </w:rPr>
        <w:t xml:space="preserve"> </w:t>
      </w:r>
      <w:proofErr w:type="spellStart"/>
      <w:r w:rsidR="006C5D53" w:rsidRPr="006C5D53">
        <w:rPr>
          <w:sz w:val="22"/>
          <w:szCs w:val="22"/>
          <w:lang w:val="sr-Latn-BA"/>
        </w:rPr>
        <w:t>или</w:t>
      </w:r>
      <w:proofErr w:type="spellEnd"/>
      <w:r w:rsidR="006C5D53" w:rsidRPr="006C5D53">
        <w:rPr>
          <w:sz w:val="22"/>
          <w:szCs w:val="22"/>
          <w:lang w:val="sr-Latn-BA"/>
        </w:rPr>
        <w:t xml:space="preserve"> </w:t>
      </w:r>
      <w:proofErr w:type="spellStart"/>
      <w:r w:rsidR="006C5D53" w:rsidRPr="006C5D53">
        <w:rPr>
          <w:sz w:val="22"/>
          <w:szCs w:val="22"/>
          <w:lang w:val="sr-Latn-BA"/>
        </w:rPr>
        <w:t>опције</w:t>
      </w:r>
      <w:proofErr w:type="spellEnd"/>
      <w:r w:rsidR="006C5D53" w:rsidRPr="006C5D53">
        <w:rPr>
          <w:sz w:val="22"/>
          <w:szCs w:val="22"/>
          <w:lang w:val="sr-Latn-BA"/>
        </w:rPr>
        <w:t xml:space="preserve"> </w:t>
      </w:r>
      <w:proofErr w:type="spellStart"/>
      <w:r w:rsidR="006C5D53" w:rsidRPr="006C5D53">
        <w:rPr>
          <w:sz w:val="22"/>
          <w:szCs w:val="22"/>
          <w:lang w:val="sr-Latn-BA"/>
        </w:rPr>
        <w:t>за</w:t>
      </w:r>
      <w:proofErr w:type="spellEnd"/>
      <w:r w:rsidR="006C5D53" w:rsidRPr="006C5D53">
        <w:rPr>
          <w:sz w:val="22"/>
          <w:szCs w:val="22"/>
          <w:lang w:val="sr-Latn-BA"/>
        </w:rPr>
        <w:t xml:space="preserve"> </w:t>
      </w:r>
      <w:proofErr w:type="spellStart"/>
      <w:r w:rsidR="006C5D53" w:rsidRPr="006C5D53">
        <w:rPr>
          <w:sz w:val="22"/>
          <w:szCs w:val="22"/>
          <w:lang w:val="sr-Latn-BA"/>
        </w:rPr>
        <w:t>прикупљање</w:t>
      </w:r>
      <w:proofErr w:type="spellEnd"/>
      <w:r w:rsidR="006C5D53" w:rsidRPr="006C5D53">
        <w:rPr>
          <w:sz w:val="22"/>
          <w:szCs w:val="22"/>
          <w:lang w:val="sr-Latn-BA"/>
        </w:rPr>
        <w:t xml:space="preserve"> </w:t>
      </w:r>
      <w:proofErr w:type="spellStart"/>
      <w:r w:rsidR="006C5D53" w:rsidRPr="006C5D53">
        <w:rPr>
          <w:sz w:val="22"/>
          <w:szCs w:val="22"/>
          <w:lang w:val="sr-Latn-BA"/>
        </w:rPr>
        <w:t>прихода</w:t>
      </w:r>
      <w:proofErr w:type="spellEnd"/>
      <w:r w:rsidR="006C5D53" w:rsidRPr="006C5D53">
        <w:rPr>
          <w:sz w:val="22"/>
          <w:szCs w:val="22"/>
          <w:lang w:val="sr-Latn-BA"/>
        </w:rPr>
        <w:t>.</w:t>
      </w:r>
      <w:r w:rsidR="007C17F6">
        <w:rPr>
          <w:sz w:val="22"/>
          <w:szCs w:val="22"/>
          <w:lang w:val="sr-Cyrl-RS"/>
        </w:rPr>
        <w:t xml:space="preserve"> </w:t>
      </w:r>
      <w:proofErr w:type="spellStart"/>
      <w:r w:rsidR="006C5D53" w:rsidRPr="006C5D53">
        <w:rPr>
          <w:sz w:val="22"/>
          <w:szCs w:val="22"/>
          <w:lang w:val="sr-Latn-BA"/>
        </w:rPr>
        <w:t>Подаци</w:t>
      </w:r>
      <w:proofErr w:type="spellEnd"/>
      <w:r w:rsidR="006C5D53" w:rsidRPr="006C5D53">
        <w:rPr>
          <w:sz w:val="22"/>
          <w:szCs w:val="22"/>
          <w:lang w:val="sr-Latn-BA"/>
        </w:rPr>
        <w:t xml:space="preserve"> </w:t>
      </w:r>
      <w:proofErr w:type="spellStart"/>
      <w:r w:rsidR="006C5D53" w:rsidRPr="006C5D53">
        <w:rPr>
          <w:sz w:val="22"/>
          <w:szCs w:val="22"/>
          <w:lang w:val="sr-Latn-BA"/>
        </w:rPr>
        <w:t>показују</w:t>
      </w:r>
      <w:proofErr w:type="spellEnd"/>
      <w:r w:rsidR="006C5D53" w:rsidRPr="006C5D53">
        <w:rPr>
          <w:sz w:val="22"/>
          <w:szCs w:val="22"/>
          <w:lang w:val="sr-Latn-BA"/>
        </w:rPr>
        <w:t xml:space="preserve"> </w:t>
      </w:r>
      <w:proofErr w:type="spellStart"/>
      <w:r w:rsidR="006C5D53" w:rsidRPr="006C5D53">
        <w:rPr>
          <w:sz w:val="22"/>
          <w:szCs w:val="22"/>
          <w:lang w:val="sr-Latn-BA"/>
        </w:rPr>
        <w:t>да</w:t>
      </w:r>
      <w:proofErr w:type="spellEnd"/>
      <w:r w:rsidR="006C5D53" w:rsidRPr="006C5D53">
        <w:rPr>
          <w:sz w:val="22"/>
          <w:szCs w:val="22"/>
          <w:lang w:val="sr-Latn-BA"/>
        </w:rPr>
        <w:t xml:space="preserve"> </w:t>
      </w:r>
      <w:proofErr w:type="spellStart"/>
      <w:r w:rsidR="006C5D53" w:rsidRPr="006C5D53">
        <w:rPr>
          <w:sz w:val="22"/>
          <w:szCs w:val="22"/>
          <w:lang w:val="sr-Latn-BA"/>
        </w:rPr>
        <w:t>ће</w:t>
      </w:r>
      <w:proofErr w:type="spellEnd"/>
      <w:r w:rsidR="006C5D53" w:rsidRPr="006C5D53">
        <w:rPr>
          <w:sz w:val="22"/>
          <w:szCs w:val="22"/>
          <w:lang w:val="sr-Latn-BA"/>
        </w:rPr>
        <w:t xml:space="preserve"> </w:t>
      </w:r>
      <w:r>
        <w:rPr>
          <w:sz w:val="22"/>
          <w:szCs w:val="22"/>
          <w:lang w:val="sr-Cyrl-RS"/>
        </w:rPr>
        <w:t>највећи негативни утицај бити</w:t>
      </w:r>
      <w:r w:rsidR="006C5D53" w:rsidRPr="006C5D53">
        <w:rPr>
          <w:sz w:val="22"/>
          <w:szCs w:val="22"/>
          <w:lang w:val="sr-Latn-BA"/>
        </w:rPr>
        <w:t xml:space="preserve"> </w:t>
      </w:r>
      <w:r>
        <w:rPr>
          <w:sz w:val="22"/>
          <w:szCs w:val="22"/>
          <w:lang w:val="sr-Cyrl-RS"/>
        </w:rPr>
        <w:t xml:space="preserve">код </w:t>
      </w:r>
      <w:proofErr w:type="spellStart"/>
      <w:r>
        <w:rPr>
          <w:sz w:val="22"/>
          <w:szCs w:val="22"/>
          <w:lang w:val="sr-Latn-BA"/>
        </w:rPr>
        <w:t>капиталних</w:t>
      </w:r>
      <w:proofErr w:type="spellEnd"/>
      <w:r>
        <w:rPr>
          <w:sz w:val="22"/>
          <w:szCs w:val="22"/>
          <w:lang w:val="sr-Latn-BA"/>
        </w:rPr>
        <w:t xml:space="preserve"> </w:t>
      </w:r>
      <w:proofErr w:type="spellStart"/>
      <w:r>
        <w:rPr>
          <w:sz w:val="22"/>
          <w:szCs w:val="22"/>
          <w:lang w:val="sr-Latn-BA"/>
        </w:rPr>
        <w:t>инвестиција</w:t>
      </w:r>
      <w:proofErr w:type="spellEnd"/>
      <w:r>
        <w:rPr>
          <w:sz w:val="22"/>
          <w:szCs w:val="22"/>
          <w:lang w:val="sr-Latn-BA"/>
        </w:rPr>
        <w:t>.</w:t>
      </w:r>
      <w:r w:rsidR="006C5D53" w:rsidRPr="006C5D53">
        <w:rPr>
          <w:sz w:val="22"/>
          <w:szCs w:val="22"/>
          <w:lang w:val="sr-Latn-BA"/>
        </w:rPr>
        <w:t xml:space="preserve"> </w:t>
      </w:r>
      <w:proofErr w:type="spellStart"/>
      <w:r w:rsidR="006C5D53" w:rsidRPr="006C5D53">
        <w:rPr>
          <w:sz w:val="22"/>
          <w:szCs w:val="22"/>
          <w:lang w:val="sr-Latn-BA"/>
        </w:rPr>
        <w:t>Што</w:t>
      </w:r>
      <w:proofErr w:type="spellEnd"/>
      <w:r w:rsidR="006C5D53" w:rsidRPr="006C5D53">
        <w:rPr>
          <w:sz w:val="22"/>
          <w:szCs w:val="22"/>
          <w:lang w:val="sr-Latn-BA"/>
        </w:rPr>
        <w:t xml:space="preserve"> </w:t>
      </w:r>
      <w:proofErr w:type="spellStart"/>
      <w:r w:rsidR="006C5D53" w:rsidRPr="006C5D53">
        <w:rPr>
          <w:sz w:val="22"/>
          <w:szCs w:val="22"/>
          <w:lang w:val="sr-Latn-BA"/>
        </w:rPr>
        <w:t>се</w:t>
      </w:r>
      <w:proofErr w:type="spellEnd"/>
      <w:r w:rsidR="006C5D53" w:rsidRPr="006C5D53">
        <w:rPr>
          <w:sz w:val="22"/>
          <w:szCs w:val="22"/>
          <w:lang w:val="sr-Latn-BA"/>
        </w:rPr>
        <w:t xml:space="preserve"> </w:t>
      </w:r>
      <w:proofErr w:type="spellStart"/>
      <w:r w:rsidR="006C5D53" w:rsidRPr="006C5D53">
        <w:rPr>
          <w:sz w:val="22"/>
          <w:szCs w:val="22"/>
          <w:lang w:val="sr-Latn-BA"/>
        </w:rPr>
        <w:t>тиче</w:t>
      </w:r>
      <w:proofErr w:type="spellEnd"/>
      <w:r w:rsidR="006C5D53" w:rsidRPr="006C5D53">
        <w:rPr>
          <w:sz w:val="22"/>
          <w:szCs w:val="22"/>
          <w:lang w:val="sr-Latn-BA"/>
        </w:rPr>
        <w:t xml:space="preserve"> </w:t>
      </w:r>
      <w:proofErr w:type="spellStart"/>
      <w:r w:rsidR="006C5D53" w:rsidRPr="006C5D53">
        <w:rPr>
          <w:sz w:val="22"/>
          <w:szCs w:val="22"/>
          <w:lang w:val="sr-Latn-BA"/>
        </w:rPr>
        <w:t>нових</w:t>
      </w:r>
      <w:proofErr w:type="spellEnd"/>
      <w:r w:rsidR="006C5D53" w:rsidRPr="006C5D53">
        <w:rPr>
          <w:sz w:val="22"/>
          <w:szCs w:val="22"/>
          <w:lang w:val="sr-Latn-BA"/>
        </w:rPr>
        <w:t xml:space="preserve"> </w:t>
      </w:r>
      <w:proofErr w:type="spellStart"/>
      <w:r w:rsidR="006C5D53" w:rsidRPr="006C5D53">
        <w:rPr>
          <w:sz w:val="22"/>
          <w:szCs w:val="22"/>
          <w:lang w:val="sr-Latn-BA"/>
        </w:rPr>
        <w:t>капиталних</w:t>
      </w:r>
      <w:proofErr w:type="spellEnd"/>
      <w:r w:rsidR="006C5D53" w:rsidRPr="006C5D53">
        <w:rPr>
          <w:sz w:val="22"/>
          <w:szCs w:val="22"/>
          <w:lang w:val="sr-Latn-BA"/>
        </w:rPr>
        <w:t xml:space="preserve"> </w:t>
      </w:r>
      <w:proofErr w:type="spellStart"/>
      <w:r w:rsidR="006C5D53" w:rsidRPr="006C5D53">
        <w:rPr>
          <w:sz w:val="22"/>
          <w:szCs w:val="22"/>
          <w:lang w:val="sr-Latn-BA"/>
        </w:rPr>
        <w:t>инвестициј</w:t>
      </w:r>
      <w:r>
        <w:rPr>
          <w:sz w:val="22"/>
          <w:szCs w:val="22"/>
          <w:lang w:val="sr-Latn-BA"/>
        </w:rPr>
        <w:t>а</w:t>
      </w:r>
      <w:proofErr w:type="spellEnd"/>
      <w:r>
        <w:rPr>
          <w:sz w:val="22"/>
          <w:szCs w:val="22"/>
          <w:lang w:val="sr-Latn-BA"/>
        </w:rPr>
        <w:t xml:space="preserve"> </w:t>
      </w:r>
      <w:proofErr w:type="spellStart"/>
      <w:r>
        <w:rPr>
          <w:sz w:val="22"/>
          <w:szCs w:val="22"/>
          <w:lang w:val="sr-Latn-BA"/>
        </w:rPr>
        <w:t>које</w:t>
      </w:r>
      <w:proofErr w:type="spellEnd"/>
      <w:r>
        <w:rPr>
          <w:sz w:val="22"/>
          <w:szCs w:val="22"/>
          <w:lang w:val="sr-Latn-BA"/>
        </w:rPr>
        <w:t xml:space="preserve"> </w:t>
      </w:r>
      <w:proofErr w:type="spellStart"/>
      <w:r>
        <w:rPr>
          <w:sz w:val="22"/>
          <w:szCs w:val="22"/>
          <w:lang w:val="sr-Latn-BA"/>
        </w:rPr>
        <w:t>су</w:t>
      </w:r>
      <w:proofErr w:type="spellEnd"/>
      <w:r>
        <w:rPr>
          <w:sz w:val="22"/>
          <w:szCs w:val="22"/>
          <w:lang w:val="sr-Latn-BA"/>
        </w:rPr>
        <w:t xml:space="preserve"> </w:t>
      </w:r>
      <w:proofErr w:type="spellStart"/>
      <w:r>
        <w:rPr>
          <w:sz w:val="22"/>
          <w:szCs w:val="22"/>
          <w:lang w:val="sr-Latn-BA"/>
        </w:rPr>
        <w:t>првобитно</w:t>
      </w:r>
      <w:proofErr w:type="spellEnd"/>
      <w:r>
        <w:rPr>
          <w:sz w:val="22"/>
          <w:szCs w:val="22"/>
          <w:lang w:val="sr-Latn-BA"/>
        </w:rPr>
        <w:t xml:space="preserve"> </w:t>
      </w:r>
      <w:proofErr w:type="spellStart"/>
      <w:r>
        <w:rPr>
          <w:sz w:val="22"/>
          <w:szCs w:val="22"/>
          <w:lang w:val="sr-Latn-BA"/>
        </w:rPr>
        <w:t>планиране</w:t>
      </w:r>
      <w:proofErr w:type="spellEnd"/>
      <w:r>
        <w:rPr>
          <w:sz w:val="22"/>
          <w:szCs w:val="22"/>
          <w:lang w:val="sr-Latn-BA"/>
        </w:rPr>
        <w:t xml:space="preserve"> </w:t>
      </w:r>
      <w:proofErr w:type="spellStart"/>
      <w:r>
        <w:rPr>
          <w:sz w:val="22"/>
          <w:szCs w:val="22"/>
          <w:lang w:val="sr-Latn-BA"/>
        </w:rPr>
        <w:t>да</w:t>
      </w:r>
      <w:proofErr w:type="spellEnd"/>
      <w:r>
        <w:rPr>
          <w:sz w:val="22"/>
          <w:szCs w:val="22"/>
          <w:lang w:val="sr-Latn-BA"/>
        </w:rPr>
        <w:t xml:space="preserve"> </w:t>
      </w:r>
      <w:proofErr w:type="spellStart"/>
      <w:r>
        <w:rPr>
          <w:sz w:val="22"/>
          <w:szCs w:val="22"/>
          <w:lang w:val="sr-Latn-BA"/>
        </w:rPr>
        <w:t>се</w:t>
      </w:r>
      <w:proofErr w:type="spellEnd"/>
      <w:r>
        <w:rPr>
          <w:sz w:val="22"/>
          <w:szCs w:val="22"/>
          <w:lang w:val="sr-Latn-BA"/>
        </w:rPr>
        <w:t xml:space="preserve"> </w:t>
      </w:r>
      <w:proofErr w:type="spellStart"/>
      <w:r>
        <w:rPr>
          <w:sz w:val="22"/>
          <w:szCs w:val="22"/>
          <w:lang w:val="sr-Latn-BA"/>
        </w:rPr>
        <w:t>покрену</w:t>
      </w:r>
      <w:proofErr w:type="spellEnd"/>
      <w:r>
        <w:rPr>
          <w:sz w:val="22"/>
          <w:szCs w:val="22"/>
          <w:lang w:val="sr-Latn-BA"/>
        </w:rPr>
        <w:t xml:space="preserve"> у</w:t>
      </w:r>
      <w:r>
        <w:rPr>
          <w:sz w:val="22"/>
          <w:szCs w:val="22"/>
          <w:lang w:val="sr-Cyrl-RS"/>
        </w:rPr>
        <w:t xml:space="preserve"> </w:t>
      </w:r>
      <w:r>
        <w:rPr>
          <w:sz w:val="22"/>
          <w:szCs w:val="22"/>
          <w:lang w:val="sr-Latn-BA"/>
        </w:rPr>
        <w:t xml:space="preserve">2020. </w:t>
      </w:r>
      <w:proofErr w:type="spellStart"/>
      <w:r>
        <w:rPr>
          <w:sz w:val="22"/>
          <w:szCs w:val="22"/>
          <w:lang w:val="sr-Latn-BA"/>
        </w:rPr>
        <w:t>години</w:t>
      </w:r>
      <w:proofErr w:type="spellEnd"/>
      <w:r w:rsidR="006C5D53" w:rsidRPr="006C5D53">
        <w:rPr>
          <w:sz w:val="22"/>
          <w:szCs w:val="22"/>
          <w:lang w:val="sr-Latn-BA"/>
        </w:rPr>
        <w:t xml:space="preserve">, 41% </w:t>
      </w:r>
      <w:r w:rsidR="006C5D53" w:rsidRPr="006C5D53">
        <w:rPr>
          <w:sz w:val="22"/>
          <w:szCs w:val="22"/>
          <w:lang w:val="sr-Cyrl-RS"/>
        </w:rPr>
        <w:t xml:space="preserve">локалних самоуправа </w:t>
      </w:r>
      <w:r w:rsidR="006C5D53" w:rsidRPr="006C5D53">
        <w:rPr>
          <w:sz w:val="22"/>
          <w:szCs w:val="22"/>
          <w:lang w:val="sr-Latn-BA"/>
        </w:rPr>
        <w:t xml:space="preserve">ЈИЕ </w:t>
      </w:r>
      <w:proofErr w:type="spellStart"/>
      <w:r w:rsidR="006C5D53" w:rsidRPr="006C5D53">
        <w:rPr>
          <w:sz w:val="22"/>
          <w:szCs w:val="22"/>
          <w:lang w:val="sr-Latn-BA"/>
        </w:rPr>
        <w:t>очекују</w:t>
      </w:r>
      <w:proofErr w:type="spellEnd"/>
      <w:r w:rsidR="006C5D53" w:rsidRPr="006C5D53">
        <w:rPr>
          <w:sz w:val="22"/>
          <w:szCs w:val="22"/>
          <w:lang w:val="sr-Latn-BA"/>
        </w:rPr>
        <w:t xml:space="preserve"> </w:t>
      </w:r>
      <w:proofErr w:type="spellStart"/>
      <w:r w:rsidR="006C5D53" w:rsidRPr="006C5D53">
        <w:rPr>
          <w:sz w:val="22"/>
          <w:szCs w:val="22"/>
          <w:lang w:val="sr-Latn-BA"/>
        </w:rPr>
        <w:t>да</w:t>
      </w:r>
      <w:proofErr w:type="spellEnd"/>
      <w:r w:rsidR="006C5D53" w:rsidRPr="006C5D53">
        <w:rPr>
          <w:sz w:val="22"/>
          <w:szCs w:val="22"/>
          <w:lang w:val="sr-Latn-BA"/>
        </w:rPr>
        <w:t xml:space="preserve"> </w:t>
      </w:r>
      <w:proofErr w:type="spellStart"/>
      <w:r w:rsidR="006C5D53" w:rsidRPr="006C5D53">
        <w:rPr>
          <w:sz w:val="22"/>
          <w:szCs w:val="22"/>
          <w:lang w:val="sr-Latn-BA"/>
        </w:rPr>
        <w:t>ће</w:t>
      </w:r>
      <w:proofErr w:type="spellEnd"/>
      <w:r w:rsidR="006C5D53" w:rsidRPr="006C5D53">
        <w:rPr>
          <w:sz w:val="22"/>
          <w:szCs w:val="22"/>
          <w:lang w:val="sr-Latn-BA"/>
        </w:rPr>
        <w:t xml:space="preserve"> </w:t>
      </w:r>
      <w:r>
        <w:rPr>
          <w:sz w:val="22"/>
          <w:szCs w:val="22"/>
          <w:lang w:val="sr-Cyrl-RS"/>
        </w:rPr>
        <w:t>се смањити</w:t>
      </w:r>
      <w:r>
        <w:rPr>
          <w:sz w:val="22"/>
          <w:szCs w:val="22"/>
          <w:lang w:val="sr-Latn-BA"/>
        </w:rPr>
        <w:t xml:space="preserve"> </w:t>
      </w:r>
      <w:proofErr w:type="spellStart"/>
      <w:r>
        <w:rPr>
          <w:sz w:val="22"/>
          <w:szCs w:val="22"/>
          <w:lang w:val="sr-Latn-BA"/>
        </w:rPr>
        <w:t>за</w:t>
      </w:r>
      <w:proofErr w:type="spellEnd"/>
      <w:r>
        <w:rPr>
          <w:sz w:val="22"/>
          <w:szCs w:val="22"/>
          <w:lang w:val="sr-Latn-BA"/>
        </w:rPr>
        <w:t xml:space="preserve"> </w:t>
      </w:r>
      <w:proofErr w:type="spellStart"/>
      <w:r>
        <w:rPr>
          <w:sz w:val="22"/>
          <w:szCs w:val="22"/>
          <w:lang w:val="sr-Latn-BA"/>
        </w:rPr>
        <w:t>више</w:t>
      </w:r>
      <w:proofErr w:type="spellEnd"/>
      <w:r>
        <w:rPr>
          <w:sz w:val="22"/>
          <w:szCs w:val="22"/>
          <w:lang w:val="sr-Latn-BA"/>
        </w:rPr>
        <w:t xml:space="preserve"> </w:t>
      </w:r>
      <w:proofErr w:type="spellStart"/>
      <w:r>
        <w:rPr>
          <w:sz w:val="22"/>
          <w:szCs w:val="22"/>
          <w:lang w:val="sr-Latn-BA"/>
        </w:rPr>
        <w:t>од</w:t>
      </w:r>
      <w:proofErr w:type="spellEnd"/>
      <w:r>
        <w:rPr>
          <w:sz w:val="22"/>
          <w:szCs w:val="22"/>
          <w:lang w:val="sr-Latn-BA"/>
        </w:rPr>
        <w:t xml:space="preserve"> 15%, </w:t>
      </w:r>
      <w:proofErr w:type="spellStart"/>
      <w:r>
        <w:rPr>
          <w:sz w:val="22"/>
          <w:szCs w:val="22"/>
          <w:lang w:val="sr-Latn-BA"/>
        </w:rPr>
        <w:t>док</w:t>
      </w:r>
      <w:proofErr w:type="spellEnd"/>
      <w:r>
        <w:rPr>
          <w:sz w:val="22"/>
          <w:szCs w:val="22"/>
          <w:lang w:val="sr-Latn-BA"/>
        </w:rPr>
        <w:t xml:space="preserve"> 26%</w:t>
      </w:r>
      <w:r w:rsidR="006C5D53" w:rsidRPr="006C5D53">
        <w:rPr>
          <w:sz w:val="22"/>
          <w:szCs w:val="22"/>
          <w:lang w:val="sr-Latn-BA"/>
        </w:rPr>
        <w:t xml:space="preserve"> </w:t>
      </w:r>
      <w:proofErr w:type="spellStart"/>
      <w:r w:rsidR="006C5D53" w:rsidRPr="006C5D53">
        <w:rPr>
          <w:sz w:val="22"/>
          <w:szCs w:val="22"/>
          <w:lang w:val="sr-Latn-BA"/>
        </w:rPr>
        <w:t>очекују</w:t>
      </w:r>
      <w:proofErr w:type="spellEnd"/>
      <w:r w:rsidR="006C5D53" w:rsidRPr="006C5D53">
        <w:rPr>
          <w:sz w:val="22"/>
          <w:szCs w:val="22"/>
          <w:lang w:val="sr-Latn-BA"/>
        </w:rPr>
        <w:t xml:space="preserve"> </w:t>
      </w:r>
      <w:proofErr w:type="spellStart"/>
      <w:r w:rsidR="006C5D53" w:rsidRPr="006C5D53">
        <w:rPr>
          <w:sz w:val="22"/>
          <w:szCs w:val="22"/>
          <w:lang w:val="sr-Latn-BA"/>
        </w:rPr>
        <w:t>да</w:t>
      </w:r>
      <w:proofErr w:type="spellEnd"/>
      <w:r w:rsidR="006C5D53" w:rsidRPr="006C5D53">
        <w:rPr>
          <w:sz w:val="22"/>
          <w:szCs w:val="22"/>
          <w:lang w:val="sr-Latn-BA"/>
        </w:rPr>
        <w:t xml:space="preserve"> </w:t>
      </w:r>
      <w:proofErr w:type="spellStart"/>
      <w:r w:rsidR="006C5D53" w:rsidRPr="006C5D53">
        <w:rPr>
          <w:sz w:val="22"/>
          <w:szCs w:val="22"/>
          <w:lang w:val="sr-Latn-BA"/>
        </w:rPr>
        <w:t>ће</w:t>
      </w:r>
      <w:proofErr w:type="spellEnd"/>
      <w:r w:rsidR="006C5D53" w:rsidRPr="006C5D53">
        <w:rPr>
          <w:sz w:val="22"/>
          <w:szCs w:val="22"/>
          <w:lang w:val="sr-Latn-BA"/>
        </w:rPr>
        <w:t xml:space="preserve"> </w:t>
      </w:r>
      <w:r w:rsidR="006C5D53" w:rsidRPr="006C5D53">
        <w:rPr>
          <w:sz w:val="22"/>
          <w:szCs w:val="22"/>
          <w:lang w:val="sr-Cyrl-RS"/>
        </w:rPr>
        <w:t xml:space="preserve">пад бити </w:t>
      </w:r>
      <w:proofErr w:type="spellStart"/>
      <w:r w:rsidR="006C5D53" w:rsidRPr="006C5D53">
        <w:rPr>
          <w:sz w:val="22"/>
          <w:szCs w:val="22"/>
          <w:lang w:val="sr-Latn-BA"/>
        </w:rPr>
        <w:t>умеренији</w:t>
      </w:r>
      <w:proofErr w:type="spellEnd"/>
      <w:r w:rsidR="006C5D53" w:rsidRPr="006C5D53">
        <w:rPr>
          <w:sz w:val="22"/>
          <w:szCs w:val="22"/>
          <w:lang w:val="sr-Cyrl-RS"/>
        </w:rPr>
        <w:t>, у распону од</w:t>
      </w:r>
      <w:r w:rsidR="006C5D53" w:rsidRPr="006C5D53">
        <w:rPr>
          <w:sz w:val="22"/>
          <w:szCs w:val="22"/>
          <w:lang w:val="sr-Latn-BA"/>
        </w:rPr>
        <w:t xml:space="preserve"> 5-15%. </w:t>
      </w:r>
      <w:proofErr w:type="spellStart"/>
      <w:r w:rsidR="006C5D53" w:rsidRPr="006C5D53">
        <w:rPr>
          <w:sz w:val="22"/>
          <w:szCs w:val="22"/>
          <w:lang w:val="sr-Latn-BA"/>
        </w:rPr>
        <w:t>Слично</w:t>
      </w:r>
      <w:proofErr w:type="spellEnd"/>
      <w:r w:rsidR="006C5D53" w:rsidRPr="006C5D53">
        <w:rPr>
          <w:sz w:val="22"/>
          <w:szCs w:val="22"/>
          <w:lang w:val="sr-Latn-BA"/>
        </w:rPr>
        <w:t xml:space="preserve"> </w:t>
      </w:r>
      <w:proofErr w:type="spellStart"/>
      <w:r w:rsidR="006C5D53" w:rsidRPr="006C5D53">
        <w:rPr>
          <w:sz w:val="22"/>
          <w:szCs w:val="22"/>
          <w:lang w:val="sr-Latn-BA"/>
        </w:rPr>
        <w:t>томе</w:t>
      </w:r>
      <w:proofErr w:type="spellEnd"/>
      <w:r w:rsidR="006C5D53" w:rsidRPr="006C5D53">
        <w:rPr>
          <w:sz w:val="22"/>
          <w:szCs w:val="22"/>
          <w:lang w:val="sr-Latn-BA"/>
        </w:rPr>
        <w:t xml:space="preserve">, </w:t>
      </w:r>
      <w:proofErr w:type="spellStart"/>
      <w:r w:rsidR="006C5D53" w:rsidRPr="006C5D53">
        <w:rPr>
          <w:sz w:val="22"/>
          <w:szCs w:val="22"/>
          <w:lang w:val="sr-Latn-BA"/>
        </w:rPr>
        <w:t>очекују</w:t>
      </w:r>
      <w:proofErr w:type="spellEnd"/>
      <w:r w:rsidR="006C5D53" w:rsidRPr="006C5D53">
        <w:rPr>
          <w:sz w:val="22"/>
          <w:szCs w:val="22"/>
          <w:lang w:val="sr-Latn-BA"/>
        </w:rPr>
        <w:t xml:space="preserve"> </w:t>
      </w:r>
      <w:proofErr w:type="spellStart"/>
      <w:r w:rsidR="006C5D53" w:rsidRPr="006C5D53">
        <w:rPr>
          <w:sz w:val="22"/>
          <w:szCs w:val="22"/>
          <w:lang w:val="sr-Latn-BA"/>
        </w:rPr>
        <w:t>се</w:t>
      </w:r>
      <w:proofErr w:type="spellEnd"/>
      <w:r w:rsidR="006C5D53" w:rsidRPr="006C5D53">
        <w:rPr>
          <w:sz w:val="22"/>
          <w:szCs w:val="22"/>
          <w:lang w:val="sr-Latn-BA"/>
        </w:rPr>
        <w:t xml:space="preserve"> и </w:t>
      </w:r>
      <w:r w:rsidR="006C5D53" w:rsidRPr="006C5D53">
        <w:rPr>
          <w:sz w:val="22"/>
          <w:szCs w:val="22"/>
          <w:lang w:val="sr-Cyrl-RS"/>
        </w:rPr>
        <w:t xml:space="preserve">да ће </w:t>
      </w:r>
      <w:proofErr w:type="spellStart"/>
      <w:r w:rsidR="006C5D53" w:rsidRPr="006C5D53">
        <w:rPr>
          <w:sz w:val="22"/>
          <w:szCs w:val="22"/>
          <w:lang w:val="sr-Latn-BA"/>
        </w:rPr>
        <w:t>текуће</w:t>
      </w:r>
      <w:proofErr w:type="spellEnd"/>
      <w:r w:rsidR="006C5D53" w:rsidRPr="006C5D53">
        <w:rPr>
          <w:sz w:val="22"/>
          <w:szCs w:val="22"/>
          <w:lang w:val="sr-Latn-BA"/>
        </w:rPr>
        <w:t xml:space="preserve"> </w:t>
      </w:r>
      <w:proofErr w:type="spellStart"/>
      <w:r w:rsidR="006C5D53" w:rsidRPr="006C5D53">
        <w:rPr>
          <w:sz w:val="22"/>
          <w:szCs w:val="22"/>
          <w:lang w:val="sr-Latn-BA"/>
        </w:rPr>
        <w:t>капиталне</w:t>
      </w:r>
      <w:proofErr w:type="spellEnd"/>
      <w:r w:rsidR="006C5D53" w:rsidRPr="006C5D53">
        <w:rPr>
          <w:sz w:val="22"/>
          <w:szCs w:val="22"/>
          <w:lang w:val="sr-Latn-BA"/>
        </w:rPr>
        <w:t xml:space="preserve"> </w:t>
      </w:r>
      <w:proofErr w:type="spellStart"/>
      <w:r w:rsidR="006C5D53" w:rsidRPr="006C5D53">
        <w:rPr>
          <w:sz w:val="22"/>
          <w:szCs w:val="22"/>
          <w:lang w:val="sr-Latn-BA"/>
        </w:rPr>
        <w:t>инвестиције</w:t>
      </w:r>
      <w:proofErr w:type="spellEnd"/>
      <w:r w:rsidR="006C5D53" w:rsidRPr="006C5D53">
        <w:rPr>
          <w:sz w:val="22"/>
          <w:szCs w:val="22"/>
          <w:lang w:val="sr-Cyrl-RS"/>
        </w:rPr>
        <w:t xml:space="preserve"> имати </w:t>
      </w:r>
      <w:proofErr w:type="spellStart"/>
      <w:r w:rsidR="006C5D53" w:rsidRPr="006C5D53">
        <w:rPr>
          <w:sz w:val="22"/>
          <w:szCs w:val="22"/>
          <w:lang w:val="sr-Latn-BA"/>
        </w:rPr>
        <w:t>пад</w:t>
      </w:r>
      <w:proofErr w:type="spellEnd"/>
      <w:r>
        <w:rPr>
          <w:sz w:val="22"/>
          <w:szCs w:val="22"/>
          <w:lang w:val="sr-Cyrl-RS"/>
        </w:rPr>
        <w:t>,</w:t>
      </w:r>
      <w:r w:rsidR="006C5D53" w:rsidRPr="006C5D53">
        <w:rPr>
          <w:sz w:val="22"/>
          <w:szCs w:val="22"/>
          <w:lang w:val="sr-Latn-BA"/>
        </w:rPr>
        <w:t xml:space="preserve"> </w:t>
      </w:r>
      <w:r w:rsidR="006C5D53" w:rsidRPr="006C5D53">
        <w:rPr>
          <w:sz w:val="22"/>
          <w:szCs w:val="22"/>
          <w:lang w:val="sr-Cyrl-RS"/>
        </w:rPr>
        <w:t xml:space="preserve">те </w:t>
      </w:r>
      <w:r w:rsidR="006C5D53" w:rsidRPr="006C5D53">
        <w:rPr>
          <w:sz w:val="22"/>
          <w:szCs w:val="22"/>
          <w:lang w:val="sr-Latn-BA"/>
        </w:rPr>
        <w:t xml:space="preserve">28% </w:t>
      </w:r>
      <w:proofErr w:type="spellStart"/>
      <w:r w:rsidR="006C5D53" w:rsidRPr="006C5D53">
        <w:rPr>
          <w:sz w:val="22"/>
          <w:szCs w:val="22"/>
          <w:lang w:val="sr-Latn-BA"/>
        </w:rPr>
        <w:t>локалних</w:t>
      </w:r>
      <w:proofErr w:type="spellEnd"/>
      <w:r w:rsidR="006C5D53" w:rsidRPr="006C5D53">
        <w:rPr>
          <w:sz w:val="22"/>
          <w:szCs w:val="22"/>
          <w:lang w:val="sr-Latn-BA"/>
        </w:rPr>
        <w:t xml:space="preserve"> </w:t>
      </w:r>
      <w:proofErr w:type="spellStart"/>
      <w:r w:rsidR="006C5D53" w:rsidRPr="006C5D53">
        <w:rPr>
          <w:sz w:val="22"/>
          <w:szCs w:val="22"/>
          <w:lang w:val="sr-Latn-BA"/>
        </w:rPr>
        <w:t>самоуправа</w:t>
      </w:r>
      <w:proofErr w:type="spellEnd"/>
      <w:r w:rsidR="006C5D53" w:rsidRPr="006C5D53">
        <w:rPr>
          <w:sz w:val="22"/>
          <w:szCs w:val="22"/>
          <w:lang w:val="sr-Cyrl-RS"/>
        </w:rPr>
        <w:t xml:space="preserve"> у ЈИЕ</w:t>
      </w:r>
      <w:r w:rsidR="006C5D53" w:rsidRPr="006C5D53">
        <w:rPr>
          <w:sz w:val="22"/>
          <w:szCs w:val="22"/>
          <w:lang w:val="sr-Latn-BA"/>
        </w:rPr>
        <w:t xml:space="preserve"> </w:t>
      </w:r>
      <w:proofErr w:type="spellStart"/>
      <w:r w:rsidR="006C5D53" w:rsidRPr="006C5D53">
        <w:rPr>
          <w:sz w:val="22"/>
          <w:szCs w:val="22"/>
          <w:lang w:val="sr-Latn-BA"/>
        </w:rPr>
        <w:t>очекују</w:t>
      </w:r>
      <w:proofErr w:type="spellEnd"/>
      <w:r w:rsidR="006C5D53" w:rsidRPr="006C5D53">
        <w:rPr>
          <w:sz w:val="22"/>
          <w:szCs w:val="22"/>
          <w:lang w:val="sr-Latn-BA"/>
        </w:rPr>
        <w:t xml:space="preserve"> </w:t>
      </w:r>
      <w:proofErr w:type="spellStart"/>
      <w:r w:rsidR="006C5D53" w:rsidRPr="006C5D53">
        <w:rPr>
          <w:sz w:val="22"/>
          <w:szCs w:val="22"/>
          <w:lang w:val="sr-Latn-BA"/>
        </w:rPr>
        <w:t>велико</w:t>
      </w:r>
      <w:proofErr w:type="spellEnd"/>
      <w:r w:rsidR="006C5D53" w:rsidRPr="006C5D53">
        <w:rPr>
          <w:sz w:val="22"/>
          <w:szCs w:val="22"/>
          <w:lang w:val="sr-Latn-BA"/>
        </w:rPr>
        <w:t xml:space="preserve"> </w:t>
      </w:r>
      <w:proofErr w:type="spellStart"/>
      <w:r w:rsidR="006C5D53" w:rsidRPr="006C5D53">
        <w:rPr>
          <w:sz w:val="22"/>
          <w:szCs w:val="22"/>
          <w:lang w:val="sr-Latn-BA"/>
        </w:rPr>
        <w:t>смањење</w:t>
      </w:r>
      <w:proofErr w:type="spellEnd"/>
      <w:r w:rsidR="006C5D53" w:rsidRPr="006C5D53">
        <w:rPr>
          <w:sz w:val="22"/>
          <w:szCs w:val="22"/>
          <w:lang w:val="sr-Latn-BA"/>
        </w:rPr>
        <w:t xml:space="preserve">, а </w:t>
      </w:r>
      <w:proofErr w:type="spellStart"/>
      <w:r w:rsidR="006C5D53" w:rsidRPr="006C5D53">
        <w:rPr>
          <w:sz w:val="22"/>
          <w:szCs w:val="22"/>
          <w:lang w:val="sr-Latn-BA"/>
        </w:rPr>
        <w:t>још</w:t>
      </w:r>
      <w:proofErr w:type="spellEnd"/>
      <w:r w:rsidR="006C5D53" w:rsidRPr="006C5D53">
        <w:rPr>
          <w:sz w:val="22"/>
          <w:szCs w:val="22"/>
          <w:lang w:val="sr-Latn-BA"/>
        </w:rPr>
        <w:t xml:space="preserve"> 29% </w:t>
      </w:r>
      <w:r w:rsidR="006C5D53" w:rsidRPr="006C5D53">
        <w:rPr>
          <w:sz w:val="22"/>
          <w:szCs w:val="22"/>
          <w:lang w:val="sr-Cyrl-RS"/>
        </w:rPr>
        <w:t>њих о</w:t>
      </w:r>
      <w:proofErr w:type="spellStart"/>
      <w:r w:rsidR="006C5D53" w:rsidRPr="006C5D53">
        <w:rPr>
          <w:sz w:val="22"/>
          <w:szCs w:val="22"/>
          <w:lang w:val="sr-Latn-BA"/>
        </w:rPr>
        <w:t>чекује</w:t>
      </w:r>
      <w:proofErr w:type="spellEnd"/>
      <w:r w:rsidR="006C5D53" w:rsidRPr="006C5D53">
        <w:rPr>
          <w:sz w:val="22"/>
          <w:szCs w:val="22"/>
          <w:lang w:val="sr-Latn-BA"/>
        </w:rPr>
        <w:t xml:space="preserve"> </w:t>
      </w:r>
      <w:proofErr w:type="spellStart"/>
      <w:r w:rsidR="006C5D53" w:rsidRPr="006C5D53">
        <w:rPr>
          <w:sz w:val="22"/>
          <w:szCs w:val="22"/>
          <w:lang w:val="sr-Latn-BA"/>
        </w:rPr>
        <w:t>умерено</w:t>
      </w:r>
      <w:proofErr w:type="spellEnd"/>
      <w:r w:rsidR="006C5D53" w:rsidRPr="006C5D53">
        <w:rPr>
          <w:sz w:val="22"/>
          <w:szCs w:val="22"/>
          <w:lang w:val="sr-Latn-BA"/>
        </w:rPr>
        <w:t xml:space="preserve"> </w:t>
      </w:r>
      <w:proofErr w:type="spellStart"/>
      <w:r w:rsidR="006C5D53" w:rsidRPr="006C5D53">
        <w:rPr>
          <w:sz w:val="22"/>
          <w:szCs w:val="22"/>
          <w:lang w:val="sr-Latn-BA"/>
        </w:rPr>
        <w:t>смањење</w:t>
      </w:r>
      <w:proofErr w:type="spellEnd"/>
      <w:r w:rsidR="006C5D53" w:rsidRPr="006C5D53">
        <w:rPr>
          <w:sz w:val="22"/>
          <w:szCs w:val="22"/>
          <w:lang w:val="sr-Latn-BA"/>
        </w:rPr>
        <w:t xml:space="preserve">. </w:t>
      </w:r>
      <w:r>
        <w:rPr>
          <w:sz w:val="22"/>
          <w:szCs w:val="22"/>
          <w:lang w:val="sr-Cyrl-RS"/>
        </w:rPr>
        <w:lastRenderedPageBreak/>
        <w:t>Поред капиталних улагања, значајна редукција се</w:t>
      </w:r>
      <w:r w:rsidR="006C5D53" w:rsidRPr="006C5D53">
        <w:rPr>
          <w:sz w:val="22"/>
          <w:szCs w:val="22"/>
          <w:lang w:val="sr-Latn-BA"/>
        </w:rPr>
        <w:t xml:space="preserve"> </w:t>
      </w:r>
      <w:proofErr w:type="spellStart"/>
      <w:r w:rsidR="006C5D53" w:rsidRPr="006C5D53">
        <w:rPr>
          <w:sz w:val="22"/>
          <w:szCs w:val="22"/>
          <w:lang w:val="sr-Latn-BA"/>
        </w:rPr>
        <w:t>очекује</w:t>
      </w:r>
      <w:proofErr w:type="spellEnd"/>
      <w:r>
        <w:rPr>
          <w:sz w:val="22"/>
          <w:szCs w:val="22"/>
          <w:lang w:val="sr-Cyrl-RS"/>
        </w:rPr>
        <w:t xml:space="preserve"> и код</w:t>
      </w:r>
      <w:r w:rsidR="006C5D53" w:rsidRPr="006C5D53">
        <w:rPr>
          <w:sz w:val="22"/>
          <w:szCs w:val="22"/>
          <w:lang w:val="sr-Latn-BA"/>
        </w:rPr>
        <w:t xml:space="preserve"> </w:t>
      </w:r>
      <w:proofErr w:type="spellStart"/>
      <w:r w:rsidR="006C5D53" w:rsidRPr="006C5D53">
        <w:rPr>
          <w:sz w:val="22"/>
          <w:szCs w:val="22"/>
          <w:lang w:val="sr-Latn-BA"/>
        </w:rPr>
        <w:t>субвенциј</w:t>
      </w:r>
      <w:proofErr w:type="spellEnd"/>
      <w:r>
        <w:rPr>
          <w:sz w:val="22"/>
          <w:szCs w:val="22"/>
          <w:lang w:val="sr-Cyrl-RS"/>
        </w:rPr>
        <w:t>а/грантова</w:t>
      </w:r>
      <w:r w:rsidR="006C5D53" w:rsidRPr="006C5D53">
        <w:rPr>
          <w:sz w:val="22"/>
          <w:szCs w:val="22"/>
          <w:lang w:val="sr-Latn-BA"/>
        </w:rPr>
        <w:t xml:space="preserve"> </w:t>
      </w:r>
      <w:proofErr w:type="spellStart"/>
      <w:r w:rsidR="006C5D53" w:rsidRPr="006C5D53">
        <w:rPr>
          <w:sz w:val="22"/>
          <w:szCs w:val="22"/>
          <w:lang w:val="sr-Latn-BA"/>
        </w:rPr>
        <w:t>за</w:t>
      </w:r>
      <w:proofErr w:type="spellEnd"/>
      <w:r w:rsidR="006C5D53" w:rsidRPr="006C5D53">
        <w:rPr>
          <w:sz w:val="22"/>
          <w:szCs w:val="22"/>
          <w:lang w:val="sr-Latn-BA"/>
        </w:rPr>
        <w:t xml:space="preserve"> </w:t>
      </w:r>
      <w:proofErr w:type="spellStart"/>
      <w:r w:rsidRPr="006C5D53">
        <w:rPr>
          <w:sz w:val="22"/>
          <w:szCs w:val="22"/>
          <w:lang w:val="sr-Latn-BA"/>
        </w:rPr>
        <w:t>културне</w:t>
      </w:r>
      <w:proofErr w:type="spellEnd"/>
      <w:r w:rsidRPr="006C5D53">
        <w:rPr>
          <w:sz w:val="22"/>
          <w:szCs w:val="22"/>
          <w:lang w:val="sr-Latn-BA"/>
        </w:rPr>
        <w:t xml:space="preserve"> и </w:t>
      </w:r>
      <w:proofErr w:type="spellStart"/>
      <w:r w:rsidRPr="006C5D53">
        <w:rPr>
          <w:sz w:val="22"/>
          <w:szCs w:val="22"/>
          <w:lang w:val="sr-Latn-BA"/>
        </w:rPr>
        <w:t>спортске</w:t>
      </w:r>
      <w:proofErr w:type="spellEnd"/>
      <w:r w:rsidRPr="006C5D53">
        <w:rPr>
          <w:sz w:val="22"/>
          <w:szCs w:val="22"/>
          <w:lang w:val="sr-Latn-BA"/>
        </w:rPr>
        <w:t xml:space="preserve"> </w:t>
      </w:r>
      <w:proofErr w:type="spellStart"/>
      <w:r w:rsidRPr="006C5D53">
        <w:rPr>
          <w:sz w:val="22"/>
          <w:szCs w:val="22"/>
          <w:lang w:val="sr-Latn-BA"/>
        </w:rPr>
        <w:t>институције</w:t>
      </w:r>
      <w:proofErr w:type="spellEnd"/>
      <w:r>
        <w:rPr>
          <w:sz w:val="22"/>
          <w:szCs w:val="22"/>
          <w:lang w:val="sr-Cyrl-RS"/>
        </w:rPr>
        <w:t xml:space="preserve">, </w:t>
      </w:r>
      <w:r w:rsidR="006C5D53" w:rsidRPr="006C5D53">
        <w:rPr>
          <w:sz w:val="22"/>
          <w:szCs w:val="22"/>
          <w:lang w:val="sr-Cyrl-RS"/>
        </w:rPr>
        <w:t xml:space="preserve">јавна </w:t>
      </w:r>
      <w:proofErr w:type="spellStart"/>
      <w:r>
        <w:rPr>
          <w:sz w:val="22"/>
          <w:szCs w:val="22"/>
          <w:lang w:val="sr-Latn-BA"/>
        </w:rPr>
        <w:t>предузећа</w:t>
      </w:r>
      <w:proofErr w:type="spellEnd"/>
      <w:r w:rsidR="006C5D53" w:rsidRPr="006C5D53">
        <w:rPr>
          <w:sz w:val="22"/>
          <w:szCs w:val="22"/>
          <w:lang w:val="sr-Latn-BA"/>
        </w:rPr>
        <w:t xml:space="preserve"> </w:t>
      </w:r>
      <w:proofErr w:type="spellStart"/>
      <w:r w:rsidR="006C5D53" w:rsidRPr="006C5D53">
        <w:rPr>
          <w:sz w:val="22"/>
          <w:szCs w:val="22"/>
          <w:lang w:val="sr-Latn-BA"/>
        </w:rPr>
        <w:t>итд</w:t>
      </w:r>
      <w:proofErr w:type="spellEnd"/>
      <w:r w:rsidR="006C5D53" w:rsidRPr="006C5D53">
        <w:rPr>
          <w:sz w:val="22"/>
          <w:szCs w:val="22"/>
          <w:lang w:val="sr-Latn-BA"/>
        </w:rPr>
        <w:t xml:space="preserve">. </w:t>
      </w:r>
      <w:proofErr w:type="spellStart"/>
      <w:r w:rsidR="006C5D53" w:rsidRPr="006C5D53">
        <w:rPr>
          <w:sz w:val="22"/>
          <w:szCs w:val="22"/>
          <w:lang w:val="sr-Latn-BA"/>
        </w:rPr>
        <w:t>Потрошња</w:t>
      </w:r>
      <w:proofErr w:type="spellEnd"/>
      <w:r w:rsidR="006C5D53" w:rsidRPr="006C5D53">
        <w:rPr>
          <w:sz w:val="22"/>
          <w:szCs w:val="22"/>
          <w:lang w:val="sr-Latn-BA"/>
        </w:rPr>
        <w:t xml:space="preserve"> </w:t>
      </w:r>
      <w:proofErr w:type="spellStart"/>
      <w:r w:rsidR="006C5D53" w:rsidRPr="006C5D53">
        <w:rPr>
          <w:sz w:val="22"/>
          <w:szCs w:val="22"/>
          <w:lang w:val="sr-Latn-BA"/>
        </w:rPr>
        <w:t>за</w:t>
      </w:r>
      <w:proofErr w:type="spellEnd"/>
      <w:r w:rsidR="006C5D53" w:rsidRPr="006C5D53">
        <w:rPr>
          <w:sz w:val="22"/>
          <w:szCs w:val="22"/>
          <w:lang w:val="sr-Latn-BA"/>
        </w:rPr>
        <w:t xml:space="preserve"> </w:t>
      </w:r>
      <w:proofErr w:type="spellStart"/>
      <w:r w:rsidR="006C5D53" w:rsidRPr="006C5D53">
        <w:rPr>
          <w:sz w:val="22"/>
          <w:szCs w:val="22"/>
          <w:lang w:val="sr-Latn-BA"/>
        </w:rPr>
        <w:t>одређене</w:t>
      </w:r>
      <w:proofErr w:type="spellEnd"/>
      <w:r w:rsidR="006C5D53" w:rsidRPr="006C5D53">
        <w:rPr>
          <w:sz w:val="22"/>
          <w:szCs w:val="22"/>
          <w:lang w:val="sr-Latn-BA"/>
        </w:rPr>
        <w:t xml:space="preserve"> </w:t>
      </w:r>
      <w:proofErr w:type="spellStart"/>
      <w:r w:rsidR="006C5D53" w:rsidRPr="006C5D53">
        <w:rPr>
          <w:sz w:val="22"/>
          <w:szCs w:val="22"/>
          <w:lang w:val="sr-Latn-BA"/>
        </w:rPr>
        <w:t>врсте</w:t>
      </w:r>
      <w:proofErr w:type="spellEnd"/>
      <w:r w:rsidR="006C5D53" w:rsidRPr="006C5D53">
        <w:rPr>
          <w:sz w:val="22"/>
          <w:szCs w:val="22"/>
          <w:lang w:val="sr-Latn-BA"/>
        </w:rPr>
        <w:t xml:space="preserve"> </w:t>
      </w:r>
      <w:proofErr w:type="spellStart"/>
      <w:r w:rsidR="006C5D53" w:rsidRPr="006C5D53">
        <w:rPr>
          <w:sz w:val="22"/>
          <w:szCs w:val="22"/>
          <w:lang w:val="sr-Latn-BA"/>
        </w:rPr>
        <w:t>текућих</w:t>
      </w:r>
      <w:proofErr w:type="spellEnd"/>
      <w:r w:rsidR="006C5D53" w:rsidRPr="006C5D53">
        <w:rPr>
          <w:sz w:val="22"/>
          <w:szCs w:val="22"/>
          <w:lang w:val="sr-Latn-BA"/>
        </w:rPr>
        <w:t xml:space="preserve"> </w:t>
      </w:r>
      <w:r>
        <w:rPr>
          <w:sz w:val="22"/>
          <w:szCs w:val="22"/>
          <w:lang w:val="sr-Cyrl-RS"/>
        </w:rPr>
        <w:t>расхода</w:t>
      </w:r>
      <w:r w:rsidR="006C5D53" w:rsidRPr="006C5D53">
        <w:rPr>
          <w:sz w:val="22"/>
          <w:szCs w:val="22"/>
          <w:lang w:val="sr-Cyrl-RS"/>
        </w:rPr>
        <w:t>,</w:t>
      </w:r>
      <w:r w:rsidR="006C5D53" w:rsidRPr="006C5D53">
        <w:rPr>
          <w:sz w:val="22"/>
          <w:szCs w:val="22"/>
          <w:lang w:val="sr-Latn-BA"/>
        </w:rPr>
        <w:t xml:space="preserve"> </w:t>
      </w:r>
      <w:proofErr w:type="spellStart"/>
      <w:r w:rsidR="006C5D53" w:rsidRPr="006C5D53">
        <w:rPr>
          <w:sz w:val="22"/>
          <w:szCs w:val="22"/>
          <w:lang w:val="sr-Latn-BA"/>
        </w:rPr>
        <w:t>као</w:t>
      </w:r>
      <w:proofErr w:type="spellEnd"/>
      <w:r w:rsidR="006C5D53" w:rsidRPr="006C5D53">
        <w:rPr>
          <w:sz w:val="22"/>
          <w:szCs w:val="22"/>
          <w:lang w:val="sr-Latn-BA"/>
        </w:rPr>
        <w:t xml:space="preserve"> </w:t>
      </w:r>
      <w:proofErr w:type="spellStart"/>
      <w:r w:rsidR="006C5D53" w:rsidRPr="006C5D53">
        <w:rPr>
          <w:sz w:val="22"/>
          <w:szCs w:val="22"/>
          <w:lang w:val="sr-Latn-BA"/>
        </w:rPr>
        <w:t>што</w:t>
      </w:r>
      <w:proofErr w:type="spellEnd"/>
      <w:r w:rsidR="006C5D53" w:rsidRPr="006C5D53">
        <w:rPr>
          <w:sz w:val="22"/>
          <w:szCs w:val="22"/>
          <w:lang w:val="sr-Latn-BA"/>
        </w:rPr>
        <w:t xml:space="preserve"> </w:t>
      </w:r>
      <w:proofErr w:type="spellStart"/>
      <w:r w:rsidR="006C5D53" w:rsidRPr="006C5D53">
        <w:rPr>
          <w:sz w:val="22"/>
          <w:szCs w:val="22"/>
          <w:lang w:val="sr-Latn-BA"/>
        </w:rPr>
        <w:t>су</w:t>
      </w:r>
      <w:proofErr w:type="spellEnd"/>
      <w:r w:rsidR="006C5D53" w:rsidRPr="006C5D53">
        <w:rPr>
          <w:sz w:val="22"/>
          <w:szCs w:val="22"/>
          <w:lang w:val="sr-Latn-BA"/>
        </w:rPr>
        <w:t xml:space="preserve"> </w:t>
      </w:r>
      <w:proofErr w:type="spellStart"/>
      <w:r w:rsidR="006C5D53" w:rsidRPr="006C5D53">
        <w:rPr>
          <w:sz w:val="22"/>
          <w:szCs w:val="22"/>
          <w:lang w:val="sr-Latn-BA"/>
        </w:rPr>
        <w:t>плате</w:t>
      </w:r>
      <w:proofErr w:type="spellEnd"/>
      <w:r w:rsidR="006C5D53" w:rsidRPr="006C5D53">
        <w:rPr>
          <w:sz w:val="22"/>
          <w:szCs w:val="22"/>
          <w:lang w:val="sr-Latn-BA"/>
        </w:rPr>
        <w:t xml:space="preserve"> и</w:t>
      </w:r>
      <w:r w:rsidR="006C5D53" w:rsidRPr="006C5D53">
        <w:rPr>
          <w:sz w:val="22"/>
          <w:szCs w:val="22"/>
          <w:lang w:val="sr-Cyrl-RS"/>
        </w:rPr>
        <w:t xml:space="preserve"> </w:t>
      </w:r>
      <w:proofErr w:type="spellStart"/>
      <w:r w:rsidR="006C5D53" w:rsidRPr="006C5D53">
        <w:rPr>
          <w:sz w:val="22"/>
          <w:szCs w:val="22"/>
          <w:lang w:val="sr-Latn-BA"/>
        </w:rPr>
        <w:t>опште</w:t>
      </w:r>
      <w:proofErr w:type="spellEnd"/>
      <w:r w:rsidR="006C5D53" w:rsidRPr="006C5D53">
        <w:rPr>
          <w:sz w:val="22"/>
          <w:szCs w:val="22"/>
          <w:lang w:val="sr-Latn-BA"/>
        </w:rPr>
        <w:t xml:space="preserve"> </w:t>
      </w:r>
      <w:proofErr w:type="spellStart"/>
      <w:r w:rsidR="006C5D53" w:rsidRPr="006C5D53">
        <w:rPr>
          <w:sz w:val="22"/>
          <w:szCs w:val="22"/>
          <w:lang w:val="sr-Latn-BA"/>
        </w:rPr>
        <w:t>оперативно</w:t>
      </w:r>
      <w:proofErr w:type="spellEnd"/>
      <w:r w:rsidR="006C5D53" w:rsidRPr="006C5D53">
        <w:rPr>
          <w:sz w:val="22"/>
          <w:szCs w:val="22"/>
          <w:lang w:val="sr-Cyrl-RS"/>
        </w:rPr>
        <w:t>/текуће</w:t>
      </w:r>
      <w:r w:rsidR="006C5D53" w:rsidRPr="006C5D53">
        <w:rPr>
          <w:sz w:val="22"/>
          <w:szCs w:val="22"/>
          <w:lang w:val="sr-Latn-BA"/>
        </w:rPr>
        <w:t xml:space="preserve"> </w:t>
      </w:r>
      <w:proofErr w:type="spellStart"/>
      <w:r w:rsidR="006C5D53" w:rsidRPr="006C5D53">
        <w:rPr>
          <w:sz w:val="22"/>
          <w:szCs w:val="22"/>
          <w:lang w:val="sr-Latn-BA"/>
        </w:rPr>
        <w:t>одржавање</w:t>
      </w:r>
      <w:proofErr w:type="spellEnd"/>
      <w:r w:rsidR="006C5D53" w:rsidRPr="006C5D53">
        <w:rPr>
          <w:sz w:val="22"/>
          <w:szCs w:val="22"/>
          <w:lang w:val="sr-Latn-BA"/>
        </w:rPr>
        <w:t xml:space="preserve">, </w:t>
      </w:r>
      <w:r w:rsidR="006C5D53" w:rsidRPr="006C5D53">
        <w:rPr>
          <w:sz w:val="22"/>
          <w:szCs w:val="22"/>
          <w:lang w:val="sr-Cyrl-RS"/>
        </w:rPr>
        <w:t>такође ће</w:t>
      </w:r>
      <w:r w:rsidR="0049580A">
        <w:rPr>
          <w:sz w:val="22"/>
          <w:szCs w:val="22"/>
          <w:lang w:val="sr-Cyrl-RS"/>
        </w:rPr>
        <w:t xml:space="preserve"> </w:t>
      </w:r>
      <w:proofErr w:type="spellStart"/>
      <w:r w:rsidR="0049580A">
        <w:rPr>
          <w:sz w:val="22"/>
          <w:szCs w:val="22"/>
          <w:lang w:val="sr-Cyrl-RS"/>
        </w:rPr>
        <w:t>претрпјети</w:t>
      </w:r>
      <w:proofErr w:type="spellEnd"/>
      <w:r w:rsidR="0049580A">
        <w:rPr>
          <w:sz w:val="22"/>
          <w:szCs w:val="22"/>
          <w:lang w:val="sr-Cyrl-RS"/>
        </w:rPr>
        <w:t xml:space="preserve"> одређено смањење. При томе треба имати у виду, да ову врсту расхода карактерише природна нееластичност</w:t>
      </w:r>
      <w:r w:rsidR="006C5D53" w:rsidRPr="006C5D53">
        <w:rPr>
          <w:sz w:val="22"/>
          <w:szCs w:val="22"/>
          <w:lang w:val="sr-Latn-BA"/>
        </w:rPr>
        <w:t xml:space="preserve">, </w:t>
      </w:r>
      <w:r w:rsidR="0049580A">
        <w:rPr>
          <w:sz w:val="22"/>
          <w:szCs w:val="22"/>
          <w:lang w:val="sr-Cyrl-RS"/>
        </w:rPr>
        <w:t>па ће с</w:t>
      </w:r>
      <w:proofErr w:type="spellStart"/>
      <w:r w:rsidR="006C5D53" w:rsidRPr="006C5D53">
        <w:rPr>
          <w:sz w:val="22"/>
          <w:szCs w:val="22"/>
          <w:lang w:val="sr-Latn-BA"/>
        </w:rPr>
        <w:t>мањење</w:t>
      </w:r>
      <w:proofErr w:type="spellEnd"/>
      <w:r w:rsidR="006C5D53" w:rsidRPr="006C5D53">
        <w:rPr>
          <w:sz w:val="22"/>
          <w:szCs w:val="22"/>
          <w:lang w:val="sr-Latn-BA"/>
        </w:rPr>
        <w:t xml:space="preserve"> </w:t>
      </w:r>
      <w:proofErr w:type="spellStart"/>
      <w:r w:rsidR="006C5D53" w:rsidRPr="006C5D53">
        <w:rPr>
          <w:sz w:val="22"/>
          <w:szCs w:val="22"/>
          <w:lang w:val="sr-Latn-BA"/>
        </w:rPr>
        <w:t>бити</w:t>
      </w:r>
      <w:proofErr w:type="spellEnd"/>
      <w:r w:rsidR="006C5D53" w:rsidRPr="006C5D53">
        <w:rPr>
          <w:sz w:val="22"/>
          <w:szCs w:val="22"/>
          <w:lang w:val="sr-Latn-BA"/>
        </w:rPr>
        <w:t xml:space="preserve"> </w:t>
      </w:r>
      <w:r w:rsidR="006C5D53" w:rsidRPr="006C5D53">
        <w:rPr>
          <w:sz w:val="22"/>
          <w:szCs w:val="22"/>
          <w:lang w:val="sr-Cyrl-RS"/>
        </w:rPr>
        <w:t xml:space="preserve">више </w:t>
      </w:r>
      <w:proofErr w:type="spellStart"/>
      <w:r w:rsidR="006C5D53" w:rsidRPr="006C5D53">
        <w:rPr>
          <w:sz w:val="22"/>
          <w:szCs w:val="22"/>
          <w:lang w:val="sr-Latn-BA"/>
        </w:rPr>
        <w:t>ум</w:t>
      </w:r>
      <w:proofErr w:type="spellEnd"/>
      <w:r w:rsidR="006C5D53" w:rsidRPr="006C5D53">
        <w:rPr>
          <w:sz w:val="22"/>
          <w:szCs w:val="22"/>
          <w:lang w:val="sr-Cyrl-RS"/>
        </w:rPr>
        <w:t>ј</w:t>
      </w:r>
      <w:proofErr w:type="spellStart"/>
      <w:r w:rsidR="006C5D53" w:rsidRPr="006C5D53">
        <w:rPr>
          <w:sz w:val="22"/>
          <w:szCs w:val="22"/>
          <w:lang w:val="sr-Latn-BA"/>
        </w:rPr>
        <w:t>ереније</w:t>
      </w:r>
      <w:proofErr w:type="spellEnd"/>
      <w:r w:rsidR="006C5D53" w:rsidRPr="006C5D53">
        <w:rPr>
          <w:sz w:val="22"/>
          <w:szCs w:val="22"/>
          <w:lang w:val="sr-Cyrl-RS"/>
        </w:rPr>
        <w:t>,</w:t>
      </w:r>
      <w:r w:rsidR="006C5D53" w:rsidRPr="006C5D53">
        <w:rPr>
          <w:sz w:val="22"/>
          <w:szCs w:val="22"/>
          <w:lang w:val="sr-Latn-BA"/>
        </w:rPr>
        <w:t xml:space="preserve"> </w:t>
      </w:r>
      <w:proofErr w:type="spellStart"/>
      <w:r w:rsidR="006C5D53" w:rsidRPr="006C5D53">
        <w:rPr>
          <w:sz w:val="22"/>
          <w:szCs w:val="22"/>
          <w:lang w:val="sr-Latn-BA"/>
        </w:rPr>
        <w:t>него</w:t>
      </w:r>
      <w:proofErr w:type="spellEnd"/>
      <w:r w:rsidR="006C5D53" w:rsidRPr="006C5D53">
        <w:rPr>
          <w:sz w:val="22"/>
          <w:szCs w:val="22"/>
          <w:lang w:val="sr-Latn-BA"/>
        </w:rPr>
        <w:t xml:space="preserve"> </w:t>
      </w:r>
      <w:proofErr w:type="spellStart"/>
      <w:r w:rsidR="006C5D53" w:rsidRPr="006C5D53">
        <w:rPr>
          <w:sz w:val="22"/>
          <w:szCs w:val="22"/>
          <w:lang w:val="sr-Latn-BA"/>
        </w:rPr>
        <w:t>јако</w:t>
      </w:r>
      <w:proofErr w:type="spellEnd"/>
      <w:r w:rsidR="006C5D53" w:rsidRPr="006C5D53">
        <w:rPr>
          <w:sz w:val="22"/>
          <w:szCs w:val="22"/>
          <w:lang w:val="sr-Latn-BA"/>
        </w:rPr>
        <w:t xml:space="preserve">. </w:t>
      </w:r>
      <w:proofErr w:type="spellStart"/>
      <w:r w:rsidR="006C5D53" w:rsidRPr="006C5D53">
        <w:rPr>
          <w:sz w:val="22"/>
          <w:szCs w:val="22"/>
          <w:lang w:val="sr-Latn-BA"/>
        </w:rPr>
        <w:t>Међутим</w:t>
      </w:r>
      <w:proofErr w:type="spellEnd"/>
      <w:r w:rsidR="006C5D53" w:rsidRPr="006C5D53">
        <w:rPr>
          <w:sz w:val="22"/>
          <w:szCs w:val="22"/>
          <w:lang w:val="sr-Latn-BA"/>
        </w:rPr>
        <w:t xml:space="preserve">, 17% </w:t>
      </w:r>
      <w:proofErr w:type="spellStart"/>
      <w:r w:rsidR="006C5D53" w:rsidRPr="006C5D53">
        <w:rPr>
          <w:sz w:val="22"/>
          <w:szCs w:val="22"/>
          <w:lang w:val="sr-Latn-BA"/>
        </w:rPr>
        <w:t>локалних</w:t>
      </w:r>
      <w:proofErr w:type="spellEnd"/>
      <w:r w:rsidR="006C5D53" w:rsidRPr="006C5D53">
        <w:rPr>
          <w:sz w:val="22"/>
          <w:szCs w:val="22"/>
          <w:lang w:val="sr-Latn-BA"/>
        </w:rPr>
        <w:t xml:space="preserve"> </w:t>
      </w:r>
      <w:proofErr w:type="spellStart"/>
      <w:r w:rsidR="006C5D53" w:rsidRPr="006C5D53">
        <w:rPr>
          <w:sz w:val="22"/>
          <w:szCs w:val="22"/>
          <w:lang w:val="sr-Latn-BA"/>
        </w:rPr>
        <w:t>самоуправа</w:t>
      </w:r>
      <w:proofErr w:type="spellEnd"/>
      <w:r w:rsidR="006C5D53" w:rsidRPr="006C5D53">
        <w:rPr>
          <w:sz w:val="22"/>
          <w:szCs w:val="22"/>
          <w:lang w:val="sr-Latn-BA"/>
        </w:rPr>
        <w:t xml:space="preserve"> ЈИЕ </w:t>
      </w:r>
      <w:proofErr w:type="spellStart"/>
      <w:r w:rsidR="006C5D53" w:rsidRPr="006C5D53">
        <w:rPr>
          <w:sz w:val="22"/>
          <w:szCs w:val="22"/>
          <w:lang w:val="sr-Latn-BA"/>
        </w:rPr>
        <w:t>очекују</w:t>
      </w:r>
      <w:proofErr w:type="spellEnd"/>
      <w:r w:rsidR="006C5D53" w:rsidRPr="006C5D53">
        <w:rPr>
          <w:sz w:val="22"/>
          <w:szCs w:val="22"/>
          <w:lang w:val="sr-Latn-BA"/>
        </w:rPr>
        <w:t xml:space="preserve"> </w:t>
      </w:r>
      <w:proofErr w:type="spellStart"/>
      <w:r w:rsidR="006C5D53" w:rsidRPr="006C5D53">
        <w:rPr>
          <w:sz w:val="22"/>
          <w:szCs w:val="22"/>
          <w:lang w:val="sr-Latn-BA"/>
        </w:rPr>
        <w:t>да</w:t>
      </w:r>
      <w:proofErr w:type="spellEnd"/>
      <w:r w:rsidR="006C5D53" w:rsidRPr="006C5D53">
        <w:rPr>
          <w:sz w:val="22"/>
          <w:szCs w:val="22"/>
          <w:lang w:val="sr-Latn-BA"/>
        </w:rPr>
        <w:t xml:space="preserve"> </w:t>
      </w:r>
      <w:proofErr w:type="spellStart"/>
      <w:r w:rsidR="006C5D53" w:rsidRPr="006C5D53">
        <w:rPr>
          <w:sz w:val="22"/>
          <w:szCs w:val="22"/>
          <w:lang w:val="sr-Latn-BA"/>
        </w:rPr>
        <w:t>се</w:t>
      </w:r>
      <w:proofErr w:type="spellEnd"/>
      <w:r w:rsidR="006C5D53" w:rsidRPr="006C5D53">
        <w:rPr>
          <w:sz w:val="22"/>
          <w:szCs w:val="22"/>
          <w:lang w:val="sr-Latn-BA"/>
        </w:rPr>
        <w:t xml:space="preserve"> </w:t>
      </w:r>
      <w:proofErr w:type="spellStart"/>
      <w:r w:rsidR="006C5D53" w:rsidRPr="006C5D53">
        <w:rPr>
          <w:sz w:val="22"/>
          <w:szCs w:val="22"/>
          <w:lang w:val="sr-Latn-BA"/>
        </w:rPr>
        <w:t>потрошња</w:t>
      </w:r>
      <w:proofErr w:type="spellEnd"/>
      <w:r w:rsidR="006C5D53" w:rsidRPr="006C5D53">
        <w:rPr>
          <w:sz w:val="22"/>
          <w:szCs w:val="22"/>
          <w:lang w:val="sr-Latn-BA"/>
        </w:rPr>
        <w:t xml:space="preserve"> </w:t>
      </w:r>
      <w:proofErr w:type="spellStart"/>
      <w:r w:rsidR="006C5D53" w:rsidRPr="006C5D53">
        <w:rPr>
          <w:sz w:val="22"/>
          <w:szCs w:val="22"/>
          <w:lang w:val="sr-Latn-BA"/>
        </w:rPr>
        <w:t>за</w:t>
      </w:r>
      <w:proofErr w:type="spellEnd"/>
      <w:r w:rsidR="006C5D53" w:rsidRPr="006C5D53">
        <w:rPr>
          <w:sz w:val="22"/>
          <w:szCs w:val="22"/>
          <w:lang w:val="sr-Latn-BA"/>
        </w:rPr>
        <w:t xml:space="preserve"> </w:t>
      </w:r>
      <w:proofErr w:type="spellStart"/>
      <w:r w:rsidR="006C5D53" w:rsidRPr="006C5D53">
        <w:rPr>
          <w:sz w:val="22"/>
          <w:szCs w:val="22"/>
          <w:lang w:val="sr-Latn-BA"/>
        </w:rPr>
        <w:t>плате</w:t>
      </w:r>
      <w:proofErr w:type="spellEnd"/>
      <w:r w:rsidR="006C5D53" w:rsidRPr="006C5D53">
        <w:rPr>
          <w:sz w:val="22"/>
          <w:szCs w:val="22"/>
          <w:lang w:val="sr-Latn-BA"/>
        </w:rPr>
        <w:t xml:space="preserve"> </w:t>
      </w:r>
      <w:proofErr w:type="spellStart"/>
      <w:r w:rsidR="006C5D53" w:rsidRPr="006C5D53">
        <w:rPr>
          <w:sz w:val="22"/>
          <w:szCs w:val="22"/>
          <w:lang w:val="sr-Latn-BA"/>
        </w:rPr>
        <w:t>неће</w:t>
      </w:r>
      <w:proofErr w:type="spellEnd"/>
      <w:r w:rsidR="006C5D53" w:rsidRPr="006C5D53">
        <w:rPr>
          <w:sz w:val="22"/>
          <w:szCs w:val="22"/>
          <w:lang w:val="sr-Latn-BA"/>
        </w:rPr>
        <w:t xml:space="preserve"> </w:t>
      </w:r>
      <w:proofErr w:type="spellStart"/>
      <w:r w:rsidR="006C5D53" w:rsidRPr="006C5D53">
        <w:rPr>
          <w:sz w:val="22"/>
          <w:szCs w:val="22"/>
          <w:lang w:val="sr-Latn-BA"/>
        </w:rPr>
        <w:t>пром</w:t>
      </w:r>
      <w:r w:rsidR="0049580A">
        <w:rPr>
          <w:sz w:val="22"/>
          <w:szCs w:val="22"/>
          <w:lang w:val="sr-Cyrl-RS"/>
        </w:rPr>
        <w:t>и</w:t>
      </w:r>
      <w:r>
        <w:rPr>
          <w:sz w:val="22"/>
          <w:szCs w:val="22"/>
          <w:lang w:val="sr-Cyrl-RS"/>
        </w:rPr>
        <w:t>ј</w:t>
      </w:r>
      <w:r w:rsidR="006C5D53" w:rsidRPr="006C5D53">
        <w:rPr>
          <w:sz w:val="22"/>
          <w:szCs w:val="22"/>
          <w:lang w:val="sr-Latn-BA"/>
        </w:rPr>
        <w:t>енити</w:t>
      </w:r>
      <w:proofErr w:type="spellEnd"/>
      <w:r w:rsidR="006C5D53" w:rsidRPr="006C5D53">
        <w:rPr>
          <w:sz w:val="22"/>
          <w:szCs w:val="22"/>
          <w:lang w:val="sr-Latn-BA"/>
        </w:rPr>
        <w:t>,</w:t>
      </w:r>
      <w:r w:rsidR="006C5D53" w:rsidRPr="006C5D53">
        <w:rPr>
          <w:sz w:val="22"/>
          <w:szCs w:val="22"/>
          <w:lang w:val="sr-Cyrl-RS"/>
        </w:rPr>
        <w:t xml:space="preserve"> </w:t>
      </w:r>
      <w:r w:rsidR="006C5D53" w:rsidRPr="006C5D53">
        <w:rPr>
          <w:sz w:val="22"/>
          <w:szCs w:val="22"/>
          <w:lang w:val="sr-Latn-BA"/>
        </w:rPr>
        <w:t xml:space="preserve">а у </w:t>
      </w:r>
      <w:proofErr w:type="spellStart"/>
      <w:r w:rsidR="006C5D53" w:rsidRPr="006C5D53">
        <w:rPr>
          <w:sz w:val="22"/>
          <w:szCs w:val="22"/>
          <w:lang w:val="sr-Latn-BA"/>
        </w:rPr>
        <w:t>мање</w:t>
      </w:r>
      <w:proofErr w:type="spellEnd"/>
      <w:r w:rsidR="006C5D53" w:rsidRPr="006C5D53">
        <w:rPr>
          <w:sz w:val="22"/>
          <w:szCs w:val="22"/>
          <w:lang w:val="sr-Latn-BA"/>
        </w:rPr>
        <w:t xml:space="preserve"> </w:t>
      </w:r>
      <w:proofErr w:type="spellStart"/>
      <w:r w:rsidR="006C5D53" w:rsidRPr="006C5D53">
        <w:rPr>
          <w:sz w:val="22"/>
          <w:szCs w:val="22"/>
          <w:lang w:val="sr-Latn-BA"/>
        </w:rPr>
        <w:t>од</w:t>
      </w:r>
      <w:proofErr w:type="spellEnd"/>
      <w:r w:rsidR="006C5D53" w:rsidRPr="006C5D53">
        <w:rPr>
          <w:sz w:val="22"/>
          <w:szCs w:val="22"/>
          <w:lang w:val="sr-Latn-BA"/>
        </w:rPr>
        <w:t xml:space="preserve"> 10% </w:t>
      </w:r>
      <w:proofErr w:type="spellStart"/>
      <w:r w:rsidR="006C5D53" w:rsidRPr="006C5D53">
        <w:rPr>
          <w:sz w:val="22"/>
          <w:szCs w:val="22"/>
          <w:lang w:val="sr-Latn-BA"/>
        </w:rPr>
        <w:t>њих</w:t>
      </w:r>
      <w:proofErr w:type="spellEnd"/>
      <w:r w:rsidR="006C5D53" w:rsidRPr="006C5D53">
        <w:rPr>
          <w:sz w:val="22"/>
          <w:szCs w:val="22"/>
          <w:lang w:val="sr-Latn-BA"/>
        </w:rPr>
        <w:t xml:space="preserve"> </w:t>
      </w:r>
      <w:proofErr w:type="spellStart"/>
      <w:r w:rsidR="006C5D53" w:rsidRPr="006C5D53">
        <w:rPr>
          <w:sz w:val="22"/>
          <w:szCs w:val="22"/>
          <w:lang w:val="sr-Latn-BA"/>
        </w:rPr>
        <w:t>очекује</w:t>
      </w:r>
      <w:proofErr w:type="spellEnd"/>
      <w:r w:rsidR="006C5D53" w:rsidRPr="006C5D53">
        <w:rPr>
          <w:sz w:val="22"/>
          <w:szCs w:val="22"/>
          <w:lang w:val="sr-Latn-BA"/>
        </w:rPr>
        <w:t xml:space="preserve"> </w:t>
      </w:r>
      <w:proofErr w:type="spellStart"/>
      <w:r w:rsidR="006C5D53" w:rsidRPr="006C5D53">
        <w:rPr>
          <w:sz w:val="22"/>
          <w:szCs w:val="22"/>
          <w:lang w:val="sr-Latn-BA"/>
        </w:rPr>
        <w:t>се</w:t>
      </w:r>
      <w:proofErr w:type="spellEnd"/>
      <w:r w:rsidR="006C5D53" w:rsidRPr="006C5D53">
        <w:rPr>
          <w:sz w:val="22"/>
          <w:szCs w:val="22"/>
          <w:lang w:val="sr-Latn-BA"/>
        </w:rPr>
        <w:t xml:space="preserve"> </w:t>
      </w:r>
      <w:r w:rsidR="0049580A">
        <w:rPr>
          <w:sz w:val="22"/>
          <w:szCs w:val="22"/>
          <w:lang w:val="sr-Cyrl-RS"/>
        </w:rPr>
        <w:t xml:space="preserve">чак и </w:t>
      </w:r>
      <w:proofErr w:type="spellStart"/>
      <w:r w:rsidR="006C5D53" w:rsidRPr="006C5D53">
        <w:rPr>
          <w:sz w:val="22"/>
          <w:szCs w:val="22"/>
          <w:lang w:val="sr-Latn-BA"/>
        </w:rPr>
        <w:t>пораст</w:t>
      </w:r>
      <w:proofErr w:type="spellEnd"/>
      <w:r w:rsidR="006C5D53" w:rsidRPr="006C5D53">
        <w:rPr>
          <w:sz w:val="22"/>
          <w:szCs w:val="22"/>
          <w:lang w:val="sr-Latn-BA"/>
        </w:rPr>
        <w:t>.</w:t>
      </w:r>
      <w:r w:rsidR="0049580A">
        <w:rPr>
          <w:sz w:val="22"/>
          <w:szCs w:val="22"/>
          <w:lang w:val="sr-Cyrl-RS"/>
        </w:rPr>
        <w:t xml:space="preserve"> На основу увида у појединачне упитнике за ЈЛС из РС које су одговориле на </w:t>
      </w:r>
      <w:r w:rsidR="0049580A">
        <w:rPr>
          <w:sz w:val="22"/>
          <w:szCs w:val="22"/>
          <w:lang w:val="en-US"/>
        </w:rPr>
        <w:t>NALAS</w:t>
      </w:r>
      <w:r w:rsidR="0049580A">
        <w:rPr>
          <w:sz w:val="22"/>
          <w:szCs w:val="22"/>
          <w:lang w:val="sr-Latn-RS"/>
        </w:rPr>
        <w:t>-</w:t>
      </w:r>
      <w:r w:rsidR="0049580A">
        <w:rPr>
          <w:sz w:val="22"/>
          <w:szCs w:val="22"/>
          <w:lang w:val="sr-Cyrl-RS"/>
        </w:rPr>
        <w:t>ову анкету.</w:t>
      </w:r>
      <w:r w:rsidR="0049580A">
        <w:rPr>
          <w:sz w:val="22"/>
          <w:szCs w:val="22"/>
          <w:lang w:val="sr-Latn-RS"/>
        </w:rPr>
        <w:t xml:space="preserve"> </w:t>
      </w:r>
    </w:p>
    <w:p w14:paraId="403E6EC7" w14:textId="62335ADA" w:rsidR="006C5D53" w:rsidRPr="00790A22" w:rsidRDefault="006C5D53" w:rsidP="00E31ADA">
      <w:pPr>
        <w:spacing w:line="276" w:lineRule="auto"/>
        <w:jc w:val="both"/>
        <w:rPr>
          <w:b/>
          <w:bCs/>
          <w:sz w:val="22"/>
          <w:lang w:val="sr-Cyrl-BA" w:eastAsia="en-US"/>
        </w:rPr>
      </w:pPr>
    </w:p>
    <w:p w14:paraId="2CA5DD9F" w14:textId="16AB08A5" w:rsidR="002532F3" w:rsidRPr="002532F3" w:rsidRDefault="00D6694A" w:rsidP="002532F3">
      <w:pPr>
        <w:spacing w:line="276" w:lineRule="auto"/>
        <w:ind w:firstLine="709"/>
        <w:jc w:val="both"/>
        <w:rPr>
          <w:bCs/>
          <w:sz w:val="22"/>
          <w:lang w:val="sr-Latn-BA" w:eastAsia="en-US"/>
        </w:rPr>
      </w:pPr>
      <w:r>
        <w:rPr>
          <w:bCs/>
          <w:sz w:val="22"/>
          <w:lang w:val="sr-Cyrl-RS" w:eastAsia="en-US"/>
        </w:rPr>
        <w:t xml:space="preserve">На крају, треба рећи да </w:t>
      </w:r>
      <w:r w:rsidR="004A6C03">
        <w:rPr>
          <w:bCs/>
          <w:sz w:val="22"/>
          <w:lang w:val="sr-Cyrl-RS" w:eastAsia="en-US"/>
        </w:rPr>
        <w:t xml:space="preserve">је </w:t>
      </w:r>
      <w:proofErr w:type="spellStart"/>
      <w:r w:rsidRPr="00D6694A">
        <w:rPr>
          <w:bCs/>
          <w:sz w:val="22"/>
          <w:lang w:val="sr-Latn-BA" w:eastAsia="en-US"/>
        </w:rPr>
        <w:t>с</w:t>
      </w:r>
      <w:r w:rsidRPr="00790A22">
        <w:rPr>
          <w:bCs/>
          <w:sz w:val="22"/>
          <w:lang w:val="sr-Latn-BA" w:eastAsia="en-US"/>
        </w:rPr>
        <w:t>врха</w:t>
      </w:r>
      <w:proofErr w:type="spellEnd"/>
      <w:r w:rsidRPr="00790A22">
        <w:rPr>
          <w:bCs/>
          <w:sz w:val="22"/>
          <w:lang w:val="sr-Latn-BA" w:eastAsia="en-US"/>
        </w:rPr>
        <w:t xml:space="preserve"> </w:t>
      </w:r>
      <w:r>
        <w:rPr>
          <w:bCs/>
          <w:sz w:val="22"/>
          <w:lang w:val="sr-Latn-BA" w:eastAsia="en-US"/>
        </w:rPr>
        <w:t>NALAS</w:t>
      </w:r>
      <w:r w:rsidR="004A6C03">
        <w:rPr>
          <w:bCs/>
          <w:sz w:val="22"/>
          <w:lang w:val="sr-Cyrl-RS" w:eastAsia="en-US"/>
        </w:rPr>
        <w:t>-</w:t>
      </w:r>
      <w:proofErr w:type="spellStart"/>
      <w:r>
        <w:rPr>
          <w:bCs/>
          <w:sz w:val="22"/>
          <w:lang w:val="sr-Latn-BA" w:eastAsia="en-US"/>
        </w:rPr>
        <w:t>овог</w:t>
      </w:r>
      <w:proofErr w:type="spellEnd"/>
      <w:r w:rsidRPr="00790A22">
        <w:rPr>
          <w:bCs/>
          <w:sz w:val="22"/>
          <w:lang w:val="sr-Latn-BA" w:eastAsia="en-US"/>
        </w:rPr>
        <w:t xml:space="preserve"> </w:t>
      </w:r>
      <w:proofErr w:type="spellStart"/>
      <w:r w:rsidRPr="00790A22">
        <w:rPr>
          <w:bCs/>
          <w:sz w:val="22"/>
          <w:lang w:val="sr-Latn-BA" w:eastAsia="en-US"/>
        </w:rPr>
        <w:t>истраж</w:t>
      </w:r>
      <w:r w:rsidRPr="00D6694A">
        <w:rPr>
          <w:bCs/>
          <w:sz w:val="22"/>
          <w:lang w:val="sr-Latn-BA" w:eastAsia="en-US"/>
        </w:rPr>
        <w:t>ивања</w:t>
      </w:r>
      <w:proofErr w:type="spellEnd"/>
      <w:r w:rsidRPr="00D6694A">
        <w:rPr>
          <w:bCs/>
          <w:sz w:val="22"/>
          <w:lang w:val="sr-Latn-BA" w:eastAsia="en-US"/>
        </w:rPr>
        <w:t xml:space="preserve"> </w:t>
      </w:r>
      <w:r w:rsidR="004A6C03">
        <w:rPr>
          <w:bCs/>
          <w:sz w:val="22"/>
          <w:lang w:val="sr-Cyrl-RS" w:eastAsia="en-US"/>
        </w:rPr>
        <w:t>била</w:t>
      </w:r>
      <w:r w:rsidRPr="00790A22">
        <w:rPr>
          <w:bCs/>
          <w:sz w:val="22"/>
          <w:lang w:val="sr-Latn-BA" w:eastAsia="en-US"/>
        </w:rPr>
        <w:t xml:space="preserve"> </w:t>
      </w:r>
      <w:proofErr w:type="spellStart"/>
      <w:r w:rsidRPr="00790A22">
        <w:rPr>
          <w:bCs/>
          <w:sz w:val="22"/>
          <w:lang w:val="sr-Latn-BA" w:eastAsia="en-US"/>
        </w:rPr>
        <w:t>да</w:t>
      </w:r>
      <w:proofErr w:type="spellEnd"/>
      <w:r w:rsidRPr="00790A22">
        <w:rPr>
          <w:bCs/>
          <w:sz w:val="22"/>
          <w:lang w:val="sr-Latn-BA" w:eastAsia="en-US"/>
        </w:rPr>
        <w:t xml:space="preserve"> </w:t>
      </w:r>
      <w:proofErr w:type="spellStart"/>
      <w:r w:rsidRPr="00790A22">
        <w:rPr>
          <w:bCs/>
          <w:sz w:val="22"/>
          <w:lang w:val="sr-Latn-BA" w:eastAsia="en-US"/>
        </w:rPr>
        <w:t>помогне</w:t>
      </w:r>
      <w:proofErr w:type="spellEnd"/>
      <w:r w:rsidRPr="00790A22">
        <w:rPr>
          <w:bCs/>
          <w:sz w:val="22"/>
          <w:lang w:val="sr-Latn-BA" w:eastAsia="en-US"/>
        </w:rPr>
        <w:t xml:space="preserve"> </w:t>
      </w:r>
      <w:proofErr w:type="spellStart"/>
      <w:r w:rsidRPr="00790A22">
        <w:rPr>
          <w:bCs/>
          <w:sz w:val="22"/>
          <w:lang w:val="sr-Latn-BA" w:eastAsia="en-US"/>
        </w:rPr>
        <w:t>побољшању</w:t>
      </w:r>
      <w:proofErr w:type="spellEnd"/>
      <w:r w:rsidRPr="00790A22">
        <w:rPr>
          <w:bCs/>
          <w:sz w:val="22"/>
          <w:lang w:val="sr-Latn-BA" w:eastAsia="en-US"/>
        </w:rPr>
        <w:t xml:space="preserve"> </w:t>
      </w:r>
      <w:proofErr w:type="spellStart"/>
      <w:r w:rsidRPr="00790A22">
        <w:rPr>
          <w:bCs/>
          <w:sz w:val="22"/>
          <w:lang w:val="sr-Latn-BA" w:eastAsia="en-US"/>
        </w:rPr>
        <w:t>разу</w:t>
      </w:r>
      <w:proofErr w:type="spellEnd"/>
      <w:r>
        <w:rPr>
          <w:bCs/>
          <w:sz w:val="22"/>
          <w:lang w:val="sr-Cyrl-RS" w:eastAsia="en-US"/>
        </w:rPr>
        <w:t>ј</w:t>
      </w:r>
      <w:proofErr w:type="spellStart"/>
      <w:r w:rsidRPr="00790A22">
        <w:rPr>
          <w:bCs/>
          <w:sz w:val="22"/>
          <w:lang w:val="sr-Latn-BA" w:eastAsia="en-US"/>
        </w:rPr>
        <w:t>мевања</w:t>
      </w:r>
      <w:proofErr w:type="spellEnd"/>
      <w:r w:rsidRPr="00790A22">
        <w:rPr>
          <w:bCs/>
          <w:sz w:val="22"/>
          <w:lang w:val="sr-Latn-BA" w:eastAsia="en-US"/>
        </w:rPr>
        <w:t xml:space="preserve"> </w:t>
      </w:r>
      <w:proofErr w:type="spellStart"/>
      <w:r w:rsidRPr="00790A22">
        <w:rPr>
          <w:bCs/>
          <w:sz w:val="22"/>
          <w:lang w:val="sr-Latn-BA" w:eastAsia="en-US"/>
        </w:rPr>
        <w:t>утицаја</w:t>
      </w:r>
      <w:proofErr w:type="spellEnd"/>
      <w:r w:rsidRPr="00790A22">
        <w:rPr>
          <w:bCs/>
          <w:sz w:val="22"/>
          <w:lang w:val="sr-Latn-BA" w:eastAsia="en-US"/>
        </w:rPr>
        <w:t xml:space="preserve"> </w:t>
      </w:r>
      <w:proofErr w:type="spellStart"/>
      <w:r w:rsidRPr="00790A22">
        <w:rPr>
          <w:bCs/>
          <w:sz w:val="22"/>
          <w:lang w:val="sr-Latn-BA" w:eastAsia="en-US"/>
        </w:rPr>
        <w:t>кризе</w:t>
      </w:r>
      <w:proofErr w:type="spellEnd"/>
      <w:r w:rsidRPr="00790A22">
        <w:rPr>
          <w:bCs/>
          <w:sz w:val="22"/>
          <w:lang w:val="sr-Latn-BA" w:eastAsia="en-US"/>
        </w:rPr>
        <w:t xml:space="preserve"> </w:t>
      </w:r>
      <w:r>
        <w:rPr>
          <w:bCs/>
          <w:sz w:val="22"/>
          <w:lang w:val="sr-Latn-BA" w:eastAsia="en-US"/>
        </w:rPr>
        <w:t>COVID</w:t>
      </w:r>
      <w:r w:rsidRPr="00790A22">
        <w:rPr>
          <w:bCs/>
          <w:sz w:val="22"/>
          <w:lang w:val="sr-Latn-BA" w:eastAsia="en-US"/>
        </w:rPr>
        <w:t xml:space="preserve">-19 </w:t>
      </w:r>
      <w:proofErr w:type="spellStart"/>
      <w:r w:rsidRPr="00790A22">
        <w:rPr>
          <w:bCs/>
          <w:sz w:val="22"/>
          <w:lang w:val="sr-Latn-BA" w:eastAsia="en-US"/>
        </w:rPr>
        <w:t>на</w:t>
      </w:r>
      <w:proofErr w:type="spellEnd"/>
      <w:r w:rsidRPr="00790A22">
        <w:rPr>
          <w:bCs/>
          <w:sz w:val="22"/>
          <w:lang w:val="sr-Latn-BA" w:eastAsia="en-US"/>
        </w:rPr>
        <w:t xml:space="preserve"> </w:t>
      </w:r>
      <w:proofErr w:type="spellStart"/>
      <w:r w:rsidRPr="00790A22">
        <w:rPr>
          <w:bCs/>
          <w:sz w:val="22"/>
          <w:lang w:val="sr-Latn-BA" w:eastAsia="en-US"/>
        </w:rPr>
        <w:t>ниво</w:t>
      </w:r>
      <w:proofErr w:type="spellEnd"/>
      <w:r w:rsidRPr="00790A22">
        <w:rPr>
          <w:bCs/>
          <w:sz w:val="22"/>
          <w:lang w:val="sr-Latn-BA" w:eastAsia="en-US"/>
        </w:rPr>
        <w:t xml:space="preserve"> </w:t>
      </w:r>
      <w:proofErr w:type="spellStart"/>
      <w:r w:rsidRPr="00790A22">
        <w:rPr>
          <w:bCs/>
          <w:sz w:val="22"/>
          <w:lang w:val="sr-Latn-BA" w:eastAsia="en-US"/>
        </w:rPr>
        <w:t>локалне</w:t>
      </w:r>
      <w:proofErr w:type="spellEnd"/>
      <w:r w:rsidRPr="00790A22">
        <w:rPr>
          <w:bCs/>
          <w:sz w:val="22"/>
          <w:lang w:val="sr-Latn-BA" w:eastAsia="en-US"/>
        </w:rPr>
        <w:t xml:space="preserve"> </w:t>
      </w:r>
      <w:proofErr w:type="spellStart"/>
      <w:r w:rsidRPr="00790A22">
        <w:rPr>
          <w:bCs/>
          <w:sz w:val="22"/>
          <w:lang w:val="sr-Latn-BA" w:eastAsia="en-US"/>
        </w:rPr>
        <w:t>управе</w:t>
      </w:r>
      <w:proofErr w:type="spellEnd"/>
      <w:r w:rsidRPr="00790A22">
        <w:rPr>
          <w:bCs/>
          <w:sz w:val="22"/>
          <w:lang w:val="sr-Latn-BA" w:eastAsia="en-US"/>
        </w:rPr>
        <w:t xml:space="preserve"> у </w:t>
      </w:r>
      <w:r>
        <w:rPr>
          <w:bCs/>
          <w:sz w:val="22"/>
          <w:lang w:val="sr-Cyrl-RS" w:eastAsia="en-US"/>
        </w:rPr>
        <w:t>ЈИЕ</w:t>
      </w:r>
      <w:r w:rsidRPr="00790A22">
        <w:rPr>
          <w:bCs/>
          <w:sz w:val="22"/>
          <w:lang w:val="sr-Latn-BA" w:eastAsia="en-US"/>
        </w:rPr>
        <w:t xml:space="preserve">, </w:t>
      </w:r>
      <w:proofErr w:type="spellStart"/>
      <w:r w:rsidRPr="00790A22">
        <w:rPr>
          <w:bCs/>
          <w:sz w:val="22"/>
          <w:lang w:val="sr-Latn-BA" w:eastAsia="en-US"/>
        </w:rPr>
        <w:t>идентификовању</w:t>
      </w:r>
      <w:proofErr w:type="spellEnd"/>
      <w:r w:rsidRPr="00790A22">
        <w:rPr>
          <w:bCs/>
          <w:sz w:val="22"/>
          <w:lang w:val="sr-Latn-BA" w:eastAsia="en-US"/>
        </w:rPr>
        <w:t xml:space="preserve"> </w:t>
      </w:r>
      <w:proofErr w:type="spellStart"/>
      <w:r w:rsidRPr="00790A22">
        <w:rPr>
          <w:bCs/>
          <w:sz w:val="22"/>
          <w:lang w:val="sr-Latn-BA" w:eastAsia="en-US"/>
        </w:rPr>
        <w:t>ефикасних</w:t>
      </w:r>
      <w:proofErr w:type="spellEnd"/>
      <w:r w:rsidRPr="00790A22">
        <w:rPr>
          <w:bCs/>
          <w:sz w:val="22"/>
          <w:lang w:val="sr-Latn-BA" w:eastAsia="en-US"/>
        </w:rPr>
        <w:t xml:space="preserve"> и </w:t>
      </w:r>
      <w:proofErr w:type="spellStart"/>
      <w:r w:rsidRPr="00790A22">
        <w:rPr>
          <w:bCs/>
          <w:sz w:val="22"/>
          <w:lang w:val="sr-Latn-BA" w:eastAsia="en-US"/>
        </w:rPr>
        <w:t>иновативних</w:t>
      </w:r>
      <w:proofErr w:type="spellEnd"/>
      <w:r w:rsidRPr="00790A22">
        <w:rPr>
          <w:bCs/>
          <w:sz w:val="22"/>
          <w:lang w:val="sr-Latn-BA" w:eastAsia="en-US"/>
        </w:rPr>
        <w:t xml:space="preserve"> </w:t>
      </w:r>
      <w:proofErr w:type="spellStart"/>
      <w:r w:rsidRPr="00790A22">
        <w:rPr>
          <w:bCs/>
          <w:sz w:val="22"/>
          <w:lang w:val="sr-Latn-BA" w:eastAsia="en-US"/>
        </w:rPr>
        <w:t>стратегија</w:t>
      </w:r>
      <w:proofErr w:type="spellEnd"/>
      <w:r w:rsidRPr="00790A22">
        <w:rPr>
          <w:bCs/>
          <w:sz w:val="22"/>
          <w:lang w:val="sr-Latn-BA" w:eastAsia="en-US"/>
        </w:rPr>
        <w:t xml:space="preserve"> </w:t>
      </w:r>
      <w:proofErr w:type="spellStart"/>
      <w:r w:rsidRPr="00790A22">
        <w:rPr>
          <w:bCs/>
          <w:sz w:val="22"/>
          <w:lang w:val="sr-Latn-BA" w:eastAsia="en-US"/>
        </w:rPr>
        <w:t>социјалног</w:t>
      </w:r>
      <w:proofErr w:type="spellEnd"/>
      <w:r w:rsidRPr="00790A22">
        <w:rPr>
          <w:bCs/>
          <w:sz w:val="22"/>
          <w:lang w:val="sr-Latn-BA" w:eastAsia="en-US"/>
        </w:rPr>
        <w:t xml:space="preserve"> и </w:t>
      </w:r>
      <w:proofErr w:type="spellStart"/>
      <w:r w:rsidRPr="00790A22">
        <w:rPr>
          <w:bCs/>
          <w:sz w:val="22"/>
          <w:lang w:val="sr-Latn-BA" w:eastAsia="en-US"/>
        </w:rPr>
        <w:t>еко</w:t>
      </w:r>
      <w:r w:rsidR="004A6C03">
        <w:rPr>
          <w:bCs/>
          <w:sz w:val="22"/>
          <w:lang w:val="sr-Latn-BA" w:eastAsia="en-US"/>
        </w:rPr>
        <w:t>номског</w:t>
      </w:r>
      <w:proofErr w:type="spellEnd"/>
      <w:r w:rsidR="004A6C03">
        <w:rPr>
          <w:bCs/>
          <w:sz w:val="22"/>
          <w:lang w:val="sr-Latn-BA" w:eastAsia="en-US"/>
        </w:rPr>
        <w:t xml:space="preserve"> </w:t>
      </w:r>
      <w:proofErr w:type="spellStart"/>
      <w:r w:rsidR="004A6C03">
        <w:rPr>
          <w:bCs/>
          <w:sz w:val="22"/>
          <w:lang w:val="sr-Latn-BA" w:eastAsia="en-US"/>
        </w:rPr>
        <w:t>опоравка</w:t>
      </w:r>
      <w:proofErr w:type="spellEnd"/>
      <w:r w:rsidR="004A6C03">
        <w:rPr>
          <w:bCs/>
          <w:sz w:val="22"/>
          <w:lang w:val="sr-Latn-BA" w:eastAsia="en-US"/>
        </w:rPr>
        <w:t xml:space="preserve"> и </w:t>
      </w:r>
      <w:proofErr w:type="spellStart"/>
      <w:r w:rsidRPr="00D6694A">
        <w:rPr>
          <w:bCs/>
          <w:sz w:val="22"/>
          <w:lang w:val="sr-Latn-BA" w:eastAsia="en-US"/>
        </w:rPr>
        <w:t>помо</w:t>
      </w:r>
      <w:r>
        <w:rPr>
          <w:bCs/>
          <w:sz w:val="22"/>
          <w:lang w:val="sr-Cyrl-RS" w:eastAsia="en-US"/>
        </w:rPr>
        <w:t>гне</w:t>
      </w:r>
      <w:proofErr w:type="spellEnd"/>
      <w:r w:rsidR="004A6C03" w:rsidRPr="004A6C03">
        <w:rPr>
          <w:bCs/>
          <w:sz w:val="22"/>
          <w:lang w:val="sr-Latn-BA" w:eastAsia="en-US"/>
        </w:rPr>
        <w:t xml:space="preserve"> у </w:t>
      </w:r>
      <w:proofErr w:type="spellStart"/>
      <w:r w:rsidR="004A6C03" w:rsidRPr="004A6C03">
        <w:rPr>
          <w:bCs/>
          <w:sz w:val="22"/>
          <w:lang w:val="sr-Latn-BA" w:eastAsia="en-US"/>
        </w:rPr>
        <w:t>формулисању</w:t>
      </w:r>
      <w:proofErr w:type="spellEnd"/>
      <w:r w:rsidR="004A6C03" w:rsidRPr="004A6C03">
        <w:rPr>
          <w:bCs/>
          <w:sz w:val="22"/>
          <w:lang w:val="sr-Latn-BA" w:eastAsia="en-US"/>
        </w:rPr>
        <w:t xml:space="preserve"> </w:t>
      </w:r>
      <w:proofErr w:type="spellStart"/>
      <w:r w:rsidR="004A6C03" w:rsidRPr="004A6C03">
        <w:rPr>
          <w:bCs/>
          <w:sz w:val="22"/>
          <w:lang w:val="sr-Latn-BA" w:eastAsia="en-US"/>
        </w:rPr>
        <w:t>конкретних</w:t>
      </w:r>
      <w:proofErr w:type="spellEnd"/>
      <w:r w:rsidRPr="00790A22">
        <w:rPr>
          <w:bCs/>
          <w:sz w:val="22"/>
          <w:lang w:val="sr-Latn-BA" w:eastAsia="en-US"/>
        </w:rPr>
        <w:t xml:space="preserve"> </w:t>
      </w:r>
      <w:proofErr w:type="spellStart"/>
      <w:r w:rsidRPr="00790A22">
        <w:rPr>
          <w:bCs/>
          <w:sz w:val="22"/>
          <w:lang w:val="sr-Latn-BA" w:eastAsia="en-US"/>
        </w:rPr>
        <w:t>политик</w:t>
      </w:r>
      <w:r w:rsidR="004A6C03">
        <w:rPr>
          <w:bCs/>
          <w:sz w:val="22"/>
          <w:lang w:val="sr-Latn-BA" w:eastAsia="en-US"/>
        </w:rPr>
        <w:t>а</w:t>
      </w:r>
      <w:proofErr w:type="spellEnd"/>
      <w:r w:rsidR="004A6C03">
        <w:rPr>
          <w:bCs/>
          <w:sz w:val="22"/>
          <w:lang w:val="sr-Latn-BA" w:eastAsia="en-US"/>
        </w:rPr>
        <w:t xml:space="preserve"> и </w:t>
      </w:r>
      <w:r w:rsidR="004A6C03" w:rsidRPr="004A6C03">
        <w:rPr>
          <w:bCs/>
          <w:sz w:val="22"/>
          <w:lang w:val="sr-Latn-BA" w:eastAsia="en-US"/>
        </w:rPr>
        <w:t xml:space="preserve"> </w:t>
      </w:r>
      <w:proofErr w:type="spellStart"/>
      <w:r w:rsidR="004A6C03">
        <w:rPr>
          <w:bCs/>
          <w:sz w:val="22"/>
          <w:lang w:val="sr-Cyrl-RS" w:eastAsia="en-US"/>
        </w:rPr>
        <w:t>п</w:t>
      </w:r>
      <w:r w:rsidR="002532F3">
        <w:rPr>
          <w:bCs/>
          <w:sz w:val="22"/>
          <w:lang w:val="sr-Cyrl-RS" w:eastAsia="en-US"/>
        </w:rPr>
        <w:t>риједлога</w:t>
      </w:r>
      <w:proofErr w:type="spellEnd"/>
      <w:r w:rsidR="002532F3">
        <w:rPr>
          <w:bCs/>
          <w:sz w:val="22"/>
          <w:lang w:val="sr-Cyrl-RS" w:eastAsia="en-US"/>
        </w:rPr>
        <w:t xml:space="preserve"> </w:t>
      </w:r>
      <w:r w:rsidR="00B8003C">
        <w:rPr>
          <w:bCs/>
          <w:sz w:val="22"/>
          <w:lang w:val="sr-Cyrl-RS" w:eastAsia="en-US"/>
        </w:rPr>
        <w:t>за пружање</w:t>
      </w:r>
      <w:r w:rsidRPr="00790A22">
        <w:rPr>
          <w:bCs/>
          <w:sz w:val="22"/>
          <w:lang w:val="sr-Latn-BA" w:eastAsia="en-US"/>
        </w:rPr>
        <w:t xml:space="preserve"> </w:t>
      </w:r>
      <w:r w:rsidR="00B8003C">
        <w:rPr>
          <w:bCs/>
          <w:sz w:val="22"/>
          <w:lang w:val="sr-Cyrl-RS" w:eastAsia="en-US"/>
        </w:rPr>
        <w:t>подршке напорима</w:t>
      </w:r>
      <w:r w:rsidRPr="00790A22">
        <w:rPr>
          <w:bCs/>
          <w:sz w:val="22"/>
          <w:lang w:val="sr-Latn-BA" w:eastAsia="en-US"/>
        </w:rPr>
        <w:t xml:space="preserve"> </w:t>
      </w:r>
      <w:r w:rsidR="00B8003C">
        <w:rPr>
          <w:bCs/>
          <w:sz w:val="22"/>
          <w:lang w:val="sr-Cyrl-RS" w:eastAsia="en-US"/>
        </w:rPr>
        <w:t>асоцијацијама</w:t>
      </w:r>
      <w:r w:rsidRPr="00790A22">
        <w:rPr>
          <w:bCs/>
          <w:sz w:val="22"/>
          <w:lang w:val="sr-Latn-BA" w:eastAsia="en-US"/>
        </w:rPr>
        <w:t xml:space="preserve"> </w:t>
      </w:r>
      <w:proofErr w:type="spellStart"/>
      <w:r w:rsidRPr="00790A22">
        <w:rPr>
          <w:bCs/>
          <w:sz w:val="22"/>
          <w:lang w:val="sr-Latn-BA" w:eastAsia="en-US"/>
        </w:rPr>
        <w:t>локалних</w:t>
      </w:r>
      <w:proofErr w:type="spellEnd"/>
      <w:r w:rsidRPr="00790A22">
        <w:rPr>
          <w:bCs/>
          <w:sz w:val="22"/>
          <w:lang w:val="sr-Latn-BA" w:eastAsia="en-US"/>
        </w:rPr>
        <w:t xml:space="preserve"> </w:t>
      </w:r>
      <w:proofErr w:type="spellStart"/>
      <w:r w:rsidRPr="00790A22">
        <w:rPr>
          <w:bCs/>
          <w:sz w:val="22"/>
          <w:lang w:val="sr-Latn-BA" w:eastAsia="en-US"/>
        </w:rPr>
        <w:t>самоуправа</w:t>
      </w:r>
      <w:proofErr w:type="spellEnd"/>
      <w:r w:rsidRPr="00790A22">
        <w:rPr>
          <w:bCs/>
          <w:sz w:val="22"/>
          <w:lang w:val="sr-Latn-BA" w:eastAsia="en-US"/>
        </w:rPr>
        <w:t xml:space="preserve"> </w:t>
      </w:r>
      <w:proofErr w:type="spellStart"/>
      <w:r w:rsidRPr="00790A22">
        <w:rPr>
          <w:bCs/>
          <w:sz w:val="22"/>
          <w:lang w:val="sr-Latn-BA" w:eastAsia="en-US"/>
        </w:rPr>
        <w:t>чланица</w:t>
      </w:r>
      <w:proofErr w:type="spellEnd"/>
      <w:r w:rsidRPr="00790A22">
        <w:rPr>
          <w:bCs/>
          <w:sz w:val="22"/>
          <w:lang w:val="sr-Latn-BA" w:eastAsia="en-US"/>
        </w:rPr>
        <w:t xml:space="preserve"> </w:t>
      </w:r>
      <w:r w:rsidR="002532F3">
        <w:rPr>
          <w:bCs/>
          <w:sz w:val="22"/>
          <w:lang w:val="sr-Latn-BA" w:eastAsia="en-US"/>
        </w:rPr>
        <w:t>NALAS-a</w:t>
      </w:r>
      <w:r w:rsidRPr="00790A22">
        <w:rPr>
          <w:bCs/>
          <w:sz w:val="22"/>
          <w:lang w:val="sr-Latn-BA" w:eastAsia="en-US"/>
        </w:rPr>
        <w:t xml:space="preserve">. </w:t>
      </w:r>
      <w:r w:rsidR="002532F3">
        <w:rPr>
          <w:bCs/>
          <w:sz w:val="22"/>
          <w:lang w:val="sr-Cyrl-RS" w:eastAsia="en-US"/>
        </w:rPr>
        <w:t xml:space="preserve">Према овом истраживању, </w:t>
      </w:r>
      <w:proofErr w:type="spellStart"/>
      <w:r w:rsidR="002532F3">
        <w:rPr>
          <w:bCs/>
          <w:sz w:val="22"/>
          <w:lang w:val="sr-Latn-BA" w:eastAsia="en-US"/>
        </w:rPr>
        <w:t>а</w:t>
      </w:r>
      <w:r w:rsidR="002532F3" w:rsidRPr="002532F3">
        <w:rPr>
          <w:bCs/>
          <w:sz w:val="22"/>
          <w:lang w:val="sr-Latn-BA" w:eastAsia="en-US"/>
        </w:rPr>
        <w:t>социјације</w:t>
      </w:r>
      <w:proofErr w:type="spellEnd"/>
      <w:r w:rsidR="002532F3" w:rsidRPr="002532F3">
        <w:rPr>
          <w:bCs/>
          <w:sz w:val="22"/>
          <w:lang w:val="sr-Latn-BA" w:eastAsia="en-US"/>
        </w:rPr>
        <w:t xml:space="preserve"> </w:t>
      </w:r>
      <w:proofErr w:type="spellStart"/>
      <w:r w:rsidR="002532F3" w:rsidRPr="002532F3">
        <w:rPr>
          <w:bCs/>
          <w:sz w:val="22"/>
          <w:lang w:val="sr-Latn-BA" w:eastAsia="en-US"/>
        </w:rPr>
        <w:t>локалних</w:t>
      </w:r>
      <w:proofErr w:type="spellEnd"/>
      <w:r w:rsidR="002532F3" w:rsidRPr="002532F3">
        <w:rPr>
          <w:bCs/>
          <w:sz w:val="22"/>
          <w:lang w:val="sr-Latn-BA" w:eastAsia="en-US"/>
        </w:rPr>
        <w:t xml:space="preserve"> </w:t>
      </w:r>
      <w:proofErr w:type="spellStart"/>
      <w:r w:rsidR="002532F3" w:rsidRPr="002532F3">
        <w:rPr>
          <w:bCs/>
          <w:sz w:val="22"/>
          <w:lang w:val="sr-Latn-BA" w:eastAsia="en-US"/>
        </w:rPr>
        <w:t>самоуправа</w:t>
      </w:r>
      <w:proofErr w:type="spellEnd"/>
      <w:r w:rsidR="002532F3" w:rsidRPr="002532F3">
        <w:rPr>
          <w:bCs/>
          <w:sz w:val="22"/>
          <w:lang w:val="sr-Latn-BA" w:eastAsia="en-US"/>
        </w:rPr>
        <w:t xml:space="preserve"> </w:t>
      </w:r>
      <w:proofErr w:type="spellStart"/>
      <w:r w:rsidR="002532F3" w:rsidRPr="002532F3">
        <w:rPr>
          <w:bCs/>
          <w:sz w:val="22"/>
          <w:lang w:val="sr-Latn-BA" w:eastAsia="en-US"/>
        </w:rPr>
        <w:t>играју</w:t>
      </w:r>
      <w:proofErr w:type="spellEnd"/>
      <w:r w:rsidR="002532F3" w:rsidRPr="002532F3">
        <w:rPr>
          <w:bCs/>
          <w:sz w:val="22"/>
          <w:lang w:val="sr-Latn-BA" w:eastAsia="en-US"/>
        </w:rPr>
        <w:t xml:space="preserve"> </w:t>
      </w:r>
      <w:proofErr w:type="spellStart"/>
      <w:r w:rsidR="002532F3" w:rsidRPr="002532F3">
        <w:rPr>
          <w:bCs/>
          <w:sz w:val="22"/>
          <w:lang w:val="sr-Latn-BA" w:eastAsia="en-US"/>
        </w:rPr>
        <w:t>кључну</w:t>
      </w:r>
      <w:proofErr w:type="spellEnd"/>
      <w:r w:rsidR="002532F3" w:rsidRPr="002532F3">
        <w:rPr>
          <w:bCs/>
          <w:sz w:val="22"/>
          <w:lang w:val="sr-Latn-BA" w:eastAsia="en-US"/>
        </w:rPr>
        <w:t xml:space="preserve"> </w:t>
      </w:r>
      <w:proofErr w:type="spellStart"/>
      <w:r w:rsidR="002532F3" w:rsidRPr="002532F3">
        <w:rPr>
          <w:bCs/>
          <w:sz w:val="22"/>
          <w:lang w:val="sr-Latn-BA" w:eastAsia="en-US"/>
        </w:rPr>
        <w:t>улогу</w:t>
      </w:r>
      <w:proofErr w:type="spellEnd"/>
      <w:r w:rsidR="002532F3" w:rsidRPr="002532F3">
        <w:rPr>
          <w:bCs/>
          <w:sz w:val="22"/>
          <w:lang w:val="sr-Latn-BA" w:eastAsia="en-US"/>
        </w:rPr>
        <w:t xml:space="preserve"> у </w:t>
      </w:r>
      <w:proofErr w:type="spellStart"/>
      <w:r w:rsidR="002532F3" w:rsidRPr="002532F3">
        <w:rPr>
          <w:bCs/>
          <w:sz w:val="22"/>
          <w:lang w:val="sr-Latn-BA" w:eastAsia="en-US"/>
        </w:rPr>
        <w:t>координацији</w:t>
      </w:r>
      <w:proofErr w:type="spellEnd"/>
      <w:r w:rsidR="002532F3" w:rsidRPr="002532F3">
        <w:rPr>
          <w:bCs/>
          <w:sz w:val="22"/>
          <w:lang w:val="sr-Latn-BA" w:eastAsia="en-US"/>
        </w:rPr>
        <w:t xml:space="preserve"> и </w:t>
      </w:r>
      <w:proofErr w:type="spellStart"/>
      <w:r w:rsidR="002532F3" w:rsidRPr="002532F3">
        <w:rPr>
          <w:bCs/>
          <w:sz w:val="22"/>
          <w:lang w:val="sr-Latn-BA" w:eastAsia="en-US"/>
        </w:rPr>
        <w:t>сарадњи</w:t>
      </w:r>
      <w:proofErr w:type="spellEnd"/>
      <w:r w:rsidR="002532F3" w:rsidRPr="002532F3">
        <w:rPr>
          <w:bCs/>
          <w:sz w:val="22"/>
          <w:lang w:val="sr-Latn-BA" w:eastAsia="en-US"/>
        </w:rPr>
        <w:t xml:space="preserve"> </w:t>
      </w:r>
      <w:proofErr w:type="spellStart"/>
      <w:r w:rsidR="002532F3" w:rsidRPr="002532F3">
        <w:rPr>
          <w:bCs/>
          <w:sz w:val="22"/>
          <w:lang w:val="sr-Latn-BA" w:eastAsia="en-US"/>
        </w:rPr>
        <w:t>на</w:t>
      </w:r>
      <w:proofErr w:type="spellEnd"/>
      <w:r w:rsidR="002532F3" w:rsidRPr="002532F3">
        <w:rPr>
          <w:bCs/>
          <w:sz w:val="22"/>
          <w:lang w:val="sr-Latn-BA" w:eastAsia="en-US"/>
        </w:rPr>
        <w:t xml:space="preserve"> </w:t>
      </w:r>
      <w:proofErr w:type="spellStart"/>
      <w:r w:rsidR="002532F3" w:rsidRPr="002532F3">
        <w:rPr>
          <w:bCs/>
          <w:sz w:val="22"/>
          <w:lang w:val="sr-Latn-BA" w:eastAsia="en-US"/>
        </w:rPr>
        <w:t>свим</w:t>
      </w:r>
      <w:proofErr w:type="spellEnd"/>
      <w:r w:rsidR="002532F3" w:rsidRPr="002532F3">
        <w:rPr>
          <w:bCs/>
          <w:sz w:val="22"/>
          <w:lang w:val="sr-Latn-BA" w:eastAsia="en-US"/>
        </w:rPr>
        <w:t xml:space="preserve"> </w:t>
      </w:r>
      <w:proofErr w:type="spellStart"/>
      <w:r w:rsidR="002532F3" w:rsidRPr="002532F3">
        <w:rPr>
          <w:bCs/>
          <w:sz w:val="22"/>
          <w:lang w:val="sr-Latn-BA" w:eastAsia="en-US"/>
        </w:rPr>
        <w:t>нивоима</w:t>
      </w:r>
      <w:proofErr w:type="spellEnd"/>
      <w:r w:rsidR="002532F3" w:rsidRPr="002532F3">
        <w:rPr>
          <w:bCs/>
          <w:sz w:val="22"/>
          <w:lang w:val="sr-Latn-BA" w:eastAsia="en-US"/>
        </w:rPr>
        <w:t xml:space="preserve"> </w:t>
      </w:r>
      <w:proofErr w:type="spellStart"/>
      <w:r w:rsidR="002532F3" w:rsidRPr="002532F3">
        <w:rPr>
          <w:bCs/>
          <w:sz w:val="22"/>
          <w:lang w:val="sr-Latn-BA" w:eastAsia="en-US"/>
        </w:rPr>
        <w:t>власти</w:t>
      </w:r>
      <w:proofErr w:type="spellEnd"/>
      <w:r w:rsidR="002532F3" w:rsidRPr="002532F3">
        <w:rPr>
          <w:bCs/>
          <w:sz w:val="22"/>
          <w:lang w:val="sr-Latn-BA" w:eastAsia="en-US"/>
        </w:rPr>
        <w:t xml:space="preserve"> и </w:t>
      </w:r>
      <w:proofErr w:type="spellStart"/>
      <w:r w:rsidR="002532F3" w:rsidRPr="002532F3">
        <w:rPr>
          <w:bCs/>
          <w:sz w:val="22"/>
          <w:lang w:val="sr-Latn-BA" w:eastAsia="en-US"/>
        </w:rPr>
        <w:t>стога</w:t>
      </w:r>
      <w:proofErr w:type="spellEnd"/>
      <w:r w:rsidR="002532F3" w:rsidRPr="002532F3">
        <w:rPr>
          <w:bCs/>
          <w:sz w:val="22"/>
          <w:lang w:val="sr-Latn-BA" w:eastAsia="en-US"/>
        </w:rPr>
        <w:t xml:space="preserve"> </w:t>
      </w:r>
      <w:proofErr w:type="spellStart"/>
      <w:r w:rsidR="002532F3" w:rsidRPr="002532F3">
        <w:rPr>
          <w:bCs/>
          <w:sz w:val="22"/>
          <w:lang w:val="sr-Latn-BA" w:eastAsia="en-US"/>
        </w:rPr>
        <w:t>имају</w:t>
      </w:r>
      <w:proofErr w:type="spellEnd"/>
      <w:r w:rsidR="002532F3" w:rsidRPr="002532F3">
        <w:rPr>
          <w:bCs/>
          <w:sz w:val="22"/>
          <w:lang w:val="sr-Latn-BA" w:eastAsia="en-US"/>
        </w:rPr>
        <w:t xml:space="preserve"> </w:t>
      </w:r>
      <w:proofErr w:type="spellStart"/>
      <w:r w:rsidR="002532F3" w:rsidRPr="002532F3">
        <w:rPr>
          <w:bCs/>
          <w:sz w:val="22"/>
          <w:lang w:val="sr-Latn-BA" w:eastAsia="en-US"/>
        </w:rPr>
        <w:t>незамењив</w:t>
      </w:r>
      <w:proofErr w:type="spellEnd"/>
      <w:r w:rsidR="002532F3" w:rsidRPr="002532F3">
        <w:rPr>
          <w:bCs/>
          <w:sz w:val="22"/>
          <w:lang w:val="sr-Latn-BA" w:eastAsia="en-US"/>
        </w:rPr>
        <w:t xml:space="preserve"> </w:t>
      </w:r>
      <w:proofErr w:type="spellStart"/>
      <w:r w:rsidR="00B16ED8">
        <w:rPr>
          <w:bCs/>
          <w:sz w:val="22"/>
          <w:lang w:val="sr-Latn-BA" w:eastAsia="en-US"/>
        </w:rPr>
        <w:t>положај</w:t>
      </w:r>
      <w:proofErr w:type="spellEnd"/>
      <w:r w:rsidR="00B16ED8">
        <w:rPr>
          <w:bCs/>
          <w:sz w:val="22"/>
          <w:lang w:val="sr-Latn-BA" w:eastAsia="en-US"/>
        </w:rPr>
        <w:t xml:space="preserve"> у </w:t>
      </w:r>
      <w:proofErr w:type="spellStart"/>
      <w:r w:rsidR="00B16ED8">
        <w:rPr>
          <w:bCs/>
          <w:sz w:val="22"/>
          <w:lang w:val="sr-Latn-BA" w:eastAsia="en-US"/>
        </w:rPr>
        <w:t>одговору</w:t>
      </w:r>
      <w:proofErr w:type="spellEnd"/>
      <w:r w:rsidR="00B16ED8">
        <w:rPr>
          <w:bCs/>
          <w:sz w:val="22"/>
          <w:lang w:val="sr-Latn-BA" w:eastAsia="en-US"/>
        </w:rPr>
        <w:t xml:space="preserve"> </w:t>
      </w:r>
      <w:proofErr w:type="spellStart"/>
      <w:r w:rsidR="00B16ED8">
        <w:rPr>
          <w:bCs/>
          <w:sz w:val="22"/>
          <w:lang w:val="sr-Latn-BA" w:eastAsia="en-US"/>
        </w:rPr>
        <w:t>на</w:t>
      </w:r>
      <w:proofErr w:type="spellEnd"/>
      <w:r w:rsidR="00B16ED8">
        <w:rPr>
          <w:bCs/>
          <w:sz w:val="22"/>
          <w:lang w:val="sr-Latn-BA" w:eastAsia="en-US"/>
        </w:rPr>
        <w:t xml:space="preserve"> </w:t>
      </w:r>
      <w:proofErr w:type="spellStart"/>
      <w:r w:rsidR="00B16ED8">
        <w:rPr>
          <w:bCs/>
          <w:sz w:val="22"/>
          <w:lang w:val="sr-Latn-BA" w:eastAsia="en-US"/>
        </w:rPr>
        <w:t>пандемију</w:t>
      </w:r>
      <w:proofErr w:type="spellEnd"/>
      <w:r w:rsidR="00B16ED8">
        <w:rPr>
          <w:bCs/>
          <w:sz w:val="22"/>
          <w:lang w:val="sr-Latn-BA" w:eastAsia="en-US"/>
        </w:rPr>
        <w:t xml:space="preserve">, </w:t>
      </w:r>
      <w:r w:rsidR="00B16ED8">
        <w:rPr>
          <w:bCs/>
          <w:sz w:val="22"/>
          <w:lang w:val="sr-Cyrl-RS" w:eastAsia="en-US"/>
        </w:rPr>
        <w:t xml:space="preserve">те </w:t>
      </w:r>
      <w:r w:rsidR="002532F3" w:rsidRPr="002532F3">
        <w:rPr>
          <w:bCs/>
          <w:sz w:val="22"/>
          <w:lang w:val="sr-Latn-BA" w:eastAsia="en-US"/>
        </w:rPr>
        <w:t xml:space="preserve">у </w:t>
      </w:r>
      <w:proofErr w:type="spellStart"/>
      <w:r w:rsidR="002532F3" w:rsidRPr="002532F3">
        <w:rPr>
          <w:bCs/>
          <w:sz w:val="22"/>
          <w:lang w:val="sr-Latn-BA" w:eastAsia="en-US"/>
        </w:rPr>
        <w:t>планирању</w:t>
      </w:r>
      <w:proofErr w:type="spellEnd"/>
      <w:r w:rsidR="002532F3" w:rsidRPr="002532F3">
        <w:rPr>
          <w:bCs/>
          <w:sz w:val="22"/>
          <w:lang w:val="sr-Latn-BA" w:eastAsia="en-US"/>
        </w:rPr>
        <w:t xml:space="preserve"> и </w:t>
      </w:r>
      <w:proofErr w:type="spellStart"/>
      <w:r w:rsidR="002532F3" w:rsidRPr="002532F3">
        <w:rPr>
          <w:bCs/>
          <w:sz w:val="22"/>
          <w:lang w:val="sr-Latn-BA" w:eastAsia="en-US"/>
        </w:rPr>
        <w:t>спровођењу</w:t>
      </w:r>
      <w:proofErr w:type="spellEnd"/>
      <w:r w:rsidR="002532F3" w:rsidRPr="002532F3">
        <w:rPr>
          <w:bCs/>
          <w:sz w:val="22"/>
          <w:lang w:val="sr-Latn-BA" w:eastAsia="en-US"/>
        </w:rPr>
        <w:t xml:space="preserve"> </w:t>
      </w:r>
      <w:proofErr w:type="spellStart"/>
      <w:r w:rsidR="002532F3" w:rsidRPr="002532F3">
        <w:rPr>
          <w:bCs/>
          <w:sz w:val="22"/>
          <w:lang w:val="sr-Latn-BA" w:eastAsia="en-US"/>
        </w:rPr>
        <w:t>социјалног</w:t>
      </w:r>
      <w:proofErr w:type="spellEnd"/>
      <w:r w:rsidR="002532F3" w:rsidRPr="002532F3">
        <w:rPr>
          <w:bCs/>
          <w:sz w:val="22"/>
          <w:lang w:val="sr-Latn-BA" w:eastAsia="en-US"/>
        </w:rPr>
        <w:t xml:space="preserve"> и </w:t>
      </w:r>
      <w:proofErr w:type="spellStart"/>
      <w:r w:rsidR="002532F3" w:rsidRPr="002532F3">
        <w:rPr>
          <w:bCs/>
          <w:sz w:val="22"/>
          <w:lang w:val="sr-Latn-BA" w:eastAsia="en-US"/>
        </w:rPr>
        <w:t>економског</w:t>
      </w:r>
      <w:proofErr w:type="spellEnd"/>
      <w:r w:rsidR="002532F3" w:rsidRPr="002532F3">
        <w:rPr>
          <w:bCs/>
          <w:sz w:val="22"/>
          <w:lang w:val="sr-Latn-BA" w:eastAsia="en-US"/>
        </w:rPr>
        <w:t xml:space="preserve"> </w:t>
      </w:r>
      <w:proofErr w:type="spellStart"/>
      <w:r w:rsidR="002532F3" w:rsidRPr="002532F3">
        <w:rPr>
          <w:bCs/>
          <w:sz w:val="22"/>
          <w:lang w:val="sr-Latn-BA" w:eastAsia="en-US"/>
        </w:rPr>
        <w:t>опоравка</w:t>
      </w:r>
      <w:proofErr w:type="spellEnd"/>
      <w:r w:rsidR="002532F3" w:rsidRPr="002532F3">
        <w:rPr>
          <w:bCs/>
          <w:sz w:val="22"/>
          <w:lang w:val="sr-Latn-BA" w:eastAsia="en-US"/>
        </w:rPr>
        <w:t>.</w:t>
      </w:r>
    </w:p>
    <w:p w14:paraId="6A578726" w14:textId="77777777" w:rsidR="002532F3" w:rsidRPr="00790A22" w:rsidRDefault="002532F3" w:rsidP="00790A22">
      <w:pPr>
        <w:spacing w:line="276" w:lineRule="auto"/>
        <w:ind w:firstLine="709"/>
        <w:jc w:val="both"/>
        <w:rPr>
          <w:bCs/>
          <w:sz w:val="22"/>
          <w:lang w:val="sr-Latn-BA" w:eastAsia="en-US"/>
        </w:rPr>
      </w:pPr>
    </w:p>
    <w:p w14:paraId="7F184930" w14:textId="77777777" w:rsidR="007207DA" w:rsidRPr="003264CE" w:rsidRDefault="007207DA" w:rsidP="003264CE">
      <w:pPr>
        <w:pStyle w:val="Heading1"/>
        <w:spacing w:line="276" w:lineRule="auto"/>
        <w:jc w:val="both"/>
        <w:rPr>
          <w:sz w:val="22"/>
          <w:lang w:val="en-US"/>
        </w:rPr>
      </w:pPr>
      <w:bookmarkStart w:id="13" w:name="_Toc59550013"/>
      <w:r w:rsidRPr="003264CE">
        <w:rPr>
          <w:sz w:val="22"/>
          <w:lang w:val="sr-Cyrl-BA"/>
        </w:rPr>
        <w:t>5.</w:t>
      </w:r>
      <w:r w:rsidRPr="003264CE">
        <w:rPr>
          <w:sz w:val="22"/>
        </w:rPr>
        <w:t xml:space="preserve"> </w:t>
      </w:r>
      <w:r w:rsidR="00365ABE" w:rsidRPr="003264CE">
        <w:rPr>
          <w:sz w:val="22"/>
        </w:rPr>
        <w:t xml:space="preserve">АНАЛИЗА ПРОВЕДЕНИХ МЈЕРА У ИЗАБРАНИМ ЈЕДИНИЦАМА ЛОКАЛНЕ САМОУПРАВЕ ЗА ВРИЈЕМЕ КРИЗЕ ИЗАЗВАНЕ ПАНДЕМИЈОМ </w:t>
      </w:r>
      <w:r w:rsidR="00365ABE" w:rsidRPr="003264CE">
        <w:rPr>
          <w:sz w:val="22"/>
          <w:lang w:val="en-US"/>
        </w:rPr>
        <w:t>COVID-19</w:t>
      </w:r>
      <w:bookmarkEnd w:id="13"/>
    </w:p>
    <w:p w14:paraId="61BCB883" w14:textId="77777777" w:rsidR="00365ABE" w:rsidRPr="003264CE" w:rsidRDefault="00365ABE" w:rsidP="003264CE">
      <w:pPr>
        <w:spacing w:line="276" w:lineRule="auto"/>
        <w:rPr>
          <w:sz w:val="22"/>
          <w:lang w:val="en-US" w:eastAsia="en-US"/>
        </w:rPr>
      </w:pPr>
    </w:p>
    <w:p w14:paraId="1FFF6005" w14:textId="77777777" w:rsidR="00DE2306" w:rsidRDefault="00322523" w:rsidP="003264CE">
      <w:pPr>
        <w:spacing w:line="276" w:lineRule="auto"/>
        <w:jc w:val="both"/>
        <w:rPr>
          <w:sz w:val="22"/>
          <w:lang w:val="sr-Cyrl-RS" w:eastAsia="en-US"/>
        </w:rPr>
      </w:pPr>
      <w:r w:rsidRPr="003264CE">
        <w:rPr>
          <w:sz w:val="22"/>
          <w:lang w:val="en-US" w:eastAsia="en-US"/>
        </w:rPr>
        <w:tab/>
      </w:r>
      <w:r w:rsidR="00E90442" w:rsidRPr="003264CE">
        <w:rPr>
          <w:sz w:val="22"/>
          <w:lang w:val="sr-Cyrl-RS" w:eastAsia="en-US"/>
        </w:rPr>
        <w:t>Као што је наведено у уводу, а</w:t>
      </w:r>
      <w:r w:rsidRPr="003264CE">
        <w:rPr>
          <w:sz w:val="22"/>
          <w:lang w:val="sr-Cyrl-RS" w:eastAsia="en-US"/>
        </w:rPr>
        <w:t xml:space="preserve">нализа проведених </w:t>
      </w:r>
      <w:proofErr w:type="spellStart"/>
      <w:r w:rsidRPr="003264CE">
        <w:rPr>
          <w:sz w:val="22"/>
          <w:lang w:val="sr-Cyrl-RS" w:eastAsia="en-US"/>
        </w:rPr>
        <w:t>мјера</w:t>
      </w:r>
      <w:proofErr w:type="spellEnd"/>
      <w:r w:rsidRPr="003264CE">
        <w:rPr>
          <w:sz w:val="22"/>
          <w:lang w:val="sr-Cyrl-RS" w:eastAsia="en-US"/>
        </w:rPr>
        <w:t xml:space="preserve"> за </w:t>
      </w:r>
      <w:proofErr w:type="spellStart"/>
      <w:r w:rsidRPr="003264CE">
        <w:rPr>
          <w:sz w:val="22"/>
          <w:lang w:val="sr-Cyrl-RS" w:eastAsia="en-US"/>
        </w:rPr>
        <w:t>вријеме</w:t>
      </w:r>
      <w:proofErr w:type="spellEnd"/>
      <w:r w:rsidRPr="003264CE">
        <w:rPr>
          <w:sz w:val="22"/>
          <w:lang w:val="sr-Cyrl-RS" w:eastAsia="en-US"/>
        </w:rPr>
        <w:t xml:space="preserve"> кризе изазване </w:t>
      </w:r>
      <w:proofErr w:type="spellStart"/>
      <w:r w:rsidRPr="003264CE">
        <w:rPr>
          <w:sz w:val="22"/>
          <w:lang w:val="sr-Cyrl-RS" w:eastAsia="en-US"/>
        </w:rPr>
        <w:t>пандемијом</w:t>
      </w:r>
      <w:proofErr w:type="spellEnd"/>
      <w:r w:rsidRPr="003264CE">
        <w:rPr>
          <w:sz w:val="22"/>
          <w:lang w:val="sr-Cyrl-RS" w:eastAsia="en-US"/>
        </w:rPr>
        <w:t xml:space="preserve"> </w:t>
      </w:r>
      <w:r w:rsidRPr="003264CE">
        <w:rPr>
          <w:sz w:val="22"/>
          <w:lang w:val="en-US" w:eastAsia="en-US"/>
        </w:rPr>
        <w:t xml:space="preserve">COVID-19 </w:t>
      </w:r>
      <w:r w:rsidR="00A74EFD" w:rsidRPr="003264CE">
        <w:rPr>
          <w:sz w:val="22"/>
          <w:lang w:val="sr-Cyrl-RS" w:eastAsia="en-US"/>
        </w:rPr>
        <w:t>извршена је за</w:t>
      </w:r>
      <w:r w:rsidRPr="003264CE">
        <w:rPr>
          <w:sz w:val="22"/>
          <w:lang w:val="sr-Cyrl-RS" w:eastAsia="en-US"/>
        </w:rPr>
        <w:t xml:space="preserve"> 7 градова и општина у Р</w:t>
      </w:r>
      <w:r w:rsidR="00131A1D">
        <w:rPr>
          <w:sz w:val="22"/>
          <w:lang w:val="sr-Cyrl-RS" w:eastAsia="en-US"/>
        </w:rPr>
        <w:t>С</w:t>
      </w:r>
      <w:r w:rsidRPr="003264CE">
        <w:rPr>
          <w:sz w:val="22"/>
          <w:lang w:val="sr-Cyrl-RS" w:eastAsia="en-US"/>
        </w:rPr>
        <w:t>. Према Одлуци о степену развијености јединица локалне самоуправе у Р</w:t>
      </w:r>
      <w:r w:rsidR="00A74EFD" w:rsidRPr="003264CE">
        <w:rPr>
          <w:sz w:val="22"/>
          <w:lang w:val="sr-Cyrl-RS" w:eastAsia="en-US"/>
        </w:rPr>
        <w:t xml:space="preserve">епублици </w:t>
      </w:r>
      <w:r w:rsidRPr="003264CE">
        <w:rPr>
          <w:sz w:val="22"/>
          <w:lang w:val="sr-Cyrl-RS" w:eastAsia="en-US"/>
        </w:rPr>
        <w:t>С</w:t>
      </w:r>
      <w:r w:rsidR="00A74EFD" w:rsidRPr="003264CE">
        <w:rPr>
          <w:sz w:val="22"/>
          <w:lang w:val="sr-Cyrl-RS" w:eastAsia="en-US"/>
        </w:rPr>
        <w:t>рпској</w:t>
      </w:r>
      <w:r w:rsidRPr="003264CE">
        <w:rPr>
          <w:sz w:val="22"/>
          <w:lang w:val="sr-Cyrl-RS" w:eastAsia="en-US"/>
        </w:rPr>
        <w:t xml:space="preserve"> за 2020. годину („Сл. гл. РС“, број 102/19), изабране општине и градови су разврстане према </w:t>
      </w:r>
      <w:r w:rsidR="00DE2306" w:rsidRPr="003264CE">
        <w:rPr>
          <w:sz w:val="22"/>
          <w:lang w:val="sr-Cyrl-RS" w:eastAsia="en-US"/>
        </w:rPr>
        <w:t xml:space="preserve">степену </w:t>
      </w:r>
      <w:r w:rsidRPr="003264CE">
        <w:rPr>
          <w:sz w:val="22"/>
          <w:lang w:val="sr-Cyrl-RS" w:eastAsia="en-US"/>
        </w:rPr>
        <w:t xml:space="preserve">развијености, како </w:t>
      </w:r>
      <w:proofErr w:type="spellStart"/>
      <w:r w:rsidRPr="003264CE">
        <w:rPr>
          <w:sz w:val="22"/>
          <w:lang w:val="sr-Cyrl-RS" w:eastAsia="en-US"/>
        </w:rPr>
        <w:t>слиједи</w:t>
      </w:r>
      <w:proofErr w:type="spellEnd"/>
      <w:r w:rsidRPr="003264CE">
        <w:rPr>
          <w:sz w:val="22"/>
          <w:lang w:val="sr-Cyrl-RS" w:eastAsia="en-US"/>
        </w:rPr>
        <w:t xml:space="preserve">: </w:t>
      </w:r>
    </w:p>
    <w:p w14:paraId="23135EE8" w14:textId="77777777" w:rsidR="00346921" w:rsidRPr="003264CE" w:rsidRDefault="00346921" w:rsidP="003264CE">
      <w:pPr>
        <w:spacing w:line="276" w:lineRule="auto"/>
        <w:jc w:val="both"/>
        <w:rPr>
          <w:sz w:val="22"/>
          <w:lang w:val="sr-Cyrl-RS" w:eastAsia="en-US"/>
        </w:rPr>
      </w:pPr>
    </w:p>
    <w:p w14:paraId="392CC1E0" w14:textId="77777777" w:rsidR="00DE2306" w:rsidRPr="003264CE" w:rsidRDefault="00DE2306" w:rsidP="003264CE">
      <w:pPr>
        <w:spacing w:line="276" w:lineRule="auto"/>
        <w:ind w:firstLine="709"/>
        <w:jc w:val="both"/>
        <w:rPr>
          <w:sz w:val="22"/>
          <w:lang w:val="sr-Cyrl-RS" w:eastAsia="en-US"/>
        </w:rPr>
      </w:pPr>
      <w:r w:rsidRPr="003264CE">
        <w:rPr>
          <w:sz w:val="22"/>
          <w:lang w:val="sr-Cyrl-RS" w:eastAsia="en-US"/>
        </w:rPr>
        <w:t xml:space="preserve">- </w:t>
      </w:r>
      <w:r w:rsidR="00EA6FFA" w:rsidRPr="003264CE">
        <w:rPr>
          <w:sz w:val="22"/>
          <w:lang w:val="sr-Cyrl-RS" w:eastAsia="en-US"/>
        </w:rPr>
        <w:t>развијени</w:t>
      </w:r>
      <w:r w:rsidRPr="003264CE">
        <w:rPr>
          <w:sz w:val="22"/>
          <w:lang w:val="sr-Cyrl-RS" w:eastAsia="en-US"/>
        </w:rPr>
        <w:t xml:space="preserve"> су</w:t>
      </w:r>
      <w:r w:rsidR="00322523" w:rsidRPr="003264CE">
        <w:rPr>
          <w:sz w:val="22"/>
          <w:lang w:val="sr-Cyrl-RS" w:eastAsia="en-US"/>
        </w:rPr>
        <w:t xml:space="preserve"> градови Бања Лука, Градишка и Приједор, те општина Лакташи</w:t>
      </w:r>
      <w:r w:rsidRPr="003264CE">
        <w:rPr>
          <w:sz w:val="22"/>
          <w:lang w:val="sr-Cyrl-RS" w:eastAsia="en-US"/>
        </w:rPr>
        <w:t>,</w:t>
      </w:r>
    </w:p>
    <w:p w14:paraId="05166ED1" w14:textId="77777777" w:rsidR="00322523" w:rsidRPr="003264CE" w:rsidRDefault="00DE2306" w:rsidP="003264CE">
      <w:pPr>
        <w:spacing w:line="276" w:lineRule="auto"/>
        <w:ind w:firstLine="709"/>
        <w:jc w:val="both"/>
        <w:rPr>
          <w:sz w:val="22"/>
          <w:lang w:val="sr-Cyrl-RS" w:eastAsia="en-US"/>
        </w:rPr>
      </w:pPr>
      <w:r w:rsidRPr="003264CE">
        <w:rPr>
          <w:sz w:val="22"/>
          <w:lang w:val="sr-Cyrl-RS" w:eastAsia="en-US"/>
        </w:rPr>
        <w:t xml:space="preserve">- </w:t>
      </w:r>
      <w:r w:rsidR="00FF363D" w:rsidRPr="003264CE">
        <w:rPr>
          <w:sz w:val="22"/>
          <w:lang w:val="sr-Cyrl-RS" w:eastAsia="en-US"/>
        </w:rPr>
        <w:t>средње развијене</w:t>
      </w:r>
      <w:r w:rsidRPr="003264CE">
        <w:rPr>
          <w:sz w:val="22"/>
          <w:lang w:val="sr-Cyrl-RS" w:eastAsia="en-US"/>
        </w:rPr>
        <w:t xml:space="preserve"> су општине </w:t>
      </w:r>
      <w:proofErr w:type="spellStart"/>
      <w:r w:rsidRPr="003264CE">
        <w:rPr>
          <w:sz w:val="22"/>
          <w:lang w:val="sr-Cyrl-RS" w:eastAsia="en-US"/>
        </w:rPr>
        <w:t>Србац</w:t>
      </w:r>
      <w:proofErr w:type="spellEnd"/>
      <w:r w:rsidRPr="003264CE">
        <w:rPr>
          <w:sz w:val="22"/>
          <w:lang w:val="sr-Cyrl-RS" w:eastAsia="en-US"/>
        </w:rPr>
        <w:t xml:space="preserve"> и Фоча,</w:t>
      </w:r>
      <w:r w:rsidR="00FF363D" w:rsidRPr="003264CE">
        <w:rPr>
          <w:sz w:val="22"/>
          <w:lang w:val="sr-Cyrl-RS" w:eastAsia="en-US"/>
        </w:rPr>
        <w:t xml:space="preserve"> </w:t>
      </w:r>
      <w:r w:rsidR="00322523" w:rsidRPr="003264CE">
        <w:rPr>
          <w:sz w:val="22"/>
          <w:lang w:val="sr-Cyrl-RS" w:eastAsia="en-US"/>
        </w:rPr>
        <w:t xml:space="preserve"> </w:t>
      </w:r>
    </w:p>
    <w:p w14:paraId="48A6037E" w14:textId="77777777" w:rsidR="00DE2306" w:rsidRDefault="00DE2306" w:rsidP="003264CE">
      <w:pPr>
        <w:spacing w:line="276" w:lineRule="auto"/>
        <w:ind w:firstLine="709"/>
        <w:jc w:val="both"/>
        <w:rPr>
          <w:sz w:val="22"/>
          <w:lang w:val="sr-Cyrl-RS" w:eastAsia="en-US"/>
        </w:rPr>
      </w:pPr>
      <w:r w:rsidRPr="003264CE">
        <w:rPr>
          <w:sz w:val="22"/>
          <w:lang w:val="sr-Cyrl-RS" w:eastAsia="en-US"/>
        </w:rPr>
        <w:t>- неразвијена је општина Вишеград.</w:t>
      </w:r>
    </w:p>
    <w:p w14:paraId="23E0E220" w14:textId="77777777" w:rsidR="003264CE" w:rsidRPr="003264CE" w:rsidRDefault="003264CE" w:rsidP="006C5CAE">
      <w:pPr>
        <w:shd w:val="clear" w:color="auto" w:fill="FFFFFF" w:themeFill="background1"/>
        <w:spacing w:line="276" w:lineRule="auto"/>
        <w:ind w:firstLine="709"/>
        <w:jc w:val="both"/>
        <w:rPr>
          <w:sz w:val="22"/>
          <w:lang w:val="sr-Cyrl-RS" w:eastAsia="en-US"/>
        </w:rPr>
      </w:pPr>
    </w:p>
    <w:p w14:paraId="054FA7F1" w14:textId="77777777" w:rsidR="00700EE4" w:rsidRDefault="00DE2306" w:rsidP="006C5CAE">
      <w:pPr>
        <w:shd w:val="clear" w:color="auto" w:fill="FFFFFF" w:themeFill="background1"/>
        <w:spacing w:line="276" w:lineRule="auto"/>
        <w:jc w:val="both"/>
        <w:rPr>
          <w:sz w:val="22"/>
          <w:lang w:val="sr-Cyrl-RS" w:eastAsia="en-US"/>
        </w:rPr>
      </w:pPr>
      <w:r w:rsidRPr="003264CE">
        <w:rPr>
          <w:sz w:val="22"/>
          <w:lang w:val="sr-Cyrl-RS" w:eastAsia="en-US"/>
        </w:rPr>
        <w:tab/>
      </w:r>
      <w:r w:rsidRPr="006C5CAE">
        <w:rPr>
          <w:sz w:val="22"/>
          <w:lang w:val="sr-Cyrl-RS" w:eastAsia="en-US"/>
        </w:rPr>
        <w:t>Д</w:t>
      </w:r>
      <w:r w:rsidR="00E90442" w:rsidRPr="006C5CAE">
        <w:rPr>
          <w:sz w:val="22"/>
          <w:lang w:val="sr-Cyrl-RS" w:eastAsia="en-US"/>
        </w:rPr>
        <w:t xml:space="preserve">аље у тексту </w:t>
      </w:r>
      <w:proofErr w:type="spellStart"/>
      <w:r w:rsidR="000C7FB9" w:rsidRPr="006C5CAE">
        <w:rPr>
          <w:sz w:val="22"/>
          <w:lang w:val="sr-Cyrl-RS" w:eastAsia="en-US"/>
        </w:rPr>
        <w:t>приказна</w:t>
      </w:r>
      <w:proofErr w:type="spellEnd"/>
      <w:r w:rsidR="000C7FB9" w:rsidRPr="006C5CAE">
        <w:rPr>
          <w:sz w:val="22"/>
          <w:lang w:val="sr-Cyrl-RS" w:eastAsia="en-US"/>
        </w:rPr>
        <w:t xml:space="preserve"> је анализа прихода у периодима 01.01.-31.03.2019. године</w:t>
      </w:r>
      <w:r w:rsidR="006C5CAE" w:rsidRPr="006C5CAE">
        <w:rPr>
          <w:sz w:val="22"/>
          <w:lang w:val="sr-Cyrl-RS" w:eastAsia="en-US"/>
        </w:rPr>
        <w:t xml:space="preserve"> и 01.01.-30.06.2019. године у односу на исте периоде 2020. године, као и </w:t>
      </w:r>
      <w:r w:rsidR="00A52CF4" w:rsidRPr="006C5CAE">
        <w:rPr>
          <w:sz w:val="22"/>
          <w:lang w:val="sr-Cyrl-RS" w:eastAsia="en-US"/>
        </w:rPr>
        <w:t>резиме одговора</w:t>
      </w:r>
      <w:r w:rsidR="00F56BA9" w:rsidRPr="006C5CAE">
        <w:rPr>
          <w:sz w:val="22"/>
          <w:lang w:val="sr-Cyrl-RS" w:eastAsia="en-US"/>
        </w:rPr>
        <w:t xml:space="preserve"> </w:t>
      </w:r>
      <w:r w:rsidR="006C5CAE" w:rsidRPr="006C5CAE">
        <w:rPr>
          <w:sz w:val="22"/>
          <w:lang w:val="sr-Cyrl-RS" w:eastAsia="en-US"/>
        </w:rPr>
        <w:t>из достављеног упитника</w:t>
      </w:r>
      <w:r w:rsidR="00FA5BA1">
        <w:rPr>
          <w:sz w:val="22"/>
          <w:lang w:val="sr-Cyrl-RS" w:eastAsia="en-US"/>
        </w:rPr>
        <w:t xml:space="preserve">, а у вези са </w:t>
      </w:r>
      <w:proofErr w:type="spellStart"/>
      <w:r w:rsidR="00FA5BA1">
        <w:rPr>
          <w:sz w:val="22"/>
          <w:lang w:val="sr-Cyrl-RS" w:eastAsia="en-US"/>
        </w:rPr>
        <w:t>мјерама</w:t>
      </w:r>
      <w:proofErr w:type="spellEnd"/>
      <w:r w:rsidR="00FA5BA1">
        <w:rPr>
          <w:sz w:val="22"/>
          <w:lang w:val="sr-Cyrl-RS" w:eastAsia="en-US"/>
        </w:rPr>
        <w:t xml:space="preserve"> које су проведене у овим изабраним ЈЛС за </w:t>
      </w:r>
      <w:proofErr w:type="spellStart"/>
      <w:r w:rsidR="00FA5BA1">
        <w:rPr>
          <w:sz w:val="22"/>
          <w:lang w:val="sr-Cyrl-RS" w:eastAsia="en-US"/>
        </w:rPr>
        <w:t>вријеме</w:t>
      </w:r>
      <w:proofErr w:type="spellEnd"/>
      <w:r w:rsidR="00FA5BA1">
        <w:rPr>
          <w:sz w:val="22"/>
          <w:lang w:val="sr-Cyrl-RS" w:eastAsia="en-US"/>
        </w:rPr>
        <w:t xml:space="preserve"> </w:t>
      </w:r>
      <w:proofErr w:type="spellStart"/>
      <w:r w:rsidR="00FA5BA1">
        <w:rPr>
          <w:sz w:val="22"/>
          <w:lang w:val="sr-Cyrl-RS" w:eastAsia="en-US"/>
        </w:rPr>
        <w:t>пандемије</w:t>
      </w:r>
      <w:proofErr w:type="spellEnd"/>
      <w:r w:rsidR="00A54AAD" w:rsidRPr="006C5CAE">
        <w:rPr>
          <w:sz w:val="22"/>
          <w:lang w:val="sr-Cyrl-RS" w:eastAsia="en-US"/>
        </w:rPr>
        <w:t>.</w:t>
      </w:r>
    </w:p>
    <w:p w14:paraId="5BEA7282" w14:textId="77777777" w:rsidR="00700EE4" w:rsidRDefault="00172257" w:rsidP="00172257">
      <w:pPr>
        <w:tabs>
          <w:tab w:val="left" w:pos="3428"/>
        </w:tabs>
        <w:spacing w:line="276" w:lineRule="auto"/>
        <w:jc w:val="both"/>
        <w:rPr>
          <w:sz w:val="22"/>
          <w:lang w:val="sr-Cyrl-RS" w:eastAsia="en-US"/>
        </w:rPr>
      </w:pPr>
      <w:r>
        <w:rPr>
          <w:sz w:val="22"/>
          <w:lang w:val="sr-Cyrl-RS" w:eastAsia="en-US"/>
        </w:rPr>
        <w:tab/>
      </w:r>
    </w:p>
    <w:p w14:paraId="4C37DAA4" w14:textId="77777777" w:rsidR="009758CD" w:rsidRPr="00346921" w:rsidRDefault="002C3202" w:rsidP="003264CE">
      <w:pPr>
        <w:pStyle w:val="Heading1"/>
        <w:spacing w:line="276" w:lineRule="auto"/>
        <w:rPr>
          <w:i/>
          <w:sz w:val="22"/>
          <w:lang w:val="sr-Cyrl-RS"/>
        </w:rPr>
      </w:pPr>
      <w:bookmarkStart w:id="14" w:name="_Toc59550014"/>
      <w:r w:rsidRPr="00346921">
        <w:rPr>
          <w:sz w:val="22"/>
        </w:rPr>
        <w:t xml:space="preserve">5.1. </w:t>
      </w:r>
      <w:r w:rsidR="005E3D70" w:rsidRPr="00346921">
        <w:rPr>
          <w:sz w:val="22"/>
          <w:lang w:val="sr-Cyrl-RS"/>
        </w:rPr>
        <w:t xml:space="preserve"> </w:t>
      </w:r>
      <w:r w:rsidR="00FA5BA1">
        <w:rPr>
          <w:sz w:val="22"/>
          <w:lang w:val="sr-Cyrl-RS"/>
        </w:rPr>
        <w:t xml:space="preserve">Утицај </w:t>
      </w:r>
      <w:proofErr w:type="spellStart"/>
      <w:r w:rsidR="00FA5BA1">
        <w:rPr>
          <w:sz w:val="22"/>
          <w:lang w:val="sr-Cyrl-RS"/>
        </w:rPr>
        <w:t>пандемије</w:t>
      </w:r>
      <w:proofErr w:type="spellEnd"/>
      <w:r w:rsidR="00FA5BA1">
        <w:rPr>
          <w:sz w:val="22"/>
          <w:lang w:val="sr-Cyrl-RS"/>
        </w:rPr>
        <w:t xml:space="preserve"> </w:t>
      </w:r>
      <w:r w:rsidR="00FA5BA1">
        <w:rPr>
          <w:sz w:val="22"/>
          <w:lang w:val="en-US"/>
        </w:rPr>
        <w:t xml:space="preserve">COVID-19 </w:t>
      </w:r>
      <w:r w:rsidR="00FA5BA1">
        <w:rPr>
          <w:sz w:val="22"/>
          <w:lang w:val="sr-Cyrl-RS"/>
        </w:rPr>
        <w:t xml:space="preserve"> на приходе</w:t>
      </w:r>
      <w:bookmarkEnd w:id="14"/>
    </w:p>
    <w:p w14:paraId="15CB9142" w14:textId="77777777" w:rsidR="009758CD" w:rsidRDefault="009758CD" w:rsidP="003264CE">
      <w:pPr>
        <w:spacing w:line="276" w:lineRule="auto"/>
        <w:jc w:val="both"/>
        <w:rPr>
          <w:b/>
          <w:sz w:val="22"/>
        </w:rPr>
      </w:pPr>
    </w:p>
    <w:p w14:paraId="3D9055FC" w14:textId="77777777" w:rsidR="00FA5BA1" w:rsidRDefault="00A36BBF" w:rsidP="00FA5BA1">
      <w:pPr>
        <w:spacing w:line="276" w:lineRule="auto"/>
        <w:ind w:firstLine="709"/>
        <w:jc w:val="both"/>
        <w:rPr>
          <w:sz w:val="22"/>
          <w:lang w:val="sr-Cyrl-RS"/>
        </w:rPr>
      </w:pPr>
      <w:r>
        <w:rPr>
          <w:sz w:val="22"/>
          <w:lang w:val="sr-Cyrl-RS"/>
        </w:rPr>
        <w:t>Свако</w:t>
      </w:r>
      <w:r w:rsidR="00FA5BA1">
        <w:rPr>
          <w:sz w:val="22"/>
          <w:lang w:val="sr-Cyrl-RS"/>
        </w:rPr>
        <w:t xml:space="preserve"> истраживање утицаја </w:t>
      </w:r>
      <w:proofErr w:type="spellStart"/>
      <w:r w:rsidR="00FA5BA1">
        <w:rPr>
          <w:sz w:val="22"/>
          <w:lang w:val="sr-Cyrl-RS"/>
        </w:rPr>
        <w:t>пандемије</w:t>
      </w:r>
      <w:proofErr w:type="spellEnd"/>
      <w:r w:rsidR="00FA5BA1">
        <w:rPr>
          <w:sz w:val="22"/>
          <w:lang w:val="sr-Cyrl-RS"/>
        </w:rPr>
        <w:t xml:space="preserve"> </w:t>
      </w:r>
      <w:r w:rsidR="00FA5BA1">
        <w:rPr>
          <w:sz w:val="22"/>
          <w:lang w:val="en-US"/>
        </w:rPr>
        <w:t xml:space="preserve">COVID-19 </w:t>
      </w:r>
      <w:r w:rsidR="00FA5BA1">
        <w:rPr>
          <w:sz w:val="22"/>
          <w:lang w:val="sr-Latn-RS"/>
        </w:rPr>
        <w:t xml:space="preserve"> </w:t>
      </w:r>
      <w:r w:rsidR="00FA5BA1">
        <w:rPr>
          <w:sz w:val="22"/>
          <w:lang w:val="sr-Cyrl-RS"/>
        </w:rPr>
        <w:t xml:space="preserve">на ЈЛС почиње са анализом динамике </w:t>
      </w:r>
      <w:r w:rsidR="00173C7E">
        <w:rPr>
          <w:sz w:val="22"/>
          <w:lang w:val="sr-Cyrl-RS"/>
        </w:rPr>
        <w:t>приход</w:t>
      </w:r>
      <w:r>
        <w:rPr>
          <w:sz w:val="22"/>
          <w:lang w:val="sr-Cyrl-RS"/>
        </w:rPr>
        <w:t xml:space="preserve">а, односно, </w:t>
      </w:r>
      <w:r w:rsidR="00FA5BA1">
        <w:rPr>
          <w:sz w:val="22"/>
          <w:lang w:val="sr-Cyrl-RS"/>
        </w:rPr>
        <w:t>поређењем</w:t>
      </w:r>
      <w:r w:rsidR="00400F4E">
        <w:rPr>
          <w:sz w:val="22"/>
          <w:lang w:val="sr-Cyrl-RS"/>
        </w:rPr>
        <w:t xml:space="preserve"> текућег</w:t>
      </w:r>
      <w:r w:rsidR="00FA5BA1">
        <w:rPr>
          <w:sz w:val="22"/>
          <w:lang w:val="sr-Cyrl-RS"/>
        </w:rPr>
        <w:t xml:space="preserve"> </w:t>
      </w:r>
      <w:r w:rsidR="00173C7E">
        <w:rPr>
          <w:sz w:val="22"/>
          <w:lang w:val="sr-Cyrl-RS"/>
        </w:rPr>
        <w:t>стања</w:t>
      </w:r>
      <w:r w:rsidR="00400F4E">
        <w:rPr>
          <w:sz w:val="22"/>
          <w:lang w:val="sr-Cyrl-RS"/>
        </w:rPr>
        <w:t xml:space="preserve"> са оним прије</w:t>
      </w:r>
      <w:r w:rsidR="00173C7E">
        <w:rPr>
          <w:sz w:val="22"/>
          <w:lang w:val="sr-Cyrl-RS"/>
        </w:rPr>
        <w:t xml:space="preserve"> </w:t>
      </w:r>
      <w:r w:rsidR="00FA5BA1">
        <w:rPr>
          <w:sz w:val="22"/>
          <w:lang w:val="sr-Cyrl-RS"/>
        </w:rPr>
        <w:t>кризе</w:t>
      </w:r>
      <w:r w:rsidR="00173C7E">
        <w:rPr>
          <w:sz w:val="22"/>
          <w:lang w:val="sr-Cyrl-RS"/>
        </w:rPr>
        <w:t>.</w:t>
      </w:r>
      <w:r w:rsidR="00FA5BA1">
        <w:rPr>
          <w:sz w:val="22"/>
          <w:lang w:val="sr-Cyrl-RS"/>
        </w:rPr>
        <w:t xml:space="preserve"> У наставку се даје анализа </w:t>
      </w:r>
      <w:proofErr w:type="spellStart"/>
      <w:r w:rsidR="00FA5BA1">
        <w:rPr>
          <w:sz w:val="22"/>
        </w:rPr>
        <w:t>извршења</w:t>
      </w:r>
      <w:proofErr w:type="spellEnd"/>
      <w:r w:rsidR="00FA5BA1">
        <w:rPr>
          <w:sz w:val="22"/>
          <w:lang w:val="sr-Cyrl-RS"/>
        </w:rPr>
        <w:t xml:space="preserve"> прихода у </w:t>
      </w:r>
      <w:r w:rsidR="00FA5BA1" w:rsidRPr="004D15BC">
        <w:rPr>
          <w:b/>
          <w:sz w:val="22"/>
          <w:u w:val="single"/>
          <w:lang w:val="sr-Cyrl-RS"/>
        </w:rPr>
        <w:t>периоду</w:t>
      </w:r>
      <w:r w:rsidR="004D15BC" w:rsidRPr="004D15BC">
        <w:rPr>
          <w:b/>
          <w:sz w:val="22"/>
          <w:u w:val="single"/>
        </w:rPr>
        <w:t xml:space="preserve"> 01.01. </w:t>
      </w:r>
      <w:proofErr w:type="spellStart"/>
      <w:r w:rsidR="004D15BC" w:rsidRPr="004D15BC">
        <w:rPr>
          <w:b/>
          <w:sz w:val="22"/>
          <w:u w:val="single"/>
        </w:rPr>
        <w:t>до</w:t>
      </w:r>
      <w:proofErr w:type="spellEnd"/>
      <w:r w:rsidR="004D15BC" w:rsidRPr="004D15BC">
        <w:rPr>
          <w:b/>
          <w:sz w:val="22"/>
          <w:u w:val="single"/>
        </w:rPr>
        <w:t xml:space="preserve"> </w:t>
      </w:r>
      <w:r w:rsidR="00FA5BA1" w:rsidRPr="004D15BC">
        <w:rPr>
          <w:b/>
          <w:sz w:val="22"/>
          <w:u w:val="single"/>
        </w:rPr>
        <w:t>3</w:t>
      </w:r>
      <w:r w:rsidR="004D15BC">
        <w:rPr>
          <w:b/>
          <w:sz w:val="22"/>
          <w:u w:val="single"/>
        </w:rPr>
        <w:t>1.03.2020</w:t>
      </w:r>
      <w:r w:rsidR="00FA5BA1" w:rsidRPr="004D15BC">
        <w:rPr>
          <w:b/>
          <w:sz w:val="22"/>
          <w:u w:val="single"/>
        </w:rPr>
        <w:t>.</w:t>
      </w:r>
      <w:r w:rsidR="00FA5BA1" w:rsidRPr="004D15BC">
        <w:rPr>
          <w:b/>
          <w:sz w:val="22"/>
          <w:u w:val="single"/>
          <w:lang w:val="sr-Cyrl-RS"/>
        </w:rPr>
        <w:t xml:space="preserve"> године</w:t>
      </w:r>
      <w:r w:rsidR="004D15BC">
        <w:rPr>
          <w:sz w:val="22"/>
        </w:rPr>
        <w:t xml:space="preserve"> у </w:t>
      </w:r>
      <w:proofErr w:type="spellStart"/>
      <w:r w:rsidR="004D15BC">
        <w:rPr>
          <w:sz w:val="22"/>
        </w:rPr>
        <w:t>односу</w:t>
      </w:r>
      <w:proofErr w:type="spellEnd"/>
      <w:r w:rsidR="004D15BC">
        <w:rPr>
          <w:sz w:val="22"/>
        </w:rPr>
        <w:t xml:space="preserve"> </w:t>
      </w:r>
      <w:proofErr w:type="spellStart"/>
      <w:r w:rsidR="004D15BC">
        <w:rPr>
          <w:sz w:val="22"/>
        </w:rPr>
        <w:t>на</w:t>
      </w:r>
      <w:proofErr w:type="spellEnd"/>
      <w:r w:rsidR="004D15BC">
        <w:rPr>
          <w:sz w:val="22"/>
        </w:rPr>
        <w:t xml:space="preserve"> </w:t>
      </w:r>
      <w:proofErr w:type="spellStart"/>
      <w:r w:rsidR="004D15BC">
        <w:rPr>
          <w:sz w:val="22"/>
        </w:rPr>
        <w:t>исти</w:t>
      </w:r>
      <w:proofErr w:type="spellEnd"/>
      <w:r w:rsidR="004D15BC">
        <w:rPr>
          <w:sz w:val="22"/>
        </w:rPr>
        <w:t xml:space="preserve"> </w:t>
      </w:r>
      <w:proofErr w:type="spellStart"/>
      <w:r w:rsidR="004D15BC">
        <w:rPr>
          <w:sz w:val="22"/>
        </w:rPr>
        <w:t>период</w:t>
      </w:r>
      <w:proofErr w:type="spellEnd"/>
      <w:r w:rsidR="004D15BC">
        <w:rPr>
          <w:sz w:val="22"/>
        </w:rPr>
        <w:t xml:space="preserve"> 2019</w:t>
      </w:r>
      <w:r w:rsidR="00FA5BA1">
        <w:rPr>
          <w:sz w:val="22"/>
        </w:rPr>
        <w:t xml:space="preserve">. </w:t>
      </w:r>
      <w:r w:rsidR="00FA5BA1" w:rsidRPr="00346921">
        <w:rPr>
          <w:sz w:val="22"/>
        </w:rPr>
        <w:t>г</w:t>
      </w:r>
      <w:r w:rsidR="00FA5BA1">
        <w:rPr>
          <w:sz w:val="22"/>
          <w:lang w:val="sr-Cyrl-RS"/>
        </w:rPr>
        <w:t>одине</w:t>
      </w:r>
      <w:r w:rsidR="00173C7E">
        <w:rPr>
          <w:sz w:val="22"/>
          <w:lang w:val="sr-Cyrl-RS"/>
        </w:rPr>
        <w:t>.</w:t>
      </w:r>
    </w:p>
    <w:p w14:paraId="653F898C" w14:textId="070C3010" w:rsidR="00FA5BA1" w:rsidRDefault="00FA5BA1" w:rsidP="00FA5BA1">
      <w:pPr>
        <w:spacing w:line="276" w:lineRule="auto"/>
        <w:ind w:firstLine="709"/>
        <w:jc w:val="both"/>
        <w:rPr>
          <w:b/>
          <w:sz w:val="22"/>
        </w:rPr>
      </w:pPr>
    </w:p>
    <w:p w14:paraId="799C9D5E" w14:textId="3024AD52" w:rsidR="00570002" w:rsidRDefault="00570002" w:rsidP="00FA5BA1">
      <w:pPr>
        <w:spacing w:line="276" w:lineRule="auto"/>
        <w:ind w:firstLine="709"/>
        <w:jc w:val="both"/>
        <w:rPr>
          <w:b/>
          <w:sz w:val="22"/>
        </w:rPr>
      </w:pPr>
    </w:p>
    <w:p w14:paraId="0A19E840" w14:textId="0BDFDA9B" w:rsidR="00570002" w:rsidRDefault="00570002" w:rsidP="00FA5BA1">
      <w:pPr>
        <w:spacing w:line="276" w:lineRule="auto"/>
        <w:ind w:firstLine="709"/>
        <w:jc w:val="both"/>
        <w:rPr>
          <w:b/>
          <w:sz w:val="22"/>
        </w:rPr>
      </w:pPr>
    </w:p>
    <w:p w14:paraId="25D2348B" w14:textId="1974CB78" w:rsidR="00570002" w:rsidRDefault="00570002" w:rsidP="00FA5BA1">
      <w:pPr>
        <w:spacing w:line="276" w:lineRule="auto"/>
        <w:ind w:firstLine="709"/>
        <w:jc w:val="both"/>
        <w:rPr>
          <w:b/>
          <w:sz w:val="22"/>
        </w:rPr>
      </w:pPr>
    </w:p>
    <w:p w14:paraId="30AE69E0" w14:textId="2BC8EF31" w:rsidR="00570002" w:rsidRDefault="00570002" w:rsidP="00FA5BA1">
      <w:pPr>
        <w:spacing w:line="276" w:lineRule="auto"/>
        <w:ind w:firstLine="709"/>
        <w:jc w:val="both"/>
        <w:rPr>
          <w:b/>
          <w:sz w:val="22"/>
        </w:rPr>
      </w:pPr>
    </w:p>
    <w:p w14:paraId="568CE911" w14:textId="2E086E87" w:rsidR="00570002" w:rsidRDefault="00570002" w:rsidP="00FA5BA1">
      <w:pPr>
        <w:spacing w:line="276" w:lineRule="auto"/>
        <w:ind w:firstLine="709"/>
        <w:jc w:val="both"/>
        <w:rPr>
          <w:b/>
          <w:sz w:val="22"/>
        </w:rPr>
      </w:pPr>
    </w:p>
    <w:p w14:paraId="1484FCE0" w14:textId="65C27F79" w:rsidR="00570002" w:rsidRDefault="00570002" w:rsidP="00FA5BA1">
      <w:pPr>
        <w:spacing w:line="276" w:lineRule="auto"/>
        <w:ind w:firstLine="709"/>
        <w:jc w:val="both"/>
        <w:rPr>
          <w:b/>
          <w:sz w:val="22"/>
        </w:rPr>
      </w:pPr>
    </w:p>
    <w:p w14:paraId="71A1301A" w14:textId="7A33FFE5" w:rsidR="00570002" w:rsidRDefault="00570002" w:rsidP="00FA5BA1">
      <w:pPr>
        <w:spacing w:line="276" w:lineRule="auto"/>
        <w:ind w:firstLine="709"/>
        <w:jc w:val="both"/>
        <w:rPr>
          <w:b/>
          <w:sz w:val="22"/>
        </w:rPr>
      </w:pPr>
    </w:p>
    <w:p w14:paraId="37ECEA21" w14:textId="3D5DAABD" w:rsidR="00570002" w:rsidRDefault="00570002" w:rsidP="00FA5BA1">
      <w:pPr>
        <w:spacing w:line="276" w:lineRule="auto"/>
        <w:ind w:firstLine="709"/>
        <w:jc w:val="both"/>
        <w:rPr>
          <w:b/>
          <w:sz w:val="22"/>
        </w:rPr>
      </w:pPr>
    </w:p>
    <w:p w14:paraId="4D6BE6DB" w14:textId="486BC1A4" w:rsidR="00570002" w:rsidRDefault="00570002" w:rsidP="00FA5BA1">
      <w:pPr>
        <w:spacing w:line="276" w:lineRule="auto"/>
        <w:ind w:firstLine="709"/>
        <w:jc w:val="both"/>
        <w:rPr>
          <w:b/>
          <w:sz w:val="22"/>
        </w:rPr>
      </w:pPr>
    </w:p>
    <w:p w14:paraId="68F083BF" w14:textId="77777777" w:rsidR="00570002" w:rsidRPr="003264CE" w:rsidRDefault="00570002" w:rsidP="00FA5BA1">
      <w:pPr>
        <w:spacing w:line="276" w:lineRule="auto"/>
        <w:ind w:firstLine="709"/>
        <w:jc w:val="both"/>
        <w:rPr>
          <w:b/>
          <w:sz w:val="22"/>
        </w:rPr>
      </w:pPr>
    </w:p>
    <w:p w14:paraId="518CBA5E" w14:textId="1460802A" w:rsidR="00A52CF4" w:rsidRPr="00700EE4" w:rsidRDefault="00570002" w:rsidP="003264CE">
      <w:pPr>
        <w:spacing w:line="276" w:lineRule="auto"/>
        <w:jc w:val="both"/>
        <w:rPr>
          <w:b/>
          <w:sz w:val="22"/>
          <w:lang w:val="sr-Cyrl-RS"/>
        </w:rPr>
      </w:pPr>
      <w:r>
        <w:rPr>
          <w:b/>
          <w:sz w:val="22"/>
          <w:lang w:val="sr-Cyrl-RS"/>
        </w:rPr>
        <w:lastRenderedPageBreak/>
        <w:tab/>
        <w:t>Графикон 1</w:t>
      </w:r>
      <w:r w:rsidR="00700EE4" w:rsidRPr="00700EE4">
        <w:rPr>
          <w:b/>
          <w:sz w:val="22"/>
          <w:lang w:val="sr-Cyrl-RS"/>
        </w:rPr>
        <w:t>.</w:t>
      </w:r>
    </w:p>
    <w:p w14:paraId="1ED68151" w14:textId="77777777" w:rsidR="00A52CF4" w:rsidRDefault="00A52CF4" w:rsidP="009758CD">
      <w:pPr>
        <w:jc w:val="both"/>
        <w:rPr>
          <w:lang w:val="sr-Cyrl-RS"/>
        </w:rPr>
      </w:pPr>
      <w:r>
        <w:rPr>
          <w:noProof/>
          <w:lang w:val="sr-Latn-RS" w:eastAsia="sr-Latn-RS"/>
        </w:rPr>
        <w:drawing>
          <wp:inline distT="0" distB="0" distL="0" distR="0" wp14:anchorId="61D16C83" wp14:editId="3A3CD21B">
            <wp:extent cx="6073254" cy="2614930"/>
            <wp:effectExtent l="0" t="0" r="3810"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2BB9BF" w14:textId="77777777" w:rsidR="00700EE4" w:rsidRDefault="00700EE4" w:rsidP="009758CD">
      <w:pPr>
        <w:jc w:val="both"/>
        <w:rPr>
          <w:lang w:val="sr-Cyrl-RS"/>
        </w:rPr>
      </w:pPr>
    </w:p>
    <w:p w14:paraId="7681AC80" w14:textId="77777777" w:rsidR="00700EE4" w:rsidRPr="00AB6F09" w:rsidRDefault="00700EE4" w:rsidP="00700EE4">
      <w:pPr>
        <w:spacing w:line="276" w:lineRule="auto"/>
        <w:ind w:firstLine="709"/>
        <w:jc w:val="both"/>
        <w:rPr>
          <w:sz w:val="22"/>
          <w:lang w:val="sr-Cyrl-RS"/>
        </w:rPr>
      </w:pPr>
      <w:proofErr w:type="spellStart"/>
      <w:r w:rsidRPr="003264CE">
        <w:rPr>
          <w:sz w:val="22"/>
        </w:rPr>
        <w:t>Од</w:t>
      </w:r>
      <w:proofErr w:type="spellEnd"/>
      <w:r w:rsidRPr="003264CE">
        <w:rPr>
          <w:sz w:val="22"/>
        </w:rPr>
        <w:t xml:space="preserve"> </w:t>
      </w:r>
      <w:r w:rsidRPr="003264CE">
        <w:rPr>
          <w:sz w:val="22"/>
          <w:lang w:val="sr-Cyrl-RS"/>
        </w:rPr>
        <w:t>анкетираних</w:t>
      </w:r>
      <w:r w:rsidRPr="003264CE">
        <w:rPr>
          <w:sz w:val="22"/>
        </w:rPr>
        <w:t xml:space="preserve"> ЈЛС, 4 </w:t>
      </w:r>
      <w:proofErr w:type="spellStart"/>
      <w:r w:rsidRPr="003264CE">
        <w:rPr>
          <w:sz w:val="22"/>
        </w:rPr>
        <w:t>су</w:t>
      </w:r>
      <w:proofErr w:type="spellEnd"/>
      <w:r w:rsidRPr="003264CE">
        <w:rPr>
          <w:sz w:val="22"/>
        </w:rPr>
        <w:t xml:space="preserve"> </w:t>
      </w:r>
      <w:proofErr w:type="spellStart"/>
      <w:r w:rsidRPr="003264CE">
        <w:rPr>
          <w:sz w:val="22"/>
        </w:rPr>
        <w:t>забиљежиле</w:t>
      </w:r>
      <w:proofErr w:type="spellEnd"/>
      <w:r w:rsidR="00173C7E">
        <w:rPr>
          <w:sz w:val="22"/>
          <w:lang w:val="sr-Cyrl-RS"/>
        </w:rPr>
        <w:t>, у првом кварталу 2020. године у односу на 2019. годину,</w:t>
      </w:r>
      <w:r w:rsidRPr="003264CE">
        <w:rPr>
          <w:sz w:val="22"/>
        </w:rPr>
        <w:t xml:space="preserve"> </w:t>
      </w:r>
      <w:proofErr w:type="spellStart"/>
      <w:r w:rsidRPr="003264CE">
        <w:rPr>
          <w:sz w:val="22"/>
        </w:rPr>
        <w:t>пад</w:t>
      </w:r>
      <w:proofErr w:type="spellEnd"/>
      <w:r w:rsidRPr="003264CE">
        <w:rPr>
          <w:sz w:val="22"/>
        </w:rPr>
        <w:t xml:space="preserve"> </w:t>
      </w:r>
      <w:proofErr w:type="spellStart"/>
      <w:r w:rsidRPr="003264CE">
        <w:rPr>
          <w:sz w:val="22"/>
        </w:rPr>
        <w:t>наплате</w:t>
      </w:r>
      <w:proofErr w:type="spellEnd"/>
      <w:r w:rsidRPr="003264CE">
        <w:rPr>
          <w:sz w:val="22"/>
        </w:rPr>
        <w:t xml:space="preserve"> </w:t>
      </w:r>
      <w:proofErr w:type="spellStart"/>
      <w:r w:rsidRPr="003264CE">
        <w:rPr>
          <w:sz w:val="22"/>
        </w:rPr>
        <w:t>укупних</w:t>
      </w:r>
      <w:proofErr w:type="spellEnd"/>
      <w:r w:rsidRPr="003264CE">
        <w:rPr>
          <w:sz w:val="22"/>
        </w:rPr>
        <w:t xml:space="preserve"> </w:t>
      </w:r>
      <w:proofErr w:type="spellStart"/>
      <w:r w:rsidRPr="003264CE">
        <w:rPr>
          <w:sz w:val="22"/>
        </w:rPr>
        <w:t>прихода</w:t>
      </w:r>
      <w:proofErr w:type="spellEnd"/>
      <w:r w:rsidRPr="003264CE">
        <w:rPr>
          <w:sz w:val="22"/>
        </w:rPr>
        <w:t xml:space="preserve"> (</w:t>
      </w:r>
      <w:r w:rsidRPr="003264CE">
        <w:rPr>
          <w:sz w:val="22"/>
          <w:lang w:val="sr-Cyrl-RS"/>
        </w:rPr>
        <w:t xml:space="preserve">у распону </w:t>
      </w:r>
      <w:proofErr w:type="spellStart"/>
      <w:r w:rsidRPr="003264CE">
        <w:rPr>
          <w:sz w:val="22"/>
        </w:rPr>
        <w:t>од</w:t>
      </w:r>
      <w:proofErr w:type="spellEnd"/>
      <w:r w:rsidRPr="003264CE">
        <w:rPr>
          <w:sz w:val="22"/>
        </w:rPr>
        <w:t xml:space="preserve"> -0,4% (</w:t>
      </w:r>
      <w:proofErr w:type="spellStart"/>
      <w:r w:rsidRPr="003264CE">
        <w:rPr>
          <w:sz w:val="22"/>
        </w:rPr>
        <w:t>Градишка</w:t>
      </w:r>
      <w:proofErr w:type="spellEnd"/>
      <w:r w:rsidRPr="003264CE">
        <w:rPr>
          <w:sz w:val="22"/>
        </w:rPr>
        <w:t xml:space="preserve">) </w:t>
      </w:r>
      <w:proofErr w:type="spellStart"/>
      <w:r w:rsidRPr="003264CE">
        <w:rPr>
          <w:sz w:val="22"/>
        </w:rPr>
        <w:t>до</w:t>
      </w:r>
      <w:proofErr w:type="spellEnd"/>
      <w:r w:rsidRPr="003264CE">
        <w:rPr>
          <w:sz w:val="22"/>
        </w:rPr>
        <w:t xml:space="preserve"> -5,2% (</w:t>
      </w:r>
      <w:proofErr w:type="spellStart"/>
      <w:r w:rsidRPr="003264CE">
        <w:rPr>
          <w:sz w:val="22"/>
        </w:rPr>
        <w:t>Бања</w:t>
      </w:r>
      <w:proofErr w:type="spellEnd"/>
      <w:r w:rsidRPr="003264CE">
        <w:rPr>
          <w:sz w:val="22"/>
        </w:rPr>
        <w:t xml:space="preserve"> </w:t>
      </w:r>
      <w:proofErr w:type="spellStart"/>
      <w:r w:rsidRPr="003264CE">
        <w:rPr>
          <w:sz w:val="22"/>
        </w:rPr>
        <w:t>Лука</w:t>
      </w:r>
      <w:proofErr w:type="spellEnd"/>
      <w:r w:rsidRPr="003264CE">
        <w:rPr>
          <w:sz w:val="22"/>
        </w:rPr>
        <w:t xml:space="preserve">)), </w:t>
      </w:r>
      <w:r w:rsidR="00AB6F09">
        <w:rPr>
          <w:sz w:val="22"/>
          <w:lang w:val="sr-Cyrl-RS"/>
        </w:rPr>
        <w:t>а једна</w:t>
      </w:r>
      <w:r w:rsidRPr="003264CE">
        <w:rPr>
          <w:sz w:val="22"/>
        </w:rPr>
        <w:t xml:space="preserve"> ЈЛС </w:t>
      </w:r>
      <w:proofErr w:type="spellStart"/>
      <w:r w:rsidRPr="003264CE">
        <w:rPr>
          <w:sz w:val="22"/>
        </w:rPr>
        <w:t>имала</w:t>
      </w:r>
      <w:proofErr w:type="spellEnd"/>
      <w:r w:rsidRPr="003264CE">
        <w:rPr>
          <w:sz w:val="22"/>
        </w:rPr>
        <w:t xml:space="preserve"> </w:t>
      </w:r>
      <w:proofErr w:type="spellStart"/>
      <w:r w:rsidRPr="003264CE">
        <w:rPr>
          <w:sz w:val="22"/>
        </w:rPr>
        <w:t>је</w:t>
      </w:r>
      <w:proofErr w:type="spellEnd"/>
      <w:r w:rsidRPr="003264CE">
        <w:rPr>
          <w:sz w:val="22"/>
        </w:rPr>
        <w:t xml:space="preserve"> </w:t>
      </w:r>
      <w:r w:rsidRPr="003264CE">
        <w:rPr>
          <w:sz w:val="22"/>
          <w:lang w:val="sr-Cyrl-RS"/>
        </w:rPr>
        <w:t xml:space="preserve">готово </w:t>
      </w:r>
      <w:proofErr w:type="spellStart"/>
      <w:r w:rsidR="00AB6F09">
        <w:rPr>
          <w:sz w:val="22"/>
        </w:rPr>
        <w:t>исти</w:t>
      </w:r>
      <w:proofErr w:type="spellEnd"/>
      <w:r w:rsidR="00AB6F09">
        <w:rPr>
          <w:sz w:val="22"/>
        </w:rPr>
        <w:t xml:space="preserve"> </w:t>
      </w:r>
      <w:proofErr w:type="spellStart"/>
      <w:r w:rsidR="00AB6F09">
        <w:rPr>
          <w:sz w:val="22"/>
        </w:rPr>
        <w:t>ново</w:t>
      </w:r>
      <w:proofErr w:type="spellEnd"/>
      <w:r w:rsidR="00AB6F09">
        <w:rPr>
          <w:sz w:val="22"/>
        </w:rPr>
        <w:t xml:space="preserve"> </w:t>
      </w:r>
      <w:proofErr w:type="spellStart"/>
      <w:r w:rsidR="00AB6F09">
        <w:rPr>
          <w:sz w:val="22"/>
        </w:rPr>
        <w:t>наплате</w:t>
      </w:r>
      <w:proofErr w:type="spellEnd"/>
      <w:r w:rsidR="00AB6F09">
        <w:rPr>
          <w:sz w:val="22"/>
        </w:rPr>
        <w:t xml:space="preserve"> (</w:t>
      </w:r>
      <w:proofErr w:type="spellStart"/>
      <w:r w:rsidR="00AB6F09">
        <w:rPr>
          <w:sz w:val="22"/>
        </w:rPr>
        <w:t>Лакташи</w:t>
      </w:r>
      <w:proofErr w:type="spellEnd"/>
      <w:r w:rsidR="00AB6F09">
        <w:rPr>
          <w:sz w:val="22"/>
        </w:rPr>
        <w:t>).</w:t>
      </w:r>
      <w:r w:rsidR="00173C7E">
        <w:rPr>
          <w:sz w:val="22"/>
        </w:rPr>
        <w:t xml:space="preserve"> </w:t>
      </w:r>
      <w:proofErr w:type="spellStart"/>
      <w:r w:rsidR="00AB6F09">
        <w:rPr>
          <w:sz w:val="22"/>
          <w:lang w:val="sr-Cyrl-RS"/>
        </w:rPr>
        <w:t>Двије</w:t>
      </w:r>
      <w:proofErr w:type="spellEnd"/>
      <w:r w:rsidRPr="003264CE">
        <w:rPr>
          <w:sz w:val="22"/>
        </w:rPr>
        <w:t xml:space="preserve"> ЈЛС </w:t>
      </w:r>
      <w:r w:rsidR="00AB6F09">
        <w:rPr>
          <w:sz w:val="22"/>
          <w:lang w:val="sr-Cyrl-RS"/>
        </w:rPr>
        <w:t xml:space="preserve">оствариле су </w:t>
      </w:r>
      <w:proofErr w:type="spellStart"/>
      <w:r w:rsidRPr="003264CE">
        <w:rPr>
          <w:sz w:val="22"/>
        </w:rPr>
        <w:t>раст</w:t>
      </w:r>
      <w:proofErr w:type="spellEnd"/>
      <w:r w:rsidRPr="003264CE">
        <w:rPr>
          <w:sz w:val="22"/>
        </w:rPr>
        <w:t xml:space="preserve"> </w:t>
      </w:r>
      <w:proofErr w:type="spellStart"/>
      <w:r w:rsidRPr="003264CE">
        <w:rPr>
          <w:sz w:val="22"/>
        </w:rPr>
        <w:t>укупних</w:t>
      </w:r>
      <w:proofErr w:type="spellEnd"/>
      <w:r w:rsidRPr="003264CE">
        <w:rPr>
          <w:sz w:val="22"/>
        </w:rPr>
        <w:t xml:space="preserve"> </w:t>
      </w:r>
      <w:proofErr w:type="spellStart"/>
      <w:r w:rsidRPr="003264CE">
        <w:rPr>
          <w:sz w:val="22"/>
        </w:rPr>
        <w:t>прихода</w:t>
      </w:r>
      <w:proofErr w:type="spellEnd"/>
      <w:r w:rsidRPr="003264CE">
        <w:rPr>
          <w:sz w:val="22"/>
        </w:rPr>
        <w:t xml:space="preserve"> (</w:t>
      </w:r>
      <w:proofErr w:type="spellStart"/>
      <w:r w:rsidRPr="003264CE">
        <w:rPr>
          <w:sz w:val="22"/>
        </w:rPr>
        <w:t>Приједор</w:t>
      </w:r>
      <w:proofErr w:type="spellEnd"/>
      <w:r w:rsidRPr="003264CE">
        <w:rPr>
          <w:sz w:val="22"/>
        </w:rPr>
        <w:t xml:space="preserve"> </w:t>
      </w:r>
      <w:proofErr w:type="spellStart"/>
      <w:r w:rsidRPr="003264CE">
        <w:rPr>
          <w:sz w:val="22"/>
        </w:rPr>
        <w:t>за</w:t>
      </w:r>
      <w:proofErr w:type="spellEnd"/>
      <w:r w:rsidRPr="003264CE">
        <w:rPr>
          <w:sz w:val="22"/>
        </w:rPr>
        <w:t xml:space="preserve"> 5,7% и </w:t>
      </w:r>
      <w:proofErr w:type="spellStart"/>
      <w:r w:rsidRPr="003264CE">
        <w:rPr>
          <w:sz w:val="22"/>
        </w:rPr>
        <w:t>Србац</w:t>
      </w:r>
      <w:proofErr w:type="spellEnd"/>
      <w:r w:rsidRPr="003264CE">
        <w:rPr>
          <w:sz w:val="22"/>
        </w:rPr>
        <w:t xml:space="preserve"> </w:t>
      </w:r>
      <w:proofErr w:type="spellStart"/>
      <w:r w:rsidRPr="003264CE">
        <w:rPr>
          <w:sz w:val="22"/>
        </w:rPr>
        <w:t>за</w:t>
      </w:r>
      <w:proofErr w:type="spellEnd"/>
      <w:r w:rsidRPr="003264CE">
        <w:rPr>
          <w:sz w:val="22"/>
        </w:rPr>
        <w:t xml:space="preserve"> 11,5%).</w:t>
      </w:r>
      <w:r w:rsidR="00AB6F09">
        <w:rPr>
          <w:sz w:val="22"/>
          <w:lang w:val="sr-Cyrl-RS"/>
        </w:rPr>
        <w:t xml:space="preserve"> Номинално посматрано, највеће смањење карактерише град Бању Луку (-1,45 милиона КМ), али је ово </w:t>
      </w:r>
      <w:proofErr w:type="spellStart"/>
      <w:r w:rsidR="00AB6F09">
        <w:rPr>
          <w:sz w:val="22"/>
          <w:lang w:val="sr-Cyrl-RS"/>
        </w:rPr>
        <w:t>уобичајна</w:t>
      </w:r>
      <w:proofErr w:type="spellEnd"/>
      <w:r w:rsidR="00AB6F09">
        <w:rPr>
          <w:sz w:val="22"/>
          <w:lang w:val="sr-Cyrl-RS"/>
        </w:rPr>
        <w:t xml:space="preserve"> динамика првог квартала сваке године.</w:t>
      </w:r>
    </w:p>
    <w:p w14:paraId="67C39BB7" w14:textId="77777777" w:rsidR="00173C7E" w:rsidRPr="003264CE" w:rsidRDefault="00173C7E" w:rsidP="00700EE4">
      <w:pPr>
        <w:spacing w:line="276" w:lineRule="auto"/>
        <w:ind w:firstLine="709"/>
        <w:jc w:val="both"/>
        <w:rPr>
          <w:sz w:val="22"/>
        </w:rPr>
      </w:pPr>
    </w:p>
    <w:p w14:paraId="5639A700" w14:textId="77777777" w:rsidR="00700EE4" w:rsidRDefault="00700EE4" w:rsidP="00700EE4">
      <w:pPr>
        <w:spacing w:line="276" w:lineRule="auto"/>
        <w:ind w:firstLine="709"/>
        <w:jc w:val="both"/>
        <w:rPr>
          <w:sz w:val="22"/>
        </w:rPr>
      </w:pPr>
      <w:proofErr w:type="spellStart"/>
      <w:r w:rsidRPr="003264CE">
        <w:rPr>
          <w:sz w:val="22"/>
        </w:rPr>
        <w:t>По</w:t>
      </w:r>
      <w:r w:rsidR="00173C7E">
        <w:rPr>
          <w:sz w:val="22"/>
        </w:rPr>
        <w:t>сматрано</w:t>
      </w:r>
      <w:proofErr w:type="spellEnd"/>
      <w:r w:rsidR="00173C7E">
        <w:rPr>
          <w:sz w:val="22"/>
        </w:rPr>
        <w:t xml:space="preserve"> </w:t>
      </w:r>
      <w:proofErr w:type="spellStart"/>
      <w:r w:rsidR="00173C7E">
        <w:rPr>
          <w:sz w:val="22"/>
        </w:rPr>
        <w:t>према</w:t>
      </w:r>
      <w:proofErr w:type="spellEnd"/>
      <w:r w:rsidR="00173C7E">
        <w:rPr>
          <w:sz w:val="22"/>
        </w:rPr>
        <w:t xml:space="preserve"> </w:t>
      </w:r>
      <w:proofErr w:type="spellStart"/>
      <w:r w:rsidR="00173C7E">
        <w:rPr>
          <w:sz w:val="22"/>
        </w:rPr>
        <w:t>структури</w:t>
      </w:r>
      <w:proofErr w:type="spellEnd"/>
      <w:r w:rsidRPr="003264CE">
        <w:rPr>
          <w:sz w:val="22"/>
        </w:rPr>
        <w:t xml:space="preserve">, </w:t>
      </w:r>
      <w:proofErr w:type="spellStart"/>
      <w:r w:rsidRPr="003264CE">
        <w:rPr>
          <w:sz w:val="22"/>
        </w:rPr>
        <w:t>све</w:t>
      </w:r>
      <w:proofErr w:type="spellEnd"/>
      <w:r w:rsidRPr="003264CE">
        <w:rPr>
          <w:sz w:val="22"/>
        </w:rPr>
        <w:t xml:space="preserve"> ЈЛС </w:t>
      </w:r>
      <w:r w:rsidR="004D15BC">
        <w:rPr>
          <w:sz w:val="22"/>
          <w:lang w:val="sr-Cyrl-RS"/>
        </w:rPr>
        <w:t xml:space="preserve">у првом кварталу </w:t>
      </w:r>
      <w:proofErr w:type="spellStart"/>
      <w:r w:rsidRPr="003264CE">
        <w:rPr>
          <w:sz w:val="22"/>
        </w:rPr>
        <w:t>забиљежиле</w:t>
      </w:r>
      <w:proofErr w:type="spellEnd"/>
      <w:r w:rsidRPr="003264CE">
        <w:rPr>
          <w:sz w:val="22"/>
        </w:rPr>
        <w:t xml:space="preserve"> </w:t>
      </w:r>
      <w:r w:rsidR="004D15BC">
        <w:rPr>
          <w:sz w:val="22"/>
          <w:lang w:val="sr-Cyrl-RS"/>
        </w:rPr>
        <w:t xml:space="preserve">су </w:t>
      </w:r>
      <w:proofErr w:type="spellStart"/>
      <w:r w:rsidRPr="003264CE">
        <w:rPr>
          <w:sz w:val="22"/>
        </w:rPr>
        <w:t>раст</w:t>
      </w:r>
      <w:proofErr w:type="spellEnd"/>
      <w:r w:rsidRPr="003264CE">
        <w:rPr>
          <w:sz w:val="22"/>
        </w:rPr>
        <w:t xml:space="preserve"> </w:t>
      </w:r>
      <w:proofErr w:type="spellStart"/>
      <w:r w:rsidRPr="00173C7E">
        <w:rPr>
          <w:i/>
          <w:sz w:val="22"/>
        </w:rPr>
        <w:t>пореск</w:t>
      </w:r>
      <w:r w:rsidR="00173C7E" w:rsidRPr="00173C7E">
        <w:rPr>
          <w:i/>
          <w:sz w:val="22"/>
        </w:rPr>
        <w:t>их</w:t>
      </w:r>
      <w:proofErr w:type="spellEnd"/>
      <w:r w:rsidR="00173C7E" w:rsidRPr="00173C7E">
        <w:rPr>
          <w:i/>
          <w:sz w:val="22"/>
        </w:rPr>
        <w:t xml:space="preserve"> </w:t>
      </w:r>
      <w:proofErr w:type="spellStart"/>
      <w:r w:rsidR="00173C7E" w:rsidRPr="00173C7E">
        <w:rPr>
          <w:i/>
          <w:sz w:val="22"/>
        </w:rPr>
        <w:t>прихода</w:t>
      </w:r>
      <w:proofErr w:type="spellEnd"/>
      <w:r w:rsidR="00173C7E">
        <w:rPr>
          <w:sz w:val="22"/>
        </w:rPr>
        <w:t xml:space="preserve"> (</w:t>
      </w:r>
      <w:proofErr w:type="spellStart"/>
      <w:r w:rsidR="00173C7E">
        <w:rPr>
          <w:sz w:val="22"/>
        </w:rPr>
        <w:t>од</w:t>
      </w:r>
      <w:proofErr w:type="spellEnd"/>
      <w:r w:rsidR="00173C7E">
        <w:rPr>
          <w:sz w:val="22"/>
        </w:rPr>
        <w:t xml:space="preserve"> 8% </w:t>
      </w:r>
      <w:proofErr w:type="spellStart"/>
      <w:r w:rsidR="00173C7E">
        <w:rPr>
          <w:sz w:val="22"/>
        </w:rPr>
        <w:t>до</w:t>
      </w:r>
      <w:proofErr w:type="spellEnd"/>
      <w:r w:rsidR="00173C7E">
        <w:rPr>
          <w:sz w:val="22"/>
        </w:rPr>
        <w:t xml:space="preserve"> 13%), а у </w:t>
      </w:r>
      <w:r w:rsidRPr="003264CE">
        <w:rPr>
          <w:sz w:val="22"/>
          <w:lang w:val="sr-Cyrl-RS"/>
        </w:rPr>
        <w:t>оквиру</w:t>
      </w:r>
      <w:r w:rsidR="00173C7E">
        <w:rPr>
          <w:sz w:val="22"/>
          <w:lang w:val="sr-Cyrl-RS"/>
        </w:rPr>
        <w:t xml:space="preserve"> тога</w:t>
      </w:r>
      <w:r w:rsidRPr="003264CE">
        <w:rPr>
          <w:sz w:val="22"/>
          <w:lang w:val="sr-Cyrl-RS"/>
        </w:rPr>
        <w:t xml:space="preserve">, </w:t>
      </w:r>
      <w:r w:rsidR="00173C7E">
        <w:rPr>
          <w:sz w:val="22"/>
          <w:lang w:val="sr-Cyrl-RS"/>
        </w:rPr>
        <w:t xml:space="preserve">готово идентичан </w:t>
      </w:r>
      <w:proofErr w:type="spellStart"/>
      <w:r w:rsidRPr="003264CE">
        <w:rPr>
          <w:sz w:val="22"/>
        </w:rPr>
        <w:t>раст</w:t>
      </w:r>
      <w:proofErr w:type="spellEnd"/>
      <w:r w:rsidRPr="003264CE">
        <w:rPr>
          <w:sz w:val="22"/>
        </w:rPr>
        <w:t xml:space="preserve"> </w:t>
      </w:r>
      <w:proofErr w:type="spellStart"/>
      <w:r w:rsidRPr="003264CE">
        <w:rPr>
          <w:sz w:val="22"/>
        </w:rPr>
        <w:t>прихода</w:t>
      </w:r>
      <w:proofErr w:type="spellEnd"/>
      <w:r w:rsidR="00173C7E">
        <w:rPr>
          <w:sz w:val="22"/>
        </w:rPr>
        <w:t xml:space="preserve"> </w:t>
      </w:r>
      <w:proofErr w:type="spellStart"/>
      <w:r w:rsidR="00173C7E">
        <w:rPr>
          <w:sz w:val="22"/>
        </w:rPr>
        <w:t>од</w:t>
      </w:r>
      <w:proofErr w:type="spellEnd"/>
      <w:r w:rsidR="00173C7E">
        <w:rPr>
          <w:sz w:val="22"/>
        </w:rPr>
        <w:t xml:space="preserve"> </w:t>
      </w:r>
      <w:proofErr w:type="spellStart"/>
      <w:r w:rsidR="00173C7E">
        <w:rPr>
          <w:sz w:val="22"/>
        </w:rPr>
        <w:t>индиректних</w:t>
      </w:r>
      <w:proofErr w:type="spellEnd"/>
      <w:r w:rsidR="00173C7E">
        <w:rPr>
          <w:sz w:val="22"/>
        </w:rPr>
        <w:t xml:space="preserve"> </w:t>
      </w:r>
      <w:proofErr w:type="spellStart"/>
      <w:r w:rsidR="00173C7E">
        <w:rPr>
          <w:sz w:val="22"/>
        </w:rPr>
        <w:t>пореза</w:t>
      </w:r>
      <w:proofErr w:type="spellEnd"/>
      <w:r w:rsidR="00173C7E">
        <w:rPr>
          <w:sz w:val="22"/>
        </w:rPr>
        <w:t xml:space="preserve"> (</w:t>
      </w:r>
      <w:proofErr w:type="spellStart"/>
      <w:r w:rsidR="00173C7E">
        <w:rPr>
          <w:sz w:val="22"/>
        </w:rPr>
        <w:t>за</w:t>
      </w:r>
      <w:proofErr w:type="spellEnd"/>
      <w:r w:rsidR="00173C7E">
        <w:rPr>
          <w:sz w:val="22"/>
        </w:rPr>
        <w:t xml:space="preserve"> 15%). </w:t>
      </w:r>
      <w:r w:rsidR="00173C7E">
        <w:rPr>
          <w:sz w:val="22"/>
          <w:lang w:val="sr-Cyrl-RS"/>
        </w:rPr>
        <w:t>С друге стране,</w:t>
      </w:r>
      <w:r w:rsidRPr="003264CE">
        <w:rPr>
          <w:sz w:val="22"/>
        </w:rPr>
        <w:t xml:space="preserve"> </w:t>
      </w:r>
      <w:proofErr w:type="spellStart"/>
      <w:r w:rsidRPr="003264CE">
        <w:rPr>
          <w:sz w:val="22"/>
        </w:rPr>
        <w:t>код</w:t>
      </w:r>
      <w:proofErr w:type="spellEnd"/>
      <w:r w:rsidRPr="003264CE">
        <w:rPr>
          <w:sz w:val="22"/>
        </w:rPr>
        <w:t xml:space="preserve"> </w:t>
      </w:r>
      <w:proofErr w:type="spellStart"/>
      <w:r w:rsidRPr="003264CE">
        <w:rPr>
          <w:sz w:val="22"/>
        </w:rPr>
        <w:t>готово</w:t>
      </w:r>
      <w:proofErr w:type="spellEnd"/>
      <w:r w:rsidRPr="003264CE">
        <w:rPr>
          <w:sz w:val="22"/>
        </w:rPr>
        <w:t xml:space="preserve"> </w:t>
      </w:r>
      <w:proofErr w:type="spellStart"/>
      <w:r w:rsidRPr="003264CE">
        <w:rPr>
          <w:sz w:val="22"/>
        </w:rPr>
        <w:t>свих</w:t>
      </w:r>
      <w:proofErr w:type="spellEnd"/>
      <w:r w:rsidRPr="003264CE">
        <w:rPr>
          <w:sz w:val="22"/>
        </w:rPr>
        <w:t xml:space="preserve"> ЈЛС </w:t>
      </w:r>
      <w:proofErr w:type="spellStart"/>
      <w:r w:rsidRPr="003264CE">
        <w:rPr>
          <w:sz w:val="22"/>
        </w:rPr>
        <w:t>забиљежен</w:t>
      </w:r>
      <w:proofErr w:type="spellEnd"/>
      <w:r w:rsidRPr="003264CE">
        <w:rPr>
          <w:sz w:val="22"/>
        </w:rPr>
        <w:t xml:space="preserve"> </w:t>
      </w:r>
      <w:r w:rsidR="00173C7E">
        <w:rPr>
          <w:sz w:val="22"/>
          <w:lang w:val="sr-Cyrl-RS"/>
        </w:rPr>
        <w:t xml:space="preserve">је </w:t>
      </w:r>
      <w:proofErr w:type="spellStart"/>
      <w:r w:rsidRPr="003264CE">
        <w:rPr>
          <w:sz w:val="22"/>
        </w:rPr>
        <w:t>пад</w:t>
      </w:r>
      <w:proofErr w:type="spellEnd"/>
      <w:r w:rsidRPr="003264CE">
        <w:rPr>
          <w:sz w:val="22"/>
        </w:rPr>
        <w:t xml:space="preserve"> </w:t>
      </w:r>
      <w:proofErr w:type="spellStart"/>
      <w:r w:rsidRPr="003264CE">
        <w:rPr>
          <w:sz w:val="22"/>
        </w:rPr>
        <w:t>наплате</w:t>
      </w:r>
      <w:proofErr w:type="spellEnd"/>
      <w:r w:rsidRPr="003264CE">
        <w:rPr>
          <w:sz w:val="22"/>
        </w:rPr>
        <w:t xml:space="preserve"> </w:t>
      </w:r>
      <w:proofErr w:type="spellStart"/>
      <w:r w:rsidRPr="003264CE">
        <w:rPr>
          <w:sz w:val="22"/>
        </w:rPr>
        <w:t>пореза</w:t>
      </w:r>
      <w:proofErr w:type="spellEnd"/>
      <w:r w:rsidRPr="003264CE">
        <w:rPr>
          <w:sz w:val="22"/>
        </w:rPr>
        <w:t xml:space="preserve"> </w:t>
      </w:r>
      <w:proofErr w:type="spellStart"/>
      <w:r w:rsidRPr="003264CE">
        <w:rPr>
          <w:sz w:val="22"/>
        </w:rPr>
        <w:t>на</w:t>
      </w:r>
      <w:proofErr w:type="spellEnd"/>
      <w:r w:rsidRPr="003264CE">
        <w:rPr>
          <w:sz w:val="22"/>
        </w:rPr>
        <w:t xml:space="preserve"> </w:t>
      </w:r>
      <w:proofErr w:type="spellStart"/>
      <w:r w:rsidRPr="003264CE">
        <w:rPr>
          <w:sz w:val="22"/>
        </w:rPr>
        <w:t>непокретности</w:t>
      </w:r>
      <w:proofErr w:type="spellEnd"/>
      <w:r w:rsidRPr="003264CE">
        <w:rPr>
          <w:sz w:val="22"/>
        </w:rPr>
        <w:t xml:space="preserve">, у </w:t>
      </w:r>
      <w:proofErr w:type="spellStart"/>
      <w:r w:rsidRPr="003264CE">
        <w:rPr>
          <w:sz w:val="22"/>
        </w:rPr>
        <w:t>распону</w:t>
      </w:r>
      <w:proofErr w:type="spellEnd"/>
      <w:r w:rsidRPr="003264CE">
        <w:rPr>
          <w:sz w:val="22"/>
        </w:rPr>
        <w:t xml:space="preserve"> </w:t>
      </w:r>
      <w:proofErr w:type="spellStart"/>
      <w:r w:rsidRPr="003264CE">
        <w:rPr>
          <w:sz w:val="22"/>
        </w:rPr>
        <w:t>од</w:t>
      </w:r>
      <w:proofErr w:type="spellEnd"/>
      <w:r w:rsidRPr="003264CE">
        <w:rPr>
          <w:sz w:val="22"/>
        </w:rPr>
        <w:t xml:space="preserve"> </w:t>
      </w:r>
      <w:proofErr w:type="spellStart"/>
      <w:r w:rsidRPr="003264CE">
        <w:rPr>
          <w:sz w:val="22"/>
        </w:rPr>
        <w:t>око</w:t>
      </w:r>
      <w:proofErr w:type="spellEnd"/>
      <w:r w:rsidRPr="003264CE">
        <w:rPr>
          <w:sz w:val="22"/>
        </w:rPr>
        <w:t xml:space="preserve"> 30% </w:t>
      </w:r>
      <w:proofErr w:type="spellStart"/>
      <w:r w:rsidRPr="003264CE">
        <w:rPr>
          <w:sz w:val="22"/>
        </w:rPr>
        <w:t>до</w:t>
      </w:r>
      <w:proofErr w:type="spellEnd"/>
      <w:r w:rsidRPr="003264CE">
        <w:rPr>
          <w:sz w:val="22"/>
        </w:rPr>
        <w:t xml:space="preserve"> 40%.</w:t>
      </w:r>
    </w:p>
    <w:p w14:paraId="7CC89DF0" w14:textId="77777777" w:rsidR="00173C7E" w:rsidRPr="003264CE" w:rsidRDefault="00173C7E" w:rsidP="00700EE4">
      <w:pPr>
        <w:spacing w:line="276" w:lineRule="auto"/>
        <w:ind w:firstLine="709"/>
        <w:jc w:val="both"/>
        <w:rPr>
          <w:sz w:val="22"/>
        </w:rPr>
      </w:pPr>
    </w:p>
    <w:p w14:paraId="375FF274" w14:textId="77777777" w:rsidR="00700EE4" w:rsidRPr="004D15BC" w:rsidRDefault="00700EE4" w:rsidP="004D15BC">
      <w:pPr>
        <w:spacing w:line="276" w:lineRule="auto"/>
        <w:ind w:firstLine="709"/>
        <w:jc w:val="both"/>
        <w:rPr>
          <w:sz w:val="22"/>
          <w:lang w:val="sr-Cyrl-RS"/>
        </w:rPr>
      </w:pPr>
      <w:proofErr w:type="spellStart"/>
      <w:r w:rsidRPr="004D15BC">
        <w:rPr>
          <w:sz w:val="22"/>
        </w:rPr>
        <w:t>Све</w:t>
      </w:r>
      <w:proofErr w:type="spellEnd"/>
      <w:r w:rsidRPr="004D15BC">
        <w:rPr>
          <w:sz w:val="22"/>
        </w:rPr>
        <w:t xml:space="preserve"> </w:t>
      </w:r>
      <w:r w:rsidR="00173C7E" w:rsidRPr="004D15BC">
        <w:rPr>
          <w:sz w:val="22"/>
          <w:lang w:val="sr-Cyrl-RS"/>
        </w:rPr>
        <w:t xml:space="preserve">анкетиране </w:t>
      </w:r>
      <w:r w:rsidRPr="004D15BC">
        <w:rPr>
          <w:sz w:val="22"/>
        </w:rPr>
        <w:t xml:space="preserve">ЈЛС </w:t>
      </w:r>
      <w:proofErr w:type="spellStart"/>
      <w:r w:rsidRPr="004D15BC">
        <w:rPr>
          <w:sz w:val="22"/>
        </w:rPr>
        <w:t>су</w:t>
      </w:r>
      <w:proofErr w:type="spellEnd"/>
      <w:r w:rsidRPr="004D15BC">
        <w:rPr>
          <w:sz w:val="22"/>
        </w:rPr>
        <w:t xml:space="preserve"> </w:t>
      </w:r>
      <w:proofErr w:type="spellStart"/>
      <w:r w:rsidRPr="004D15BC">
        <w:rPr>
          <w:sz w:val="22"/>
        </w:rPr>
        <w:t>оствариле</w:t>
      </w:r>
      <w:proofErr w:type="spellEnd"/>
      <w:r w:rsidRPr="004D15BC">
        <w:rPr>
          <w:sz w:val="22"/>
        </w:rPr>
        <w:t xml:space="preserve"> </w:t>
      </w:r>
      <w:proofErr w:type="spellStart"/>
      <w:r w:rsidRPr="004D15BC">
        <w:rPr>
          <w:sz w:val="22"/>
        </w:rPr>
        <w:t>пад</w:t>
      </w:r>
      <w:proofErr w:type="spellEnd"/>
      <w:r w:rsidRPr="004D15BC">
        <w:rPr>
          <w:sz w:val="22"/>
        </w:rPr>
        <w:t xml:space="preserve"> </w:t>
      </w:r>
      <w:proofErr w:type="spellStart"/>
      <w:r w:rsidRPr="004D15BC">
        <w:rPr>
          <w:i/>
          <w:sz w:val="22"/>
        </w:rPr>
        <w:t>непореских</w:t>
      </w:r>
      <w:proofErr w:type="spellEnd"/>
      <w:r w:rsidRPr="004D15BC">
        <w:rPr>
          <w:i/>
          <w:sz w:val="22"/>
        </w:rPr>
        <w:t xml:space="preserve"> </w:t>
      </w:r>
      <w:proofErr w:type="spellStart"/>
      <w:r w:rsidRPr="004D15BC">
        <w:rPr>
          <w:i/>
          <w:sz w:val="22"/>
        </w:rPr>
        <w:t>прихода</w:t>
      </w:r>
      <w:proofErr w:type="spellEnd"/>
      <w:r w:rsidR="00173C7E" w:rsidRPr="004D15BC">
        <w:rPr>
          <w:sz w:val="22"/>
        </w:rPr>
        <w:t xml:space="preserve"> (</w:t>
      </w:r>
      <w:proofErr w:type="spellStart"/>
      <w:r w:rsidR="00173C7E" w:rsidRPr="004D15BC">
        <w:rPr>
          <w:sz w:val="22"/>
        </w:rPr>
        <w:t>од</w:t>
      </w:r>
      <w:proofErr w:type="spellEnd"/>
      <w:r w:rsidR="00173C7E" w:rsidRPr="004D15BC">
        <w:rPr>
          <w:sz w:val="22"/>
        </w:rPr>
        <w:t xml:space="preserve"> -44%, </w:t>
      </w:r>
      <w:proofErr w:type="spellStart"/>
      <w:r w:rsidR="00173C7E" w:rsidRPr="004D15BC">
        <w:rPr>
          <w:sz w:val="22"/>
        </w:rPr>
        <w:t>нпр</w:t>
      </w:r>
      <w:proofErr w:type="spellEnd"/>
      <w:r w:rsidR="00173C7E" w:rsidRPr="004D15BC">
        <w:rPr>
          <w:sz w:val="22"/>
        </w:rPr>
        <w:t xml:space="preserve">. </w:t>
      </w:r>
      <w:proofErr w:type="spellStart"/>
      <w:r w:rsidR="00173C7E" w:rsidRPr="004D15BC">
        <w:rPr>
          <w:sz w:val="22"/>
        </w:rPr>
        <w:t>Фоча</w:t>
      </w:r>
      <w:proofErr w:type="spellEnd"/>
      <w:r w:rsidR="00173C7E" w:rsidRPr="004D15BC">
        <w:rPr>
          <w:sz w:val="22"/>
        </w:rPr>
        <w:t>,</w:t>
      </w:r>
      <w:r w:rsidRPr="004D15BC">
        <w:rPr>
          <w:sz w:val="22"/>
        </w:rPr>
        <w:t xml:space="preserve"> </w:t>
      </w:r>
      <w:proofErr w:type="spellStart"/>
      <w:r w:rsidRPr="004D15BC">
        <w:rPr>
          <w:sz w:val="22"/>
        </w:rPr>
        <w:t>до</w:t>
      </w:r>
      <w:proofErr w:type="spellEnd"/>
      <w:r w:rsidRPr="004D15BC">
        <w:rPr>
          <w:sz w:val="22"/>
        </w:rPr>
        <w:t xml:space="preserve"> -15%</w:t>
      </w:r>
      <w:r w:rsidR="00B9303C" w:rsidRPr="004D15BC">
        <w:rPr>
          <w:sz w:val="22"/>
          <w:lang w:val="sr-Cyrl-RS"/>
        </w:rPr>
        <w:t xml:space="preserve"> код</w:t>
      </w:r>
      <w:r w:rsidR="004D15BC" w:rsidRPr="004D15BC">
        <w:rPr>
          <w:sz w:val="22"/>
          <w:lang w:val="sr-Cyrl-RS"/>
        </w:rPr>
        <w:t xml:space="preserve"> Вишеграда</w:t>
      </w:r>
      <w:r w:rsidRPr="004D15BC">
        <w:rPr>
          <w:sz w:val="22"/>
        </w:rPr>
        <w:t xml:space="preserve">), </w:t>
      </w:r>
      <w:proofErr w:type="spellStart"/>
      <w:r w:rsidRPr="004D15BC">
        <w:rPr>
          <w:sz w:val="22"/>
        </w:rPr>
        <w:t>осим</w:t>
      </w:r>
      <w:proofErr w:type="spellEnd"/>
      <w:r w:rsidRPr="004D15BC">
        <w:rPr>
          <w:sz w:val="22"/>
        </w:rPr>
        <w:t xml:space="preserve"> </w:t>
      </w:r>
      <w:proofErr w:type="spellStart"/>
      <w:r w:rsidRPr="004D15BC">
        <w:rPr>
          <w:sz w:val="22"/>
        </w:rPr>
        <w:t>општине</w:t>
      </w:r>
      <w:proofErr w:type="spellEnd"/>
      <w:r w:rsidRPr="004D15BC">
        <w:rPr>
          <w:sz w:val="22"/>
        </w:rPr>
        <w:t xml:space="preserve"> </w:t>
      </w:r>
      <w:proofErr w:type="spellStart"/>
      <w:r w:rsidRPr="004D15BC">
        <w:rPr>
          <w:sz w:val="22"/>
        </w:rPr>
        <w:t>Србац</w:t>
      </w:r>
      <w:proofErr w:type="spellEnd"/>
      <w:r w:rsidRPr="004D15BC">
        <w:rPr>
          <w:sz w:val="22"/>
        </w:rPr>
        <w:t xml:space="preserve"> (</w:t>
      </w:r>
      <w:proofErr w:type="spellStart"/>
      <w:r w:rsidRPr="004D15BC">
        <w:rPr>
          <w:sz w:val="22"/>
        </w:rPr>
        <w:t>раст</w:t>
      </w:r>
      <w:proofErr w:type="spellEnd"/>
      <w:r w:rsidRPr="004D15BC">
        <w:rPr>
          <w:sz w:val="22"/>
        </w:rPr>
        <w:t xml:space="preserve"> </w:t>
      </w:r>
      <w:proofErr w:type="spellStart"/>
      <w:r w:rsidRPr="004D15BC">
        <w:rPr>
          <w:sz w:val="22"/>
        </w:rPr>
        <w:t>за</w:t>
      </w:r>
      <w:proofErr w:type="spellEnd"/>
      <w:r w:rsidRPr="004D15BC">
        <w:rPr>
          <w:sz w:val="22"/>
        </w:rPr>
        <w:t xml:space="preserve"> 22%)</w:t>
      </w:r>
      <w:r w:rsidRPr="004D15BC">
        <w:rPr>
          <w:sz w:val="22"/>
          <w:lang w:val="sr-Cyrl-RS"/>
        </w:rPr>
        <w:t>. К</w:t>
      </w:r>
      <w:proofErr w:type="spellStart"/>
      <w:r w:rsidRPr="004D15BC">
        <w:rPr>
          <w:sz w:val="22"/>
        </w:rPr>
        <w:t>од</w:t>
      </w:r>
      <w:proofErr w:type="spellEnd"/>
      <w:r w:rsidRPr="004D15BC">
        <w:rPr>
          <w:sz w:val="22"/>
        </w:rPr>
        <w:t xml:space="preserve"> </w:t>
      </w:r>
      <w:r w:rsidRPr="004D15BC">
        <w:rPr>
          <w:sz w:val="22"/>
          <w:lang w:val="sr-Cyrl-RS"/>
        </w:rPr>
        <w:t xml:space="preserve">општине </w:t>
      </w:r>
      <w:proofErr w:type="spellStart"/>
      <w:r w:rsidRPr="004D15BC">
        <w:rPr>
          <w:sz w:val="22"/>
        </w:rPr>
        <w:t>Лакташи</w:t>
      </w:r>
      <w:proofErr w:type="spellEnd"/>
      <w:r w:rsidRPr="004D15BC">
        <w:rPr>
          <w:sz w:val="22"/>
        </w:rPr>
        <w:t xml:space="preserve"> и </w:t>
      </w:r>
      <w:r w:rsidRPr="004D15BC">
        <w:rPr>
          <w:sz w:val="22"/>
          <w:lang w:val="sr-Cyrl-RS"/>
        </w:rPr>
        <w:t xml:space="preserve">града </w:t>
      </w:r>
      <w:proofErr w:type="spellStart"/>
      <w:r w:rsidRPr="004D15BC">
        <w:rPr>
          <w:sz w:val="22"/>
        </w:rPr>
        <w:t>Приједора</w:t>
      </w:r>
      <w:proofErr w:type="spellEnd"/>
      <w:r w:rsidRPr="003264CE">
        <w:rPr>
          <w:sz w:val="22"/>
          <w:lang w:val="sr-Cyrl-RS"/>
        </w:rPr>
        <w:t xml:space="preserve">, </w:t>
      </w:r>
      <w:r w:rsidR="00B9303C">
        <w:rPr>
          <w:sz w:val="22"/>
          <w:lang w:val="sr-Cyrl-RS"/>
        </w:rPr>
        <w:t xml:space="preserve">овај пад </w:t>
      </w:r>
      <w:proofErr w:type="spellStart"/>
      <w:r w:rsidR="00B9303C">
        <w:rPr>
          <w:sz w:val="22"/>
          <w:lang w:val="sr-Cyrl-RS"/>
        </w:rPr>
        <w:t>непореских</w:t>
      </w:r>
      <w:proofErr w:type="spellEnd"/>
      <w:r w:rsidR="00B9303C">
        <w:rPr>
          <w:sz w:val="22"/>
          <w:lang w:val="sr-Cyrl-RS"/>
        </w:rPr>
        <w:t xml:space="preserve"> прихода компе</w:t>
      </w:r>
      <w:r w:rsidR="004D15BC">
        <w:rPr>
          <w:sz w:val="22"/>
          <w:lang w:val="sr-Cyrl-RS"/>
        </w:rPr>
        <w:t>н</w:t>
      </w:r>
      <w:r w:rsidR="00B9303C">
        <w:rPr>
          <w:sz w:val="22"/>
          <w:lang w:val="sr-Cyrl-RS"/>
        </w:rPr>
        <w:t>зиран је већим пореским приходима</w:t>
      </w:r>
      <w:r w:rsidRPr="003264CE">
        <w:rPr>
          <w:sz w:val="22"/>
        </w:rPr>
        <w:t>.</w:t>
      </w:r>
      <w:r w:rsidR="00173C7E">
        <w:rPr>
          <w:sz w:val="22"/>
          <w:lang w:val="sr-Cyrl-RS"/>
        </w:rPr>
        <w:t xml:space="preserve"> </w:t>
      </w:r>
      <w:r w:rsidR="00990075">
        <w:rPr>
          <w:sz w:val="22"/>
          <w:lang w:val="sr-Cyrl-RS"/>
        </w:rPr>
        <w:t xml:space="preserve">Пад реализације </w:t>
      </w:r>
      <w:proofErr w:type="spellStart"/>
      <w:r w:rsidR="00990075">
        <w:rPr>
          <w:sz w:val="22"/>
          <w:lang w:val="sr-Cyrl-RS"/>
        </w:rPr>
        <w:t>непореских</w:t>
      </w:r>
      <w:proofErr w:type="spellEnd"/>
      <w:r w:rsidR="00990075">
        <w:rPr>
          <w:sz w:val="22"/>
          <w:lang w:val="sr-Cyrl-RS"/>
        </w:rPr>
        <w:t xml:space="preserve"> прихода</w:t>
      </w:r>
      <w:r w:rsidR="00E27F56">
        <w:rPr>
          <w:sz w:val="22"/>
          <w:lang w:val="sr-Cyrl-RS"/>
        </w:rPr>
        <w:t>, у првом кварталу 2020. године, за анкетиране ЈЛС,</w:t>
      </w:r>
      <w:r w:rsidR="00990075">
        <w:rPr>
          <w:sz w:val="22"/>
          <w:lang w:val="sr-Cyrl-RS"/>
        </w:rPr>
        <w:t xml:space="preserve"> везује се, највећим </w:t>
      </w:r>
      <w:proofErr w:type="spellStart"/>
      <w:r w:rsidR="00990075">
        <w:rPr>
          <w:sz w:val="22"/>
          <w:lang w:val="sr-Cyrl-RS"/>
        </w:rPr>
        <w:t>дијелом</w:t>
      </w:r>
      <w:proofErr w:type="spellEnd"/>
      <w:r w:rsidR="00990075">
        <w:rPr>
          <w:sz w:val="22"/>
          <w:lang w:val="sr-Cyrl-RS"/>
        </w:rPr>
        <w:t>, за сљедеће приходе:</w:t>
      </w:r>
    </w:p>
    <w:p w14:paraId="76E52620" w14:textId="77777777" w:rsidR="00700EE4" w:rsidRPr="003264CE" w:rsidRDefault="00990075" w:rsidP="00700EE4">
      <w:pPr>
        <w:spacing w:line="276" w:lineRule="auto"/>
        <w:ind w:firstLine="708"/>
        <w:jc w:val="both"/>
        <w:rPr>
          <w:sz w:val="22"/>
        </w:rPr>
      </w:pPr>
      <w:r>
        <w:rPr>
          <w:sz w:val="22"/>
          <w:lang w:val="sr-Cyrl-RS"/>
        </w:rPr>
        <w:t>-</w:t>
      </w:r>
      <w:proofErr w:type="spellStart"/>
      <w:r>
        <w:rPr>
          <w:sz w:val="22"/>
        </w:rPr>
        <w:t>комунална</w:t>
      </w:r>
      <w:proofErr w:type="spellEnd"/>
      <w:r>
        <w:rPr>
          <w:sz w:val="22"/>
        </w:rPr>
        <w:t xml:space="preserve"> </w:t>
      </w:r>
      <w:proofErr w:type="spellStart"/>
      <w:r>
        <w:rPr>
          <w:sz w:val="22"/>
        </w:rPr>
        <w:t>такс</w:t>
      </w:r>
      <w:proofErr w:type="spellEnd"/>
      <w:r w:rsidR="00D36F4E">
        <w:rPr>
          <w:sz w:val="22"/>
          <w:lang w:val="sr-Cyrl-RS"/>
        </w:rPr>
        <w:t>а</w:t>
      </w:r>
      <w:r w:rsidR="00700EE4" w:rsidRPr="003264CE">
        <w:rPr>
          <w:sz w:val="22"/>
        </w:rPr>
        <w:t xml:space="preserve"> </w:t>
      </w:r>
      <w:proofErr w:type="spellStart"/>
      <w:r w:rsidR="00700EE4" w:rsidRPr="003264CE">
        <w:rPr>
          <w:sz w:val="22"/>
        </w:rPr>
        <w:t>на</w:t>
      </w:r>
      <w:proofErr w:type="spellEnd"/>
      <w:r w:rsidR="00700EE4" w:rsidRPr="003264CE">
        <w:rPr>
          <w:sz w:val="22"/>
        </w:rPr>
        <w:t xml:space="preserve"> </w:t>
      </w:r>
      <w:proofErr w:type="spellStart"/>
      <w:r w:rsidR="00700EE4" w:rsidRPr="003264CE">
        <w:rPr>
          <w:sz w:val="22"/>
        </w:rPr>
        <w:t>фирму</w:t>
      </w:r>
      <w:proofErr w:type="spellEnd"/>
      <w:r w:rsidR="00700EE4" w:rsidRPr="003264CE">
        <w:rPr>
          <w:sz w:val="22"/>
        </w:rPr>
        <w:t xml:space="preserve">, </w:t>
      </w:r>
    </w:p>
    <w:p w14:paraId="4FF49F99" w14:textId="77777777" w:rsidR="00700EE4" w:rsidRPr="003264CE" w:rsidRDefault="00700EE4" w:rsidP="00700EE4">
      <w:pPr>
        <w:spacing w:line="276" w:lineRule="auto"/>
        <w:ind w:firstLine="708"/>
        <w:jc w:val="both"/>
        <w:rPr>
          <w:sz w:val="22"/>
        </w:rPr>
      </w:pPr>
      <w:r w:rsidRPr="003264CE">
        <w:rPr>
          <w:sz w:val="22"/>
          <w:lang w:val="sr-Cyrl-RS"/>
        </w:rPr>
        <w:t>-</w:t>
      </w:r>
      <w:proofErr w:type="spellStart"/>
      <w:r w:rsidR="00990075">
        <w:rPr>
          <w:sz w:val="22"/>
        </w:rPr>
        <w:t>земљишна</w:t>
      </w:r>
      <w:proofErr w:type="spellEnd"/>
      <w:r w:rsidR="00990075">
        <w:rPr>
          <w:sz w:val="22"/>
        </w:rPr>
        <w:t xml:space="preserve"> </w:t>
      </w:r>
      <w:proofErr w:type="spellStart"/>
      <w:r w:rsidR="00990075">
        <w:rPr>
          <w:sz w:val="22"/>
        </w:rPr>
        <w:t>рента</w:t>
      </w:r>
      <w:proofErr w:type="spellEnd"/>
      <w:r w:rsidRPr="003264CE">
        <w:rPr>
          <w:sz w:val="22"/>
        </w:rPr>
        <w:t xml:space="preserve"> и </w:t>
      </w:r>
      <w:proofErr w:type="spellStart"/>
      <w:r w:rsidRPr="003264CE">
        <w:rPr>
          <w:sz w:val="22"/>
        </w:rPr>
        <w:t>накнада</w:t>
      </w:r>
      <w:proofErr w:type="spellEnd"/>
      <w:r w:rsidRPr="003264CE">
        <w:rPr>
          <w:sz w:val="22"/>
        </w:rPr>
        <w:t xml:space="preserve"> </w:t>
      </w:r>
      <w:proofErr w:type="spellStart"/>
      <w:r w:rsidRPr="003264CE">
        <w:rPr>
          <w:sz w:val="22"/>
        </w:rPr>
        <w:t>за</w:t>
      </w:r>
      <w:proofErr w:type="spellEnd"/>
      <w:r w:rsidRPr="003264CE">
        <w:rPr>
          <w:sz w:val="22"/>
        </w:rPr>
        <w:t xml:space="preserve"> </w:t>
      </w:r>
      <w:proofErr w:type="spellStart"/>
      <w:r w:rsidRPr="003264CE">
        <w:rPr>
          <w:sz w:val="22"/>
        </w:rPr>
        <w:t>уређење</w:t>
      </w:r>
      <w:proofErr w:type="spellEnd"/>
      <w:r w:rsidRPr="003264CE">
        <w:rPr>
          <w:sz w:val="22"/>
        </w:rPr>
        <w:t xml:space="preserve"> </w:t>
      </w:r>
      <w:proofErr w:type="spellStart"/>
      <w:r w:rsidRPr="003264CE">
        <w:rPr>
          <w:sz w:val="22"/>
        </w:rPr>
        <w:t>грађевинског</w:t>
      </w:r>
      <w:proofErr w:type="spellEnd"/>
      <w:r w:rsidRPr="003264CE">
        <w:rPr>
          <w:sz w:val="22"/>
        </w:rPr>
        <w:t xml:space="preserve"> </w:t>
      </w:r>
      <w:proofErr w:type="spellStart"/>
      <w:r w:rsidRPr="003264CE">
        <w:rPr>
          <w:sz w:val="22"/>
        </w:rPr>
        <w:t>земљишта</w:t>
      </w:r>
      <w:proofErr w:type="spellEnd"/>
      <w:r w:rsidRPr="003264CE">
        <w:rPr>
          <w:sz w:val="22"/>
        </w:rPr>
        <w:t>,</w:t>
      </w:r>
    </w:p>
    <w:p w14:paraId="769B81BA" w14:textId="77777777" w:rsidR="00700EE4" w:rsidRPr="003264CE" w:rsidRDefault="00700EE4" w:rsidP="00700EE4">
      <w:pPr>
        <w:spacing w:line="276" w:lineRule="auto"/>
        <w:ind w:firstLine="708"/>
        <w:jc w:val="both"/>
        <w:rPr>
          <w:sz w:val="22"/>
          <w:lang w:val="sr-Cyrl-RS"/>
        </w:rPr>
      </w:pPr>
      <w:r w:rsidRPr="003264CE">
        <w:rPr>
          <w:sz w:val="22"/>
          <w:lang w:val="sr-Cyrl-RS"/>
        </w:rPr>
        <w:t>-</w:t>
      </w:r>
      <w:proofErr w:type="spellStart"/>
      <w:r w:rsidR="00990075">
        <w:rPr>
          <w:sz w:val="22"/>
        </w:rPr>
        <w:t>властити</w:t>
      </w:r>
      <w:proofErr w:type="spellEnd"/>
      <w:r w:rsidR="00990075">
        <w:rPr>
          <w:sz w:val="22"/>
        </w:rPr>
        <w:t xml:space="preserve"> </w:t>
      </w:r>
      <w:proofErr w:type="spellStart"/>
      <w:r w:rsidR="00990075">
        <w:rPr>
          <w:sz w:val="22"/>
        </w:rPr>
        <w:t>приходи</w:t>
      </w:r>
      <w:proofErr w:type="spellEnd"/>
      <w:r w:rsidRPr="003264CE">
        <w:rPr>
          <w:sz w:val="22"/>
        </w:rPr>
        <w:t xml:space="preserve"> </w:t>
      </w:r>
      <w:proofErr w:type="spellStart"/>
      <w:r w:rsidRPr="003264CE">
        <w:rPr>
          <w:sz w:val="22"/>
        </w:rPr>
        <w:t>буџетских</w:t>
      </w:r>
      <w:proofErr w:type="spellEnd"/>
      <w:r w:rsidRPr="003264CE">
        <w:rPr>
          <w:sz w:val="22"/>
        </w:rPr>
        <w:t xml:space="preserve"> </w:t>
      </w:r>
      <w:proofErr w:type="spellStart"/>
      <w:r w:rsidRPr="003264CE">
        <w:rPr>
          <w:sz w:val="22"/>
        </w:rPr>
        <w:t>корисника</w:t>
      </w:r>
      <w:proofErr w:type="spellEnd"/>
      <w:r w:rsidRPr="003264CE">
        <w:rPr>
          <w:sz w:val="22"/>
        </w:rPr>
        <w:t xml:space="preserve">, </w:t>
      </w:r>
      <w:r w:rsidRPr="003264CE">
        <w:rPr>
          <w:sz w:val="22"/>
          <w:lang w:val="sr-Cyrl-RS"/>
        </w:rPr>
        <w:t>те</w:t>
      </w:r>
    </w:p>
    <w:p w14:paraId="46CCB1E8" w14:textId="77777777" w:rsidR="00700EE4" w:rsidRDefault="00700EE4" w:rsidP="00700EE4">
      <w:pPr>
        <w:spacing w:line="276" w:lineRule="auto"/>
        <w:ind w:firstLine="708"/>
        <w:jc w:val="both"/>
        <w:rPr>
          <w:sz w:val="22"/>
        </w:rPr>
      </w:pPr>
      <w:r w:rsidRPr="003264CE">
        <w:rPr>
          <w:sz w:val="22"/>
          <w:lang w:val="sr-Cyrl-RS"/>
        </w:rPr>
        <w:t>-</w:t>
      </w:r>
      <w:proofErr w:type="spellStart"/>
      <w:r w:rsidR="00990075">
        <w:rPr>
          <w:sz w:val="22"/>
        </w:rPr>
        <w:t>разни</w:t>
      </w:r>
      <w:proofErr w:type="spellEnd"/>
      <w:r w:rsidR="00990075">
        <w:rPr>
          <w:sz w:val="22"/>
        </w:rPr>
        <w:t xml:space="preserve"> </w:t>
      </w:r>
      <w:proofErr w:type="spellStart"/>
      <w:r w:rsidR="00990075">
        <w:rPr>
          <w:sz w:val="22"/>
        </w:rPr>
        <w:t>намјенски</w:t>
      </w:r>
      <w:proofErr w:type="spellEnd"/>
      <w:r w:rsidR="00990075">
        <w:rPr>
          <w:sz w:val="22"/>
        </w:rPr>
        <w:t xml:space="preserve"> </w:t>
      </w:r>
      <w:proofErr w:type="spellStart"/>
      <w:r w:rsidR="00990075">
        <w:rPr>
          <w:sz w:val="22"/>
        </w:rPr>
        <w:t>приходи</w:t>
      </w:r>
      <w:proofErr w:type="spellEnd"/>
      <w:r w:rsidRPr="003264CE">
        <w:rPr>
          <w:sz w:val="22"/>
        </w:rPr>
        <w:t xml:space="preserve"> (</w:t>
      </w:r>
      <w:proofErr w:type="spellStart"/>
      <w:r w:rsidRPr="003264CE">
        <w:rPr>
          <w:sz w:val="22"/>
        </w:rPr>
        <w:t>концесионе</w:t>
      </w:r>
      <w:proofErr w:type="spellEnd"/>
      <w:r w:rsidRPr="003264CE">
        <w:rPr>
          <w:sz w:val="22"/>
        </w:rPr>
        <w:t xml:space="preserve"> </w:t>
      </w:r>
      <w:proofErr w:type="spellStart"/>
      <w:r w:rsidRPr="003264CE">
        <w:rPr>
          <w:sz w:val="22"/>
        </w:rPr>
        <w:t>накнаде</w:t>
      </w:r>
      <w:proofErr w:type="spellEnd"/>
      <w:r w:rsidRPr="003264CE">
        <w:rPr>
          <w:sz w:val="22"/>
        </w:rPr>
        <w:t xml:space="preserve">, </w:t>
      </w:r>
      <w:proofErr w:type="spellStart"/>
      <w:r w:rsidRPr="003264CE">
        <w:rPr>
          <w:sz w:val="22"/>
        </w:rPr>
        <w:t>накнаде</w:t>
      </w:r>
      <w:proofErr w:type="spellEnd"/>
      <w:r w:rsidRPr="003264CE">
        <w:rPr>
          <w:sz w:val="22"/>
        </w:rPr>
        <w:t xml:space="preserve"> </w:t>
      </w:r>
      <w:proofErr w:type="spellStart"/>
      <w:r w:rsidRPr="003264CE">
        <w:rPr>
          <w:sz w:val="22"/>
        </w:rPr>
        <w:t>за</w:t>
      </w:r>
      <w:proofErr w:type="spellEnd"/>
      <w:r w:rsidRPr="003264CE">
        <w:rPr>
          <w:sz w:val="22"/>
        </w:rPr>
        <w:t xml:space="preserve"> </w:t>
      </w:r>
      <w:proofErr w:type="spellStart"/>
      <w:r w:rsidRPr="003264CE">
        <w:rPr>
          <w:sz w:val="22"/>
        </w:rPr>
        <w:t>коришћење</w:t>
      </w:r>
      <w:proofErr w:type="spellEnd"/>
      <w:r w:rsidRPr="003264CE">
        <w:rPr>
          <w:sz w:val="22"/>
        </w:rPr>
        <w:t xml:space="preserve"> </w:t>
      </w:r>
      <w:proofErr w:type="spellStart"/>
      <w:r w:rsidRPr="003264CE">
        <w:rPr>
          <w:sz w:val="22"/>
        </w:rPr>
        <w:t>шума</w:t>
      </w:r>
      <w:proofErr w:type="spellEnd"/>
      <w:r w:rsidRPr="003264CE">
        <w:rPr>
          <w:sz w:val="22"/>
        </w:rPr>
        <w:t xml:space="preserve">, </w:t>
      </w:r>
      <w:proofErr w:type="spellStart"/>
      <w:r w:rsidRPr="003264CE">
        <w:rPr>
          <w:sz w:val="22"/>
        </w:rPr>
        <w:t>средства</w:t>
      </w:r>
      <w:proofErr w:type="spellEnd"/>
      <w:r w:rsidRPr="003264CE">
        <w:rPr>
          <w:sz w:val="22"/>
        </w:rPr>
        <w:t xml:space="preserve"> </w:t>
      </w:r>
      <w:proofErr w:type="spellStart"/>
      <w:r w:rsidRPr="003264CE">
        <w:rPr>
          <w:sz w:val="22"/>
        </w:rPr>
        <w:t>за</w:t>
      </w:r>
      <w:proofErr w:type="spellEnd"/>
      <w:r w:rsidRPr="003264CE">
        <w:rPr>
          <w:sz w:val="22"/>
        </w:rPr>
        <w:t xml:space="preserve"> </w:t>
      </w:r>
      <w:proofErr w:type="spellStart"/>
      <w:r w:rsidRPr="003264CE">
        <w:rPr>
          <w:sz w:val="22"/>
        </w:rPr>
        <w:t>финансирање</w:t>
      </w:r>
      <w:proofErr w:type="spellEnd"/>
      <w:r w:rsidRPr="003264CE">
        <w:rPr>
          <w:sz w:val="22"/>
        </w:rPr>
        <w:t xml:space="preserve"> </w:t>
      </w:r>
      <w:proofErr w:type="spellStart"/>
      <w:r w:rsidRPr="003264CE">
        <w:rPr>
          <w:sz w:val="22"/>
        </w:rPr>
        <w:t>посебних</w:t>
      </w:r>
      <w:proofErr w:type="spellEnd"/>
      <w:r w:rsidRPr="003264CE">
        <w:rPr>
          <w:sz w:val="22"/>
        </w:rPr>
        <w:t xml:space="preserve"> </w:t>
      </w:r>
      <w:proofErr w:type="spellStart"/>
      <w:r w:rsidRPr="003264CE">
        <w:rPr>
          <w:sz w:val="22"/>
        </w:rPr>
        <w:t>мјера</w:t>
      </w:r>
      <w:proofErr w:type="spellEnd"/>
      <w:r w:rsidRPr="003264CE">
        <w:rPr>
          <w:sz w:val="22"/>
        </w:rPr>
        <w:t xml:space="preserve"> </w:t>
      </w:r>
      <w:proofErr w:type="spellStart"/>
      <w:r w:rsidRPr="003264CE">
        <w:rPr>
          <w:sz w:val="22"/>
        </w:rPr>
        <w:t>заштите</w:t>
      </w:r>
      <w:proofErr w:type="spellEnd"/>
      <w:r w:rsidRPr="003264CE">
        <w:rPr>
          <w:sz w:val="22"/>
        </w:rPr>
        <w:t xml:space="preserve"> </w:t>
      </w:r>
      <w:proofErr w:type="spellStart"/>
      <w:r w:rsidRPr="003264CE">
        <w:rPr>
          <w:sz w:val="22"/>
        </w:rPr>
        <w:t>од</w:t>
      </w:r>
      <w:proofErr w:type="spellEnd"/>
      <w:r w:rsidRPr="003264CE">
        <w:rPr>
          <w:sz w:val="22"/>
        </w:rPr>
        <w:t xml:space="preserve"> </w:t>
      </w:r>
      <w:proofErr w:type="spellStart"/>
      <w:r w:rsidRPr="003264CE">
        <w:rPr>
          <w:sz w:val="22"/>
        </w:rPr>
        <w:t>пожара</w:t>
      </w:r>
      <w:proofErr w:type="spellEnd"/>
      <w:r w:rsidRPr="003264CE">
        <w:rPr>
          <w:sz w:val="22"/>
          <w:lang w:val="sr-Cyrl-RS"/>
        </w:rPr>
        <w:t xml:space="preserve"> и сл.</w:t>
      </w:r>
      <w:r w:rsidRPr="003264CE">
        <w:rPr>
          <w:sz w:val="22"/>
        </w:rPr>
        <w:t>).</w:t>
      </w:r>
    </w:p>
    <w:p w14:paraId="35D1FC81" w14:textId="77777777" w:rsidR="00173C7E" w:rsidRPr="003264CE" w:rsidRDefault="00173C7E" w:rsidP="00700EE4">
      <w:pPr>
        <w:spacing w:line="276" w:lineRule="auto"/>
        <w:ind w:firstLine="708"/>
        <w:jc w:val="both"/>
        <w:rPr>
          <w:sz w:val="22"/>
          <w:lang w:val="sr-Latn-RS"/>
        </w:rPr>
      </w:pPr>
    </w:p>
    <w:p w14:paraId="53D0B7EE" w14:textId="77777777" w:rsidR="00700EE4" w:rsidRPr="003264CE" w:rsidRDefault="00700EE4" w:rsidP="00700EE4">
      <w:pPr>
        <w:spacing w:line="276" w:lineRule="auto"/>
        <w:ind w:firstLine="708"/>
        <w:jc w:val="both"/>
        <w:rPr>
          <w:sz w:val="22"/>
          <w:lang w:val="sr-Cyrl-RS"/>
        </w:rPr>
      </w:pPr>
      <w:r w:rsidRPr="003264CE">
        <w:rPr>
          <w:sz w:val="22"/>
          <w:lang w:val="sr-Cyrl-RS"/>
        </w:rPr>
        <w:t xml:space="preserve">Доступни подаци о реализацији појединих </w:t>
      </w:r>
      <w:proofErr w:type="spellStart"/>
      <w:r w:rsidRPr="003264CE">
        <w:rPr>
          <w:sz w:val="22"/>
          <w:lang w:val="sr-Cyrl-RS"/>
        </w:rPr>
        <w:t>непореских</w:t>
      </w:r>
      <w:proofErr w:type="spellEnd"/>
      <w:r w:rsidRPr="003264CE">
        <w:rPr>
          <w:sz w:val="22"/>
          <w:lang w:val="sr-Cyrl-RS"/>
        </w:rPr>
        <w:t xml:space="preserve"> прихода, показују </w:t>
      </w:r>
      <w:proofErr w:type="spellStart"/>
      <w:r w:rsidRPr="003264CE">
        <w:rPr>
          <w:sz w:val="22"/>
        </w:rPr>
        <w:t>да</w:t>
      </w:r>
      <w:proofErr w:type="spellEnd"/>
      <w:r w:rsidRPr="003264CE">
        <w:rPr>
          <w:sz w:val="22"/>
        </w:rPr>
        <w:t xml:space="preserve"> </w:t>
      </w:r>
      <w:r w:rsidRPr="003264CE">
        <w:rPr>
          <w:sz w:val="22"/>
          <w:lang w:val="sr-Cyrl-RS"/>
        </w:rPr>
        <w:t>су ЈЛС</w:t>
      </w:r>
      <w:r w:rsidRPr="003264CE">
        <w:rPr>
          <w:sz w:val="22"/>
        </w:rPr>
        <w:t>,</w:t>
      </w:r>
      <w:r w:rsidR="00990075">
        <w:rPr>
          <w:sz w:val="22"/>
          <w:lang w:val="sr-Cyrl-RS"/>
        </w:rPr>
        <w:t xml:space="preserve"> које</w:t>
      </w:r>
      <w:r w:rsidRPr="003264CE">
        <w:rPr>
          <w:sz w:val="22"/>
          <w:lang w:val="sr-Cyrl-RS"/>
        </w:rPr>
        <w:t xml:space="preserve"> имају </w:t>
      </w:r>
      <w:proofErr w:type="spellStart"/>
      <w:r w:rsidRPr="003264CE">
        <w:rPr>
          <w:sz w:val="22"/>
        </w:rPr>
        <w:t>високо</w:t>
      </w:r>
      <w:proofErr w:type="spellEnd"/>
      <w:r w:rsidRPr="003264CE">
        <w:rPr>
          <w:sz w:val="22"/>
        </w:rPr>
        <w:t xml:space="preserve"> </w:t>
      </w:r>
      <w:proofErr w:type="spellStart"/>
      <w:r w:rsidRPr="003264CE">
        <w:rPr>
          <w:sz w:val="22"/>
        </w:rPr>
        <w:t>учешће</w:t>
      </w:r>
      <w:proofErr w:type="spellEnd"/>
      <w:r w:rsidRPr="003264CE">
        <w:rPr>
          <w:sz w:val="22"/>
        </w:rPr>
        <w:t xml:space="preserve"> </w:t>
      </w:r>
      <w:proofErr w:type="spellStart"/>
      <w:r w:rsidRPr="003264CE">
        <w:rPr>
          <w:sz w:val="22"/>
        </w:rPr>
        <w:t>прихода</w:t>
      </w:r>
      <w:proofErr w:type="spellEnd"/>
      <w:r w:rsidRPr="003264CE">
        <w:rPr>
          <w:sz w:val="22"/>
          <w:lang w:val="sr-Cyrl-RS"/>
        </w:rPr>
        <w:t xml:space="preserve"> </w:t>
      </w:r>
      <w:proofErr w:type="spellStart"/>
      <w:r w:rsidRPr="003264CE">
        <w:rPr>
          <w:sz w:val="22"/>
        </w:rPr>
        <w:t>од</w:t>
      </w:r>
      <w:proofErr w:type="spellEnd"/>
      <w:r w:rsidRPr="003264CE">
        <w:rPr>
          <w:sz w:val="22"/>
        </w:rPr>
        <w:t xml:space="preserve"> </w:t>
      </w:r>
      <w:proofErr w:type="spellStart"/>
      <w:r w:rsidRPr="003264CE">
        <w:rPr>
          <w:sz w:val="22"/>
        </w:rPr>
        <w:t>земљишне</w:t>
      </w:r>
      <w:proofErr w:type="spellEnd"/>
      <w:r w:rsidRPr="003264CE">
        <w:rPr>
          <w:sz w:val="22"/>
        </w:rPr>
        <w:t xml:space="preserve"> </w:t>
      </w:r>
      <w:proofErr w:type="spellStart"/>
      <w:r w:rsidRPr="003264CE">
        <w:rPr>
          <w:sz w:val="22"/>
        </w:rPr>
        <w:t>ренте</w:t>
      </w:r>
      <w:proofErr w:type="spellEnd"/>
      <w:r w:rsidRPr="003264CE">
        <w:rPr>
          <w:sz w:val="22"/>
        </w:rPr>
        <w:t xml:space="preserve"> и </w:t>
      </w:r>
      <w:proofErr w:type="spellStart"/>
      <w:r w:rsidRPr="003264CE">
        <w:rPr>
          <w:sz w:val="22"/>
        </w:rPr>
        <w:t>накнаде</w:t>
      </w:r>
      <w:proofErr w:type="spellEnd"/>
      <w:r w:rsidRPr="003264CE">
        <w:rPr>
          <w:sz w:val="22"/>
        </w:rPr>
        <w:t xml:space="preserve"> </w:t>
      </w:r>
      <w:proofErr w:type="spellStart"/>
      <w:r w:rsidRPr="003264CE">
        <w:rPr>
          <w:sz w:val="22"/>
        </w:rPr>
        <w:t>за</w:t>
      </w:r>
      <w:proofErr w:type="spellEnd"/>
      <w:r w:rsidRPr="003264CE">
        <w:rPr>
          <w:sz w:val="22"/>
        </w:rPr>
        <w:t xml:space="preserve"> </w:t>
      </w:r>
      <w:proofErr w:type="spellStart"/>
      <w:r w:rsidRPr="003264CE">
        <w:rPr>
          <w:sz w:val="22"/>
        </w:rPr>
        <w:t>уређење</w:t>
      </w:r>
      <w:proofErr w:type="spellEnd"/>
      <w:r w:rsidRPr="003264CE">
        <w:rPr>
          <w:sz w:val="22"/>
        </w:rPr>
        <w:t xml:space="preserve"> </w:t>
      </w:r>
      <w:proofErr w:type="spellStart"/>
      <w:r w:rsidRPr="003264CE">
        <w:rPr>
          <w:sz w:val="22"/>
        </w:rPr>
        <w:t>грађевинског</w:t>
      </w:r>
      <w:proofErr w:type="spellEnd"/>
      <w:r w:rsidRPr="003264CE">
        <w:rPr>
          <w:sz w:val="22"/>
        </w:rPr>
        <w:t xml:space="preserve"> </w:t>
      </w:r>
      <w:proofErr w:type="spellStart"/>
      <w:r w:rsidRPr="003264CE">
        <w:rPr>
          <w:sz w:val="22"/>
        </w:rPr>
        <w:t>земљишта</w:t>
      </w:r>
      <w:proofErr w:type="spellEnd"/>
      <w:r w:rsidRPr="003264CE">
        <w:rPr>
          <w:sz w:val="22"/>
        </w:rPr>
        <w:t xml:space="preserve"> (</w:t>
      </w:r>
      <w:proofErr w:type="spellStart"/>
      <w:r w:rsidRPr="003264CE">
        <w:rPr>
          <w:sz w:val="22"/>
        </w:rPr>
        <w:t>Бања</w:t>
      </w:r>
      <w:proofErr w:type="spellEnd"/>
      <w:r w:rsidRPr="003264CE">
        <w:rPr>
          <w:sz w:val="22"/>
        </w:rPr>
        <w:t xml:space="preserve"> </w:t>
      </w:r>
      <w:proofErr w:type="spellStart"/>
      <w:r w:rsidRPr="003264CE">
        <w:rPr>
          <w:sz w:val="22"/>
        </w:rPr>
        <w:t>Лука</w:t>
      </w:r>
      <w:proofErr w:type="spellEnd"/>
      <w:r w:rsidRPr="003264CE">
        <w:rPr>
          <w:sz w:val="22"/>
        </w:rPr>
        <w:t xml:space="preserve">), </w:t>
      </w:r>
      <w:r w:rsidRPr="003264CE">
        <w:rPr>
          <w:sz w:val="22"/>
          <w:lang w:val="sr-Cyrl-RS"/>
        </w:rPr>
        <w:t>као</w:t>
      </w:r>
      <w:r w:rsidRPr="003264CE">
        <w:rPr>
          <w:sz w:val="22"/>
        </w:rPr>
        <w:t xml:space="preserve"> </w:t>
      </w:r>
      <w:r w:rsidR="00990075">
        <w:rPr>
          <w:sz w:val="22"/>
          <w:lang w:val="sr-Cyrl-RS"/>
        </w:rPr>
        <w:t xml:space="preserve">и </w:t>
      </w:r>
      <w:proofErr w:type="spellStart"/>
      <w:r w:rsidRPr="003264CE">
        <w:rPr>
          <w:sz w:val="22"/>
        </w:rPr>
        <w:t>намјенских</w:t>
      </w:r>
      <w:proofErr w:type="spellEnd"/>
      <w:r w:rsidRPr="003264CE">
        <w:rPr>
          <w:sz w:val="22"/>
        </w:rPr>
        <w:t xml:space="preserve"> </w:t>
      </w:r>
      <w:proofErr w:type="spellStart"/>
      <w:r w:rsidRPr="003264CE">
        <w:rPr>
          <w:sz w:val="22"/>
        </w:rPr>
        <w:t>прихода</w:t>
      </w:r>
      <w:proofErr w:type="spellEnd"/>
      <w:r w:rsidRPr="003264CE">
        <w:rPr>
          <w:sz w:val="22"/>
        </w:rPr>
        <w:t xml:space="preserve"> (</w:t>
      </w:r>
      <w:proofErr w:type="spellStart"/>
      <w:r w:rsidRPr="003264CE">
        <w:rPr>
          <w:sz w:val="22"/>
        </w:rPr>
        <w:t>Фоча</w:t>
      </w:r>
      <w:proofErr w:type="spellEnd"/>
      <w:r w:rsidRPr="003264CE">
        <w:rPr>
          <w:sz w:val="22"/>
        </w:rPr>
        <w:t xml:space="preserve">, </w:t>
      </w:r>
      <w:proofErr w:type="spellStart"/>
      <w:r w:rsidRPr="003264CE">
        <w:rPr>
          <w:sz w:val="22"/>
        </w:rPr>
        <w:t>Вишеград</w:t>
      </w:r>
      <w:proofErr w:type="spellEnd"/>
      <w:r w:rsidRPr="003264CE">
        <w:rPr>
          <w:sz w:val="22"/>
        </w:rPr>
        <w:t>)</w:t>
      </w:r>
      <w:r w:rsidR="00990075">
        <w:rPr>
          <w:sz w:val="22"/>
          <w:lang w:val="sr-Cyrl-RS"/>
        </w:rPr>
        <w:t>, у укупним приходима</w:t>
      </w:r>
      <w:r w:rsidRPr="003264CE">
        <w:rPr>
          <w:sz w:val="22"/>
        </w:rPr>
        <w:t xml:space="preserve">, </w:t>
      </w:r>
      <w:proofErr w:type="spellStart"/>
      <w:r w:rsidRPr="003264CE">
        <w:rPr>
          <w:sz w:val="22"/>
        </w:rPr>
        <w:t>забиљежиле</w:t>
      </w:r>
      <w:proofErr w:type="spellEnd"/>
      <w:r w:rsidRPr="003264CE">
        <w:rPr>
          <w:sz w:val="22"/>
        </w:rPr>
        <w:t xml:space="preserve"> </w:t>
      </w:r>
      <w:proofErr w:type="spellStart"/>
      <w:r w:rsidRPr="003264CE">
        <w:rPr>
          <w:sz w:val="22"/>
        </w:rPr>
        <w:t>већи</w:t>
      </w:r>
      <w:proofErr w:type="spellEnd"/>
      <w:r w:rsidRPr="003264CE">
        <w:rPr>
          <w:sz w:val="22"/>
        </w:rPr>
        <w:t xml:space="preserve"> </w:t>
      </w:r>
      <w:proofErr w:type="spellStart"/>
      <w:r w:rsidRPr="003264CE">
        <w:rPr>
          <w:sz w:val="22"/>
        </w:rPr>
        <w:t>пад</w:t>
      </w:r>
      <w:proofErr w:type="spellEnd"/>
      <w:r w:rsidRPr="003264CE">
        <w:rPr>
          <w:sz w:val="22"/>
        </w:rPr>
        <w:t xml:space="preserve"> </w:t>
      </w:r>
      <w:proofErr w:type="spellStart"/>
      <w:r w:rsidRPr="003264CE">
        <w:rPr>
          <w:sz w:val="22"/>
        </w:rPr>
        <w:t>непореских</w:t>
      </w:r>
      <w:proofErr w:type="spellEnd"/>
      <w:r w:rsidRPr="003264CE">
        <w:rPr>
          <w:sz w:val="22"/>
        </w:rPr>
        <w:t xml:space="preserve"> и </w:t>
      </w:r>
      <w:proofErr w:type="spellStart"/>
      <w:r w:rsidRPr="003264CE">
        <w:rPr>
          <w:sz w:val="22"/>
        </w:rPr>
        <w:t>ук</w:t>
      </w:r>
      <w:r w:rsidR="00990075">
        <w:rPr>
          <w:sz w:val="22"/>
        </w:rPr>
        <w:t>упних</w:t>
      </w:r>
      <w:proofErr w:type="spellEnd"/>
      <w:r w:rsidR="00990075">
        <w:rPr>
          <w:sz w:val="22"/>
        </w:rPr>
        <w:t xml:space="preserve"> </w:t>
      </w:r>
      <w:proofErr w:type="spellStart"/>
      <w:r w:rsidR="00990075">
        <w:rPr>
          <w:sz w:val="22"/>
        </w:rPr>
        <w:t>прихода</w:t>
      </w:r>
      <w:proofErr w:type="spellEnd"/>
      <w:r w:rsidR="00990075">
        <w:rPr>
          <w:sz w:val="22"/>
        </w:rPr>
        <w:t xml:space="preserve"> у 2020. </w:t>
      </w:r>
      <w:proofErr w:type="spellStart"/>
      <w:r w:rsidR="00990075">
        <w:rPr>
          <w:sz w:val="22"/>
        </w:rPr>
        <w:t>години</w:t>
      </w:r>
      <w:proofErr w:type="spellEnd"/>
      <w:r w:rsidRPr="003264CE">
        <w:rPr>
          <w:sz w:val="22"/>
          <w:lang w:val="sr-Cyrl-RS"/>
        </w:rPr>
        <w:t>, у посматраном периоду.</w:t>
      </w:r>
    </w:p>
    <w:p w14:paraId="6371E99D" w14:textId="52238035" w:rsidR="00FA5BA1" w:rsidRDefault="00FA5BA1" w:rsidP="00334757">
      <w:pPr>
        <w:spacing w:line="276" w:lineRule="auto"/>
        <w:jc w:val="both"/>
      </w:pPr>
    </w:p>
    <w:p w14:paraId="36FA4985" w14:textId="7C880F40" w:rsidR="00FE6A76" w:rsidRDefault="00FE6A76" w:rsidP="00790A22">
      <w:pPr>
        <w:spacing w:line="276" w:lineRule="auto"/>
        <w:ind w:firstLine="709"/>
        <w:jc w:val="both"/>
        <w:rPr>
          <w:sz w:val="22"/>
          <w:szCs w:val="22"/>
          <w:u w:val="single"/>
        </w:rPr>
      </w:pPr>
      <w:r w:rsidRPr="00FA5BA1">
        <w:rPr>
          <w:sz w:val="22"/>
          <w:szCs w:val="22"/>
          <w:lang w:val="sr-Cyrl-RS"/>
        </w:rPr>
        <w:t xml:space="preserve">У наставку се даје </w:t>
      </w:r>
      <w:proofErr w:type="spellStart"/>
      <w:r w:rsidRPr="00FA5BA1">
        <w:rPr>
          <w:sz w:val="22"/>
          <w:lang w:val="sr-Cyrl-RS"/>
        </w:rPr>
        <w:t>даје</w:t>
      </w:r>
      <w:proofErr w:type="spellEnd"/>
      <w:r w:rsidRPr="00FA5BA1">
        <w:rPr>
          <w:sz w:val="22"/>
          <w:lang w:val="sr-Cyrl-RS"/>
        </w:rPr>
        <w:t xml:space="preserve"> анализа </w:t>
      </w:r>
      <w:proofErr w:type="spellStart"/>
      <w:r w:rsidRPr="00FA5BA1">
        <w:rPr>
          <w:sz w:val="22"/>
        </w:rPr>
        <w:t>извршења</w:t>
      </w:r>
      <w:proofErr w:type="spellEnd"/>
      <w:r w:rsidRPr="00FA5BA1">
        <w:rPr>
          <w:sz w:val="22"/>
          <w:lang w:val="sr-Cyrl-RS"/>
        </w:rPr>
        <w:t xml:space="preserve"> прихода у периоду</w:t>
      </w:r>
      <w:r w:rsidRPr="00FA5BA1">
        <w:rPr>
          <w:sz w:val="22"/>
        </w:rPr>
        <w:t xml:space="preserve"> </w:t>
      </w:r>
      <w:r w:rsidRPr="004D15BC">
        <w:rPr>
          <w:sz w:val="22"/>
          <w:szCs w:val="22"/>
          <w:u w:val="single"/>
        </w:rPr>
        <w:t>01.01.-30.06.2020.</w:t>
      </w:r>
      <w:r w:rsidRPr="004D15BC">
        <w:rPr>
          <w:sz w:val="22"/>
          <w:szCs w:val="22"/>
          <w:u w:val="single"/>
          <w:lang w:val="sr-Cyrl-RS"/>
        </w:rPr>
        <w:t xml:space="preserve"> године у односу на</w:t>
      </w:r>
      <w:r w:rsidRPr="004D15BC">
        <w:rPr>
          <w:sz w:val="22"/>
          <w:szCs w:val="22"/>
          <w:u w:val="single"/>
        </w:rPr>
        <w:t xml:space="preserve">  </w:t>
      </w:r>
      <w:proofErr w:type="spellStart"/>
      <w:r w:rsidRPr="004D15BC">
        <w:rPr>
          <w:sz w:val="22"/>
          <w:szCs w:val="22"/>
          <w:u w:val="single"/>
        </w:rPr>
        <w:t>исти</w:t>
      </w:r>
      <w:proofErr w:type="spellEnd"/>
      <w:r w:rsidRPr="004D15BC">
        <w:rPr>
          <w:sz w:val="22"/>
          <w:szCs w:val="22"/>
          <w:u w:val="single"/>
        </w:rPr>
        <w:t xml:space="preserve"> </w:t>
      </w:r>
      <w:proofErr w:type="spellStart"/>
      <w:r w:rsidRPr="004D15BC">
        <w:rPr>
          <w:sz w:val="22"/>
          <w:szCs w:val="22"/>
          <w:u w:val="single"/>
        </w:rPr>
        <w:t>период</w:t>
      </w:r>
      <w:proofErr w:type="spellEnd"/>
      <w:r w:rsidRPr="004D15BC">
        <w:rPr>
          <w:sz w:val="22"/>
          <w:szCs w:val="22"/>
          <w:u w:val="single"/>
        </w:rPr>
        <w:t xml:space="preserve"> 2019. </w:t>
      </w:r>
      <w:proofErr w:type="spellStart"/>
      <w:r w:rsidRPr="004D15BC">
        <w:rPr>
          <w:sz w:val="22"/>
          <w:szCs w:val="22"/>
          <w:u w:val="single"/>
        </w:rPr>
        <w:t>године</w:t>
      </w:r>
      <w:proofErr w:type="spellEnd"/>
      <w:r w:rsidRPr="004D15BC">
        <w:rPr>
          <w:sz w:val="22"/>
          <w:szCs w:val="22"/>
          <w:u w:val="single"/>
        </w:rPr>
        <w:t>.</w:t>
      </w:r>
    </w:p>
    <w:p w14:paraId="0ABDFC38" w14:textId="7F5E01FB" w:rsidR="00FE6A76" w:rsidRDefault="00FE6A76" w:rsidP="00790A22">
      <w:pPr>
        <w:spacing w:line="276" w:lineRule="auto"/>
        <w:ind w:firstLine="709"/>
        <w:jc w:val="both"/>
      </w:pPr>
    </w:p>
    <w:p w14:paraId="547EF81A" w14:textId="77777777" w:rsidR="006438A2" w:rsidRDefault="006438A2" w:rsidP="00790A22">
      <w:pPr>
        <w:spacing w:line="276" w:lineRule="auto"/>
        <w:ind w:firstLine="709"/>
        <w:jc w:val="both"/>
      </w:pPr>
    </w:p>
    <w:p w14:paraId="6E3E7392" w14:textId="77777777" w:rsidR="00570002" w:rsidRDefault="00EC0562" w:rsidP="00EC0562">
      <w:pPr>
        <w:spacing w:line="276" w:lineRule="auto"/>
        <w:jc w:val="both"/>
        <w:rPr>
          <w:b/>
          <w:sz w:val="22"/>
        </w:rPr>
      </w:pPr>
      <w:r w:rsidRPr="00EC0562">
        <w:rPr>
          <w:b/>
          <w:sz w:val="22"/>
        </w:rPr>
        <w:tab/>
      </w:r>
    </w:p>
    <w:p w14:paraId="241C0700" w14:textId="6E9F3EF0" w:rsidR="005E3D70" w:rsidRPr="00EC0562" w:rsidRDefault="00570002" w:rsidP="00570002">
      <w:pPr>
        <w:spacing w:line="276" w:lineRule="auto"/>
        <w:ind w:firstLine="709"/>
        <w:jc w:val="both"/>
        <w:rPr>
          <w:b/>
          <w:sz w:val="22"/>
          <w:lang w:val="sr-Cyrl-RS"/>
        </w:rPr>
      </w:pPr>
      <w:r>
        <w:rPr>
          <w:b/>
          <w:sz w:val="22"/>
          <w:lang w:val="sr-Cyrl-RS"/>
        </w:rPr>
        <w:lastRenderedPageBreak/>
        <w:t>Графикон 2</w:t>
      </w:r>
      <w:r w:rsidR="00EC0562" w:rsidRPr="00EC0562">
        <w:rPr>
          <w:b/>
          <w:sz w:val="22"/>
          <w:lang w:val="sr-Cyrl-RS"/>
        </w:rPr>
        <w:t>.</w:t>
      </w:r>
    </w:p>
    <w:p w14:paraId="6245521B" w14:textId="77777777" w:rsidR="005E3D70" w:rsidRDefault="005E3D70" w:rsidP="00EC0562">
      <w:pPr>
        <w:spacing w:line="276" w:lineRule="auto"/>
        <w:jc w:val="both"/>
        <w:rPr>
          <w:lang w:val="sr-Cyrl-RS" w:eastAsia="en-US"/>
        </w:rPr>
      </w:pPr>
      <w:r>
        <w:rPr>
          <w:noProof/>
          <w:lang w:val="sr-Latn-RS" w:eastAsia="sr-Latn-RS"/>
        </w:rPr>
        <w:drawing>
          <wp:inline distT="0" distB="0" distL="0" distR="0" wp14:anchorId="4A551A98" wp14:editId="3DEA0951">
            <wp:extent cx="6073254" cy="2406015"/>
            <wp:effectExtent l="0" t="0" r="3810" b="133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6BBE1D" w14:textId="77777777" w:rsidR="005E3D70" w:rsidRDefault="005E3D70" w:rsidP="005E3D70">
      <w:pPr>
        <w:spacing w:line="276" w:lineRule="auto"/>
        <w:ind w:firstLine="708"/>
        <w:jc w:val="both"/>
        <w:rPr>
          <w:lang w:val="sr-Cyrl-RS" w:eastAsia="en-US"/>
        </w:rPr>
      </w:pPr>
    </w:p>
    <w:p w14:paraId="78690C03" w14:textId="77777777" w:rsidR="00EC0562" w:rsidRDefault="00330D13" w:rsidP="00EC0562">
      <w:pPr>
        <w:spacing w:line="276" w:lineRule="auto"/>
        <w:ind w:firstLine="709"/>
        <w:jc w:val="both"/>
        <w:rPr>
          <w:sz w:val="22"/>
        </w:rPr>
      </w:pPr>
      <w:proofErr w:type="spellStart"/>
      <w:r>
        <w:rPr>
          <w:sz w:val="22"/>
          <w:lang w:val="sr-Cyrl-RS"/>
        </w:rPr>
        <w:t>Пандемија</w:t>
      </w:r>
      <w:proofErr w:type="spellEnd"/>
      <w:r>
        <w:rPr>
          <w:sz w:val="22"/>
          <w:lang w:val="sr-Cyrl-RS"/>
        </w:rPr>
        <w:t xml:space="preserve"> </w:t>
      </w:r>
      <w:r>
        <w:rPr>
          <w:sz w:val="22"/>
          <w:lang w:val="en-US"/>
        </w:rPr>
        <w:t>COVID-19</w:t>
      </w:r>
      <w:r>
        <w:rPr>
          <w:sz w:val="22"/>
          <w:lang w:val="sr-Cyrl-RS"/>
        </w:rPr>
        <w:t xml:space="preserve"> значајно је утицала на погоршање финансијске позиције свих анкетираних ЈЛС.  </w:t>
      </w:r>
      <w:proofErr w:type="spellStart"/>
      <w:r w:rsidR="00EC0562" w:rsidRPr="00EC0562">
        <w:rPr>
          <w:sz w:val="22"/>
        </w:rPr>
        <w:t>Све</w:t>
      </w:r>
      <w:proofErr w:type="spellEnd"/>
      <w:r w:rsidR="00EC0562" w:rsidRPr="00EC0562">
        <w:rPr>
          <w:sz w:val="22"/>
        </w:rPr>
        <w:t xml:space="preserve"> ЈЛС </w:t>
      </w:r>
      <w:proofErr w:type="spellStart"/>
      <w:r w:rsidR="00EC0562" w:rsidRPr="00EC0562">
        <w:rPr>
          <w:sz w:val="22"/>
        </w:rPr>
        <w:t>забиљежиле</w:t>
      </w:r>
      <w:proofErr w:type="spellEnd"/>
      <w:r w:rsidR="00EC0562" w:rsidRPr="00EC0562">
        <w:rPr>
          <w:sz w:val="22"/>
        </w:rPr>
        <w:t xml:space="preserve"> </w:t>
      </w:r>
      <w:proofErr w:type="spellStart"/>
      <w:r w:rsidR="00EC0562" w:rsidRPr="00EC0562">
        <w:rPr>
          <w:sz w:val="22"/>
        </w:rPr>
        <w:t>су</w:t>
      </w:r>
      <w:proofErr w:type="spellEnd"/>
      <w:r w:rsidR="00EC0562" w:rsidRPr="00EC0562">
        <w:rPr>
          <w:sz w:val="22"/>
        </w:rPr>
        <w:t xml:space="preserve"> </w:t>
      </w:r>
      <w:r w:rsidR="00143BA7">
        <w:rPr>
          <w:sz w:val="22"/>
          <w:lang w:val="sr-Cyrl-RS"/>
        </w:rPr>
        <w:t xml:space="preserve">велики </w:t>
      </w:r>
      <w:proofErr w:type="spellStart"/>
      <w:r w:rsidR="00143BA7">
        <w:rPr>
          <w:sz w:val="22"/>
        </w:rPr>
        <w:t>пад</w:t>
      </w:r>
      <w:proofErr w:type="spellEnd"/>
      <w:r w:rsidR="00143BA7">
        <w:rPr>
          <w:sz w:val="22"/>
        </w:rPr>
        <w:t xml:space="preserve"> </w:t>
      </w:r>
      <w:proofErr w:type="spellStart"/>
      <w:r w:rsidR="00143BA7">
        <w:rPr>
          <w:sz w:val="22"/>
        </w:rPr>
        <w:t>извршења</w:t>
      </w:r>
      <w:proofErr w:type="spellEnd"/>
      <w:r w:rsidR="00EC0562" w:rsidRPr="00EC0562">
        <w:rPr>
          <w:sz w:val="22"/>
        </w:rPr>
        <w:t xml:space="preserve"> </w:t>
      </w:r>
      <w:proofErr w:type="spellStart"/>
      <w:r w:rsidR="00EC0562" w:rsidRPr="00EC0562">
        <w:rPr>
          <w:sz w:val="22"/>
        </w:rPr>
        <w:t>укупних</w:t>
      </w:r>
      <w:proofErr w:type="spellEnd"/>
      <w:r w:rsidR="00EC0562" w:rsidRPr="00EC0562">
        <w:rPr>
          <w:sz w:val="22"/>
        </w:rPr>
        <w:t xml:space="preserve"> </w:t>
      </w:r>
      <w:proofErr w:type="spellStart"/>
      <w:r w:rsidR="00EC0562" w:rsidRPr="00EC0562">
        <w:rPr>
          <w:sz w:val="22"/>
        </w:rPr>
        <w:t>прихода</w:t>
      </w:r>
      <w:proofErr w:type="spellEnd"/>
      <w:r w:rsidR="00143BA7">
        <w:rPr>
          <w:sz w:val="22"/>
          <w:lang w:val="sr-Cyrl-RS"/>
        </w:rPr>
        <w:t xml:space="preserve"> у првом полугодишту 2020. у односу на исти период претходне године. Пад се кретао у распону од </w:t>
      </w:r>
      <w:r w:rsidR="00143BA7" w:rsidRPr="00EC0562">
        <w:rPr>
          <w:sz w:val="22"/>
        </w:rPr>
        <w:t>-10,7% (</w:t>
      </w:r>
      <w:proofErr w:type="spellStart"/>
      <w:r w:rsidR="00143BA7" w:rsidRPr="00EC0562">
        <w:rPr>
          <w:sz w:val="22"/>
        </w:rPr>
        <w:t>Вишеград</w:t>
      </w:r>
      <w:proofErr w:type="spellEnd"/>
      <w:r w:rsidR="00143BA7" w:rsidRPr="00EC0562">
        <w:rPr>
          <w:sz w:val="22"/>
        </w:rPr>
        <w:t>)</w:t>
      </w:r>
      <w:r w:rsidR="00143BA7">
        <w:rPr>
          <w:sz w:val="22"/>
          <w:lang w:val="sr-Cyrl-RS"/>
        </w:rPr>
        <w:t xml:space="preserve"> до </w:t>
      </w:r>
      <w:r w:rsidR="00EC0562" w:rsidRPr="00EC0562">
        <w:rPr>
          <w:sz w:val="22"/>
        </w:rPr>
        <w:t xml:space="preserve">-16,2% (Б. </w:t>
      </w:r>
      <w:proofErr w:type="spellStart"/>
      <w:r w:rsidR="00EC0562" w:rsidRPr="00EC0562">
        <w:rPr>
          <w:sz w:val="22"/>
        </w:rPr>
        <w:t>Лука</w:t>
      </w:r>
      <w:proofErr w:type="spellEnd"/>
      <w:r w:rsidR="00EC0562" w:rsidRPr="00EC0562">
        <w:rPr>
          <w:sz w:val="22"/>
        </w:rPr>
        <w:t>) и -</w:t>
      </w:r>
      <w:r w:rsidR="00EC0562" w:rsidRPr="00EC0562">
        <w:rPr>
          <w:sz w:val="22"/>
          <w:lang w:val="sr-Cyrl-RS"/>
        </w:rPr>
        <w:t>1</w:t>
      </w:r>
      <w:r w:rsidR="00EC0562" w:rsidRPr="00EC0562">
        <w:rPr>
          <w:sz w:val="22"/>
        </w:rPr>
        <w:t>9,3% (</w:t>
      </w:r>
      <w:proofErr w:type="spellStart"/>
      <w:r w:rsidR="00EC0562" w:rsidRPr="00EC0562">
        <w:rPr>
          <w:sz w:val="22"/>
        </w:rPr>
        <w:t>Фоча</w:t>
      </w:r>
      <w:proofErr w:type="spellEnd"/>
      <w:r w:rsidR="00EC0562" w:rsidRPr="00EC0562">
        <w:rPr>
          <w:sz w:val="22"/>
        </w:rPr>
        <w:t>).</w:t>
      </w:r>
      <w:r w:rsidR="00EC0562" w:rsidRPr="00EC0562">
        <w:rPr>
          <w:sz w:val="22"/>
          <w:lang w:val="sr-Cyrl-RS"/>
        </w:rPr>
        <w:t xml:space="preserve"> </w:t>
      </w:r>
      <w:proofErr w:type="spellStart"/>
      <w:r w:rsidR="00EC0562" w:rsidRPr="00EC0562">
        <w:rPr>
          <w:sz w:val="22"/>
        </w:rPr>
        <w:t>Номинално</w:t>
      </w:r>
      <w:proofErr w:type="spellEnd"/>
      <w:r w:rsidR="00EC0562" w:rsidRPr="00EC0562">
        <w:rPr>
          <w:sz w:val="22"/>
          <w:lang w:val="sr-Cyrl-RS"/>
        </w:rPr>
        <w:t xml:space="preserve"> посматрано,</w:t>
      </w:r>
      <w:r w:rsidR="00EC0562" w:rsidRPr="00EC0562">
        <w:rPr>
          <w:sz w:val="22"/>
        </w:rPr>
        <w:t xml:space="preserve"> </w:t>
      </w:r>
      <w:proofErr w:type="spellStart"/>
      <w:r w:rsidR="00EC0562" w:rsidRPr="00EC0562">
        <w:rPr>
          <w:sz w:val="22"/>
        </w:rPr>
        <w:t>највећи</w:t>
      </w:r>
      <w:proofErr w:type="spellEnd"/>
      <w:r w:rsidR="00EC0562" w:rsidRPr="00EC0562">
        <w:rPr>
          <w:sz w:val="22"/>
        </w:rPr>
        <w:t xml:space="preserve"> </w:t>
      </w:r>
      <w:proofErr w:type="spellStart"/>
      <w:r w:rsidR="00EC0562" w:rsidRPr="00EC0562">
        <w:rPr>
          <w:sz w:val="22"/>
        </w:rPr>
        <w:t>пад</w:t>
      </w:r>
      <w:proofErr w:type="spellEnd"/>
      <w:r w:rsidR="00EC0562" w:rsidRPr="00EC0562">
        <w:rPr>
          <w:sz w:val="22"/>
        </w:rPr>
        <w:t xml:space="preserve"> </w:t>
      </w:r>
      <w:proofErr w:type="spellStart"/>
      <w:r w:rsidR="00EC0562" w:rsidRPr="00EC0562">
        <w:rPr>
          <w:sz w:val="22"/>
        </w:rPr>
        <w:t>прихода</w:t>
      </w:r>
      <w:proofErr w:type="spellEnd"/>
      <w:r w:rsidR="00143BA7">
        <w:rPr>
          <w:sz w:val="22"/>
          <w:lang w:val="sr-Cyrl-RS"/>
        </w:rPr>
        <w:t xml:space="preserve"> од 9,15 милиона КМ,</w:t>
      </w:r>
      <w:r w:rsidR="004D15BC">
        <w:rPr>
          <w:sz w:val="22"/>
        </w:rPr>
        <w:t xml:space="preserve"> </w:t>
      </w:r>
      <w:proofErr w:type="spellStart"/>
      <w:r w:rsidR="004D15BC">
        <w:rPr>
          <w:sz w:val="22"/>
        </w:rPr>
        <w:t>имала</w:t>
      </w:r>
      <w:proofErr w:type="spellEnd"/>
      <w:r w:rsidR="004D15BC">
        <w:rPr>
          <w:sz w:val="22"/>
        </w:rPr>
        <w:t xml:space="preserve"> </w:t>
      </w:r>
      <w:proofErr w:type="spellStart"/>
      <w:r w:rsidR="004D15BC">
        <w:rPr>
          <w:sz w:val="22"/>
        </w:rPr>
        <w:t>је</w:t>
      </w:r>
      <w:proofErr w:type="spellEnd"/>
      <w:r w:rsidR="004D15BC">
        <w:rPr>
          <w:sz w:val="22"/>
        </w:rPr>
        <w:t xml:space="preserve"> </w:t>
      </w:r>
      <w:proofErr w:type="spellStart"/>
      <w:r w:rsidR="004D15BC">
        <w:rPr>
          <w:sz w:val="22"/>
        </w:rPr>
        <w:t>Бања</w:t>
      </w:r>
      <w:proofErr w:type="spellEnd"/>
      <w:r w:rsidR="004D15BC">
        <w:rPr>
          <w:sz w:val="22"/>
        </w:rPr>
        <w:t xml:space="preserve"> </w:t>
      </w:r>
      <w:proofErr w:type="spellStart"/>
      <w:r w:rsidR="004D15BC">
        <w:rPr>
          <w:sz w:val="22"/>
        </w:rPr>
        <w:t>Лука</w:t>
      </w:r>
      <w:proofErr w:type="spellEnd"/>
      <w:r w:rsidR="004D15BC">
        <w:rPr>
          <w:sz w:val="22"/>
        </w:rPr>
        <w:t xml:space="preserve">, </w:t>
      </w:r>
      <w:proofErr w:type="spellStart"/>
      <w:r w:rsidR="004D15BC">
        <w:rPr>
          <w:sz w:val="22"/>
        </w:rPr>
        <w:t>као</w:t>
      </w:r>
      <w:proofErr w:type="spellEnd"/>
      <w:r w:rsidR="004D15BC">
        <w:rPr>
          <w:sz w:val="22"/>
        </w:rPr>
        <w:t xml:space="preserve"> </w:t>
      </w:r>
      <w:proofErr w:type="spellStart"/>
      <w:r w:rsidR="004D15BC">
        <w:rPr>
          <w:sz w:val="22"/>
        </w:rPr>
        <w:t>што</w:t>
      </w:r>
      <w:proofErr w:type="spellEnd"/>
      <w:r w:rsidR="004D15BC">
        <w:rPr>
          <w:sz w:val="22"/>
        </w:rPr>
        <w:t xml:space="preserve"> </w:t>
      </w:r>
      <w:proofErr w:type="spellStart"/>
      <w:r w:rsidR="004D15BC">
        <w:rPr>
          <w:sz w:val="22"/>
        </w:rPr>
        <w:t>је</w:t>
      </w:r>
      <w:proofErr w:type="spellEnd"/>
      <w:r w:rsidR="004D15BC">
        <w:rPr>
          <w:sz w:val="22"/>
        </w:rPr>
        <w:t xml:space="preserve"> </w:t>
      </w:r>
      <w:proofErr w:type="spellStart"/>
      <w:r w:rsidR="004D15BC">
        <w:rPr>
          <w:sz w:val="22"/>
        </w:rPr>
        <w:t>био</w:t>
      </w:r>
      <w:proofErr w:type="spellEnd"/>
      <w:r w:rsidR="004D15BC">
        <w:rPr>
          <w:sz w:val="22"/>
        </w:rPr>
        <w:t xml:space="preserve"> </w:t>
      </w:r>
      <w:proofErr w:type="spellStart"/>
      <w:r w:rsidR="004D15BC">
        <w:rPr>
          <w:sz w:val="22"/>
        </w:rPr>
        <w:t>случај</w:t>
      </w:r>
      <w:proofErr w:type="spellEnd"/>
      <w:r w:rsidR="004D15BC">
        <w:rPr>
          <w:sz w:val="22"/>
        </w:rPr>
        <w:t xml:space="preserve"> и у </w:t>
      </w:r>
      <w:proofErr w:type="spellStart"/>
      <w:r w:rsidR="004D15BC">
        <w:rPr>
          <w:sz w:val="22"/>
        </w:rPr>
        <w:t>првом</w:t>
      </w:r>
      <w:proofErr w:type="spellEnd"/>
      <w:r w:rsidR="004D15BC">
        <w:rPr>
          <w:sz w:val="22"/>
        </w:rPr>
        <w:t xml:space="preserve"> </w:t>
      </w:r>
      <w:proofErr w:type="spellStart"/>
      <w:r w:rsidR="004D15BC">
        <w:rPr>
          <w:sz w:val="22"/>
        </w:rPr>
        <w:t>кварталу</w:t>
      </w:r>
      <w:proofErr w:type="spellEnd"/>
      <w:r w:rsidR="004D15BC">
        <w:rPr>
          <w:sz w:val="22"/>
        </w:rPr>
        <w:t>.</w:t>
      </w:r>
    </w:p>
    <w:p w14:paraId="70FED91B" w14:textId="77777777" w:rsidR="00E27F56" w:rsidRPr="00EC0562" w:rsidRDefault="00E27F56" w:rsidP="00EC0562">
      <w:pPr>
        <w:spacing w:line="276" w:lineRule="auto"/>
        <w:ind w:firstLine="709"/>
        <w:jc w:val="both"/>
        <w:rPr>
          <w:sz w:val="22"/>
        </w:rPr>
      </w:pPr>
    </w:p>
    <w:p w14:paraId="7BDBD11F" w14:textId="77777777" w:rsidR="00EC0562" w:rsidRDefault="00EC0562" w:rsidP="00EC0562">
      <w:pPr>
        <w:spacing w:line="276" w:lineRule="auto"/>
        <w:ind w:firstLine="709"/>
        <w:jc w:val="both"/>
        <w:rPr>
          <w:sz w:val="22"/>
        </w:rPr>
      </w:pPr>
      <w:proofErr w:type="spellStart"/>
      <w:r w:rsidRPr="00EC0562">
        <w:rPr>
          <w:sz w:val="22"/>
        </w:rPr>
        <w:t>Посматрано</w:t>
      </w:r>
      <w:proofErr w:type="spellEnd"/>
      <w:r w:rsidRPr="00EC0562">
        <w:rPr>
          <w:sz w:val="22"/>
        </w:rPr>
        <w:t xml:space="preserve"> </w:t>
      </w:r>
      <w:proofErr w:type="spellStart"/>
      <w:r w:rsidRPr="00EC0562">
        <w:rPr>
          <w:sz w:val="22"/>
        </w:rPr>
        <w:t>према</w:t>
      </w:r>
      <w:proofErr w:type="spellEnd"/>
      <w:r w:rsidRPr="00EC0562">
        <w:rPr>
          <w:sz w:val="22"/>
        </w:rPr>
        <w:t xml:space="preserve"> </w:t>
      </w:r>
      <w:proofErr w:type="spellStart"/>
      <w:r w:rsidRPr="00EC0562">
        <w:rPr>
          <w:sz w:val="22"/>
        </w:rPr>
        <w:t>структури</w:t>
      </w:r>
      <w:proofErr w:type="spellEnd"/>
      <w:r w:rsidRPr="00EC0562">
        <w:rPr>
          <w:sz w:val="22"/>
        </w:rPr>
        <w:t xml:space="preserve"> </w:t>
      </w:r>
      <w:proofErr w:type="spellStart"/>
      <w:r w:rsidRPr="00EC0562">
        <w:rPr>
          <w:sz w:val="22"/>
        </w:rPr>
        <w:t>прихода</w:t>
      </w:r>
      <w:proofErr w:type="spellEnd"/>
      <w:r w:rsidRPr="00EC0562">
        <w:rPr>
          <w:sz w:val="22"/>
        </w:rPr>
        <w:t xml:space="preserve">, </w:t>
      </w:r>
      <w:proofErr w:type="spellStart"/>
      <w:r w:rsidRPr="00EC0562">
        <w:rPr>
          <w:sz w:val="22"/>
        </w:rPr>
        <w:t>већи</w:t>
      </w:r>
      <w:proofErr w:type="spellEnd"/>
      <w:r w:rsidRPr="00EC0562">
        <w:rPr>
          <w:sz w:val="22"/>
        </w:rPr>
        <w:t xml:space="preserve"> </w:t>
      </w:r>
      <w:proofErr w:type="spellStart"/>
      <w:r w:rsidRPr="00EC0562">
        <w:rPr>
          <w:sz w:val="22"/>
        </w:rPr>
        <w:t>пад</w:t>
      </w:r>
      <w:proofErr w:type="spellEnd"/>
      <w:r w:rsidRPr="00EC0562">
        <w:rPr>
          <w:sz w:val="22"/>
        </w:rPr>
        <w:t xml:space="preserve"> </w:t>
      </w:r>
      <w:r w:rsidRPr="00EC0562">
        <w:rPr>
          <w:sz w:val="22"/>
          <w:lang w:val="sr-Cyrl-RS"/>
        </w:rPr>
        <w:t xml:space="preserve">реализације </w:t>
      </w:r>
      <w:proofErr w:type="spellStart"/>
      <w:r w:rsidRPr="00EC0562">
        <w:rPr>
          <w:sz w:val="22"/>
        </w:rPr>
        <w:t>забиљежили</w:t>
      </w:r>
      <w:proofErr w:type="spellEnd"/>
      <w:r w:rsidRPr="00EC0562">
        <w:rPr>
          <w:sz w:val="22"/>
        </w:rPr>
        <w:t xml:space="preserve"> </w:t>
      </w:r>
      <w:proofErr w:type="spellStart"/>
      <w:r w:rsidR="00461401">
        <w:rPr>
          <w:sz w:val="22"/>
        </w:rPr>
        <w:t>су</w:t>
      </w:r>
      <w:proofErr w:type="spellEnd"/>
      <w:r w:rsidR="00461401">
        <w:rPr>
          <w:sz w:val="22"/>
        </w:rPr>
        <w:t xml:space="preserve"> </w:t>
      </w:r>
      <w:proofErr w:type="spellStart"/>
      <w:r w:rsidR="00461401">
        <w:rPr>
          <w:sz w:val="22"/>
        </w:rPr>
        <w:t>непореских</w:t>
      </w:r>
      <w:proofErr w:type="spellEnd"/>
      <w:r w:rsidR="00461401">
        <w:rPr>
          <w:sz w:val="22"/>
        </w:rPr>
        <w:t xml:space="preserve"> </w:t>
      </w:r>
      <w:proofErr w:type="spellStart"/>
      <w:r w:rsidR="00461401">
        <w:rPr>
          <w:sz w:val="22"/>
        </w:rPr>
        <w:t>приходи</w:t>
      </w:r>
      <w:proofErr w:type="spellEnd"/>
      <w:r w:rsidR="00FC298E">
        <w:rPr>
          <w:sz w:val="22"/>
        </w:rPr>
        <w:t xml:space="preserve"> (</w:t>
      </w:r>
      <w:r w:rsidR="00461401">
        <w:rPr>
          <w:sz w:val="22"/>
          <w:lang w:val="sr-Cyrl-RS"/>
        </w:rPr>
        <w:t xml:space="preserve">у распону </w:t>
      </w:r>
      <w:proofErr w:type="spellStart"/>
      <w:r w:rsidR="00FC298E">
        <w:rPr>
          <w:sz w:val="22"/>
        </w:rPr>
        <w:t>од</w:t>
      </w:r>
      <w:proofErr w:type="spellEnd"/>
      <w:r w:rsidR="00FC298E">
        <w:rPr>
          <w:sz w:val="22"/>
        </w:rPr>
        <w:t xml:space="preserve"> -48% - </w:t>
      </w:r>
      <w:proofErr w:type="spellStart"/>
      <w:r w:rsidR="00FC298E">
        <w:rPr>
          <w:sz w:val="22"/>
        </w:rPr>
        <w:t>код</w:t>
      </w:r>
      <w:proofErr w:type="spellEnd"/>
      <w:r w:rsidR="00FC298E">
        <w:rPr>
          <w:sz w:val="22"/>
        </w:rPr>
        <w:t xml:space="preserve"> </w:t>
      </w:r>
      <w:proofErr w:type="spellStart"/>
      <w:r w:rsidR="00FC298E">
        <w:rPr>
          <w:sz w:val="22"/>
        </w:rPr>
        <w:t>Фоче</w:t>
      </w:r>
      <w:proofErr w:type="spellEnd"/>
      <w:r w:rsidR="00FC298E">
        <w:rPr>
          <w:sz w:val="22"/>
        </w:rPr>
        <w:t xml:space="preserve">, </w:t>
      </w:r>
      <w:proofErr w:type="spellStart"/>
      <w:r w:rsidR="00FC298E">
        <w:rPr>
          <w:sz w:val="22"/>
        </w:rPr>
        <w:t>до</w:t>
      </w:r>
      <w:proofErr w:type="spellEnd"/>
      <w:r w:rsidR="00FC298E">
        <w:rPr>
          <w:sz w:val="22"/>
        </w:rPr>
        <w:t xml:space="preserve"> -10,3% - </w:t>
      </w:r>
      <w:proofErr w:type="spellStart"/>
      <w:r w:rsidR="00FC298E">
        <w:rPr>
          <w:sz w:val="22"/>
        </w:rPr>
        <w:t>код</w:t>
      </w:r>
      <w:proofErr w:type="spellEnd"/>
      <w:r w:rsidR="00FC298E">
        <w:rPr>
          <w:sz w:val="22"/>
        </w:rPr>
        <w:t xml:space="preserve"> </w:t>
      </w:r>
      <w:proofErr w:type="spellStart"/>
      <w:r w:rsidRPr="00EC0562">
        <w:rPr>
          <w:sz w:val="22"/>
        </w:rPr>
        <w:t>Вишеград</w:t>
      </w:r>
      <w:proofErr w:type="spellEnd"/>
      <w:r w:rsidR="00FC298E">
        <w:rPr>
          <w:sz w:val="22"/>
          <w:lang w:val="sr-Cyrl-RS"/>
        </w:rPr>
        <w:t>а</w:t>
      </w:r>
      <w:r w:rsidRPr="00EC0562">
        <w:rPr>
          <w:sz w:val="22"/>
        </w:rPr>
        <w:t>),</w:t>
      </w:r>
      <w:r w:rsidR="00461401">
        <w:rPr>
          <w:sz w:val="22"/>
        </w:rPr>
        <w:t xml:space="preserve"> </w:t>
      </w:r>
      <w:proofErr w:type="spellStart"/>
      <w:r w:rsidR="00461401">
        <w:rPr>
          <w:sz w:val="22"/>
        </w:rPr>
        <w:t>док</w:t>
      </w:r>
      <w:proofErr w:type="spellEnd"/>
      <w:r w:rsidR="00461401">
        <w:rPr>
          <w:sz w:val="22"/>
        </w:rPr>
        <w:t xml:space="preserve"> </w:t>
      </w:r>
      <w:proofErr w:type="spellStart"/>
      <w:r w:rsidR="00461401">
        <w:rPr>
          <w:sz w:val="22"/>
        </w:rPr>
        <w:t>је</w:t>
      </w:r>
      <w:proofErr w:type="spellEnd"/>
      <w:r w:rsidR="00461401">
        <w:rPr>
          <w:sz w:val="22"/>
        </w:rPr>
        <w:t xml:space="preserve"> </w:t>
      </w:r>
      <w:proofErr w:type="spellStart"/>
      <w:r w:rsidR="00461401">
        <w:rPr>
          <w:sz w:val="22"/>
        </w:rPr>
        <w:t>нешто</w:t>
      </w:r>
      <w:proofErr w:type="spellEnd"/>
      <w:r w:rsidR="00461401">
        <w:rPr>
          <w:sz w:val="22"/>
        </w:rPr>
        <w:t xml:space="preserve"> </w:t>
      </w:r>
      <w:proofErr w:type="spellStart"/>
      <w:r w:rsidR="00461401">
        <w:rPr>
          <w:sz w:val="22"/>
        </w:rPr>
        <w:t>мањи</w:t>
      </w:r>
      <w:proofErr w:type="spellEnd"/>
      <w:r w:rsidR="00461401">
        <w:rPr>
          <w:sz w:val="22"/>
        </w:rPr>
        <w:t xml:space="preserve"> </w:t>
      </w:r>
      <w:proofErr w:type="spellStart"/>
      <w:r w:rsidR="00461401">
        <w:rPr>
          <w:sz w:val="22"/>
        </w:rPr>
        <w:t>пад</w:t>
      </w:r>
      <w:proofErr w:type="spellEnd"/>
      <w:r w:rsidR="00461401">
        <w:rPr>
          <w:sz w:val="22"/>
        </w:rPr>
        <w:t xml:space="preserve"> </w:t>
      </w:r>
      <w:proofErr w:type="spellStart"/>
      <w:r w:rsidR="00461401">
        <w:rPr>
          <w:sz w:val="22"/>
        </w:rPr>
        <w:t>карактерише</w:t>
      </w:r>
      <w:proofErr w:type="spellEnd"/>
      <w:r w:rsidR="00461401">
        <w:rPr>
          <w:sz w:val="22"/>
        </w:rPr>
        <w:t xml:space="preserve">  </w:t>
      </w:r>
      <w:proofErr w:type="spellStart"/>
      <w:r w:rsidR="00461401">
        <w:rPr>
          <w:sz w:val="22"/>
        </w:rPr>
        <w:t>пореске</w:t>
      </w:r>
      <w:proofErr w:type="spellEnd"/>
      <w:r w:rsidR="00461401">
        <w:rPr>
          <w:sz w:val="22"/>
        </w:rPr>
        <w:t xml:space="preserve"> </w:t>
      </w:r>
      <w:proofErr w:type="spellStart"/>
      <w:r w:rsidR="00461401">
        <w:rPr>
          <w:sz w:val="22"/>
        </w:rPr>
        <w:t>приходе</w:t>
      </w:r>
      <w:proofErr w:type="spellEnd"/>
      <w:r w:rsidR="00FC298E">
        <w:rPr>
          <w:sz w:val="22"/>
        </w:rPr>
        <w:t xml:space="preserve"> (</w:t>
      </w:r>
      <w:r w:rsidR="00461401">
        <w:rPr>
          <w:sz w:val="22"/>
          <w:lang w:val="sr-Cyrl-RS"/>
        </w:rPr>
        <w:t xml:space="preserve">у распону од </w:t>
      </w:r>
      <w:r w:rsidR="00FC298E">
        <w:rPr>
          <w:sz w:val="22"/>
        </w:rPr>
        <w:t>-14,2%</w:t>
      </w:r>
      <w:r w:rsidR="00FC298E">
        <w:rPr>
          <w:sz w:val="22"/>
          <w:lang w:val="sr-Cyrl-RS"/>
        </w:rPr>
        <w:t xml:space="preserve"> - </w:t>
      </w:r>
      <w:proofErr w:type="spellStart"/>
      <w:r w:rsidR="00FC298E">
        <w:rPr>
          <w:sz w:val="22"/>
        </w:rPr>
        <w:t>код</w:t>
      </w:r>
      <w:proofErr w:type="spellEnd"/>
      <w:r w:rsidR="00FC298E">
        <w:rPr>
          <w:sz w:val="22"/>
        </w:rPr>
        <w:t xml:space="preserve"> Б. </w:t>
      </w:r>
      <w:proofErr w:type="spellStart"/>
      <w:r w:rsidR="00FC298E">
        <w:rPr>
          <w:sz w:val="22"/>
        </w:rPr>
        <w:t>Луке</w:t>
      </w:r>
      <w:proofErr w:type="spellEnd"/>
      <w:r w:rsidR="00FC298E">
        <w:rPr>
          <w:sz w:val="22"/>
        </w:rPr>
        <w:t xml:space="preserve"> и -12,2% - </w:t>
      </w:r>
      <w:proofErr w:type="spellStart"/>
      <w:r w:rsidR="00FC298E">
        <w:rPr>
          <w:sz w:val="22"/>
        </w:rPr>
        <w:t>код</w:t>
      </w:r>
      <w:proofErr w:type="spellEnd"/>
      <w:r w:rsidR="00FC298E">
        <w:rPr>
          <w:sz w:val="22"/>
        </w:rPr>
        <w:t xml:space="preserve"> </w:t>
      </w:r>
      <w:proofErr w:type="spellStart"/>
      <w:r w:rsidR="00FC298E">
        <w:rPr>
          <w:sz w:val="22"/>
        </w:rPr>
        <w:t>Лак</w:t>
      </w:r>
      <w:r w:rsidR="00131A1D">
        <w:rPr>
          <w:sz w:val="22"/>
        </w:rPr>
        <w:t>таша</w:t>
      </w:r>
      <w:proofErr w:type="spellEnd"/>
      <w:r w:rsidR="00131A1D">
        <w:rPr>
          <w:sz w:val="22"/>
        </w:rPr>
        <w:t xml:space="preserve">, </w:t>
      </w:r>
      <w:proofErr w:type="spellStart"/>
      <w:r w:rsidR="00131A1D">
        <w:rPr>
          <w:sz w:val="22"/>
        </w:rPr>
        <w:t>до</w:t>
      </w:r>
      <w:proofErr w:type="spellEnd"/>
      <w:r w:rsidR="00131A1D">
        <w:rPr>
          <w:sz w:val="22"/>
        </w:rPr>
        <w:t xml:space="preserve"> -9,1</w:t>
      </w:r>
      <w:r w:rsidR="00FC298E">
        <w:rPr>
          <w:sz w:val="22"/>
        </w:rPr>
        <w:t xml:space="preserve">%  - </w:t>
      </w:r>
      <w:proofErr w:type="spellStart"/>
      <w:r w:rsidR="00FC298E">
        <w:rPr>
          <w:sz w:val="22"/>
        </w:rPr>
        <w:t>код</w:t>
      </w:r>
      <w:proofErr w:type="spellEnd"/>
      <w:r w:rsidR="00FC298E">
        <w:rPr>
          <w:sz w:val="22"/>
        </w:rPr>
        <w:t xml:space="preserve"> </w:t>
      </w:r>
      <w:r w:rsidR="00131A1D">
        <w:rPr>
          <w:sz w:val="22"/>
          <w:lang w:val="sr-Cyrl-RS"/>
        </w:rPr>
        <w:t>Фоче</w:t>
      </w:r>
      <w:r w:rsidR="00FC298E">
        <w:rPr>
          <w:sz w:val="22"/>
          <w:lang w:val="sr-Cyrl-RS"/>
        </w:rPr>
        <w:t>)</w:t>
      </w:r>
      <w:r w:rsidRPr="00EC0562">
        <w:rPr>
          <w:sz w:val="22"/>
        </w:rPr>
        <w:t>.</w:t>
      </w:r>
    </w:p>
    <w:p w14:paraId="3AF29D41" w14:textId="77777777" w:rsidR="00F31967" w:rsidRPr="00EC0562" w:rsidRDefault="00F31967" w:rsidP="00EC0562">
      <w:pPr>
        <w:spacing w:line="276" w:lineRule="auto"/>
        <w:ind w:firstLine="709"/>
        <w:jc w:val="both"/>
        <w:rPr>
          <w:sz w:val="22"/>
        </w:rPr>
      </w:pPr>
    </w:p>
    <w:p w14:paraId="08879E5C" w14:textId="77777777" w:rsidR="00E27F56" w:rsidRDefault="00F31967" w:rsidP="00EC0562">
      <w:pPr>
        <w:spacing w:line="276" w:lineRule="auto"/>
        <w:ind w:firstLine="709"/>
        <w:jc w:val="both"/>
        <w:rPr>
          <w:sz w:val="22"/>
          <w:lang w:val="sr-Cyrl-RS"/>
        </w:rPr>
      </w:pPr>
      <w:proofErr w:type="spellStart"/>
      <w:r w:rsidRPr="00F31967">
        <w:rPr>
          <w:sz w:val="22"/>
        </w:rPr>
        <w:t>Према</w:t>
      </w:r>
      <w:proofErr w:type="spellEnd"/>
      <w:r w:rsidRPr="00F31967">
        <w:rPr>
          <w:sz w:val="22"/>
        </w:rPr>
        <w:t xml:space="preserve"> ДОБ-у, у 2019. </w:t>
      </w:r>
      <w:proofErr w:type="spellStart"/>
      <w:r w:rsidRPr="00F31967">
        <w:rPr>
          <w:sz w:val="22"/>
        </w:rPr>
        <w:t>години</w:t>
      </w:r>
      <w:proofErr w:type="spellEnd"/>
      <w:r w:rsidRPr="00F31967">
        <w:rPr>
          <w:sz w:val="22"/>
        </w:rPr>
        <w:t xml:space="preserve"> </w:t>
      </w:r>
      <w:proofErr w:type="spellStart"/>
      <w:r w:rsidRPr="00F31967">
        <w:rPr>
          <w:sz w:val="22"/>
        </w:rPr>
        <w:t>порески</w:t>
      </w:r>
      <w:proofErr w:type="spellEnd"/>
      <w:r w:rsidRPr="00F31967">
        <w:rPr>
          <w:sz w:val="22"/>
        </w:rPr>
        <w:t xml:space="preserve"> </w:t>
      </w:r>
      <w:proofErr w:type="spellStart"/>
      <w:r w:rsidRPr="00F31967">
        <w:rPr>
          <w:sz w:val="22"/>
        </w:rPr>
        <w:t>приходи</w:t>
      </w:r>
      <w:proofErr w:type="spellEnd"/>
      <w:r w:rsidRPr="00F31967">
        <w:rPr>
          <w:sz w:val="22"/>
        </w:rPr>
        <w:t xml:space="preserve"> </w:t>
      </w:r>
      <w:proofErr w:type="spellStart"/>
      <w:r w:rsidRPr="00F31967">
        <w:rPr>
          <w:sz w:val="22"/>
        </w:rPr>
        <w:t>су</w:t>
      </w:r>
      <w:proofErr w:type="spellEnd"/>
      <w:r w:rsidRPr="00F31967">
        <w:rPr>
          <w:sz w:val="22"/>
        </w:rPr>
        <w:t xml:space="preserve"> </w:t>
      </w:r>
      <w:proofErr w:type="spellStart"/>
      <w:r w:rsidRPr="00F31967">
        <w:rPr>
          <w:sz w:val="22"/>
        </w:rPr>
        <w:t>чинили</w:t>
      </w:r>
      <w:proofErr w:type="spellEnd"/>
      <w:r w:rsidRPr="00F31967">
        <w:rPr>
          <w:sz w:val="22"/>
        </w:rPr>
        <w:t xml:space="preserve"> 61% </w:t>
      </w:r>
      <w:proofErr w:type="spellStart"/>
      <w:r w:rsidRPr="00F31967">
        <w:rPr>
          <w:sz w:val="22"/>
        </w:rPr>
        <w:t>свих</w:t>
      </w:r>
      <w:proofErr w:type="spellEnd"/>
      <w:r w:rsidRPr="00F31967">
        <w:rPr>
          <w:sz w:val="22"/>
        </w:rPr>
        <w:t xml:space="preserve"> </w:t>
      </w:r>
      <w:proofErr w:type="spellStart"/>
      <w:r w:rsidRPr="00F31967">
        <w:rPr>
          <w:sz w:val="22"/>
        </w:rPr>
        <w:t>прихода</w:t>
      </w:r>
      <w:proofErr w:type="spellEnd"/>
      <w:r w:rsidRPr="00F31967">
        <w:rPr>
          <w:sz w:val="22"/>
        </w:rPr>
        <w:t xml:space="preserve"> ЈЛС (</w:t>
      </w:r>
      <w:proofErr w:type="spellStart"/>
      <w:r w:rsidRPr="00F31967">
        <w:rPr>
          <w:sz w:val="22"/>
        </w:rPr>
        <w:t>порески</w:t>
      </w:r>
      <w:proofErr w:type="spellEnd"/>
      <w:r w:rsidRPr="00F31967">
        <w:rPr>
          <w:sz w:val="22"/>
        </w:rPr>
        <w:t xml:space="preserve">, </w:t>
      </w:r>
      <w:proofErr w:type="spellStart"/>
      <w:r w:rsidRPr="00F31967">
        <w:rPr>
          <w:sz w:val="22"/>
        </w:rPr>
        <w:t>непорески</w:t>
      </w:r>
      <w:proofErr w:type="spellEnd"/>
      <w:r w:rsidRPr="00F31967">
        <w:rPr>
          <w:sz w:val="22"/>
        </w:rPr>
        <w:t xml:space="preserve">, </w:t>
      </w:r>
      <w:proofErr w:type="spellStart"/>
      <w:r w:rsidRPr="00F31967">
        <w:rPr>
          <w:sz w:val="22"/>
        </w:rPr>
        <w:t>грантови</w:t>
      </w:r>
      <w:proofErr w:type="spellEnd"/>
      <w:r w:rsidRPr="00F31967">
        <w:rPr>
          <w:sz w:val="22"/>
        </w:rPr>
        <w:t xml:space="preserve">, </w:t>
      </w:r>
      <w:proofErr w:type="spellStart"/>
      <w:r w:rsidRPr="00F31967">
        <w:rPr>
          <w:sz w:val="22"/>
        </w:rPr>
        <w:t>трансфери</w:t>
      </w:r>
      <w:proofErr w:type="spellEnd"/>
      <w:r w:rsidRPr="00F31967">
        <w:rPr>
          <w:sz w:val="22"/>
        </w:rPr>
        <w:t xml:space="preserve">), а </w:t>
      </w:r>
      <w:proofErr w:type="spellStart"/>
      <w:r w:rsidRPr="00F31967">
        <w:rPr>
          <w:sz w:val="22"/>
        </w:rPr>
        <w:t>за</w:t>
      </w:r>
      <w:proofErr w:type="spellEnd"/>
      <w:r w:rsidRPr="00F31967">
        <w:rPr>
          <w:sz w:val="22"/>
        </w:rPr>
        <w:t xml:space="preserve"> 2020. </w:t>
      </w:r>
      <w:proofErr w:type="spellStart"/>
      <w:r w:rsidRPr="00F31967">
        <w:rPr>
          <w:sz w:val="22"/>
        </w:rPr>
        <w:t>годину</w:t>
      </w:r>
      <w:proofErr w:type="spellEnd"/>
      <w:r w:rsidRPr="00F31967">
        <w:rPr>
          <w:sz w:val="22"/>
        </w:rPr>
        <w:t xml:space="preserve"> </w:t>
      </w:r>
      <w:proofErr w:type="spellStart"/>
      <w:r w:rsidRPr="00F31967">
        <w:rPr>
          <w:sz w:val="22"/>
        </w:rPr>
        <w:t>су</w:t>
      </w:r>
      <w:proofErr w:type="spellEnd"/>
      <w:r w:rsidRPr="00F31967">
        <w:rPr>
          <w:sz w:val="22"/>
        </w:rPr>
        <w:t xml:space="preserve"> </w:t>
      </w:r>
      <w:proofErr w:type="spellStart"/>
      <w:r w:rsidRPr="00F31967">
        <w:rPr>
          <w:sz w:val="22"/>
        </w:rPr>
        <w:t>пројектовани</w:t>
      </w:r>
      <w:proofErr w:type="spellEnd"/>
      <w:r w:rsidRPr="00F31967">
        <w:rPr>
          <w:sz w:val="22"/>
        </w:rPr>
        <w:t xml:space="preserve"> </w:t>
      </w:r>
      <w:proofErr w:type="spellStart"/>
      <w:r w:rsidRPr="00F31967">
        <w:rPr>
          <w:sz w:val="22"/>
        </w:rPr>
        <w:t>са</w:t>
      </w:r>
      <w:proofErr w:type="spellEnd"/>
      <w:r w:rsidRPr="00F31967">
        <w:rPr>
          <w:sz w:val="22"/>
        </w:rPr>
        <w:t xml:space="preserve"> 58,7%. </w:t>
      </w:r>
      <w:proofErr w:type="spellStart"/>
      <w:r w:rsidRPr="00F31967">
        <w:rPr>
          <w:sz w:val="22"/>
        </w:rPr>
        <w:t>Управо</w:t>
      </w:r>
      <w:proofErr w:type="spellEnd"/>
      <w:r w:rsidRPr="00F31967">
        <w:rPr>
          <w:sz w:val="22"/>
        </w:rPr>
        <w:t xml:space="preserve"> </w:t>
      </w:r>
      <w:proofErr w:type="spellStart"/>
      <w:r w:rsidRPr="00F31967">
        <w:rPr>
          <w:sz w:val="22"/>
        </w:rPr>
        <w:t>ови</w:t>
      </w:r>
      <w:proofErr w:type="spellEnd"/>
      <w:r w:rsidRPr="00F31967">
        <w:rPr>
          <w:sz w:val="22"/>
        </w:rPr>
        <w:t xml:space="preserve"> </w:t>
      </w:r>
      <w:proofErr w:type="spellStart"/>
      <w:r w:rsidRPr="00F31967">
        <w:rPr>
          <w:sz w:val="22"/>
        </w:rPr>
        <w:t>приходи</w:t>
      </w:r>
      <w:proofErr w:type="spellEnd"/>
      <w:r w:rsidRPr="00F31967">
        <w:rPr>
          <w:sz w:val="22"/>
        </w:rPr>
        <w:t xml:space="preserve"> </w:t>
      </w:r>
      <w:proofErr w:type="spellStart"/>
      <w:r w:rsidRPr="00F31967">
        <w:rPr>
          <w:sz w:val="22"/>
        </w:rPr>
        <w:t>који</w:t>
      </w:r>
      <w:proofErr w:type="spellEnd"/>
      <w:r w:rsidRPr="00F31967">
        <w:rPr>
          <w:sz w:val="22"/>
        </w:rPr>
        <w:t xml:space="preserve"> </w:t>
      </w:r>
      <w:proofErr w:type="spellStart"/>
      <w:r w:rsidRPr="00F31967">
        <w:rPr>
          <w:sz w:val="22"/>
        </w:rPr>
        <w:t>доминирају</w:t>
      </w:r>
      <w:proofErr w:type="spellEnd"/>
      <w:r w:rsidRPr="00F31967">
        <w:rPr>
          <w:sz w:val="22"/>
        </w:rPr>
        <w:t xml:space="preserve"> </w:t>
      </w:r>
      <w:proofErr w:type="spellStart"/>
      <w:r w:rsidRPr="00F31967">
        <w:rPr>
          <w:sz w:val="22"/>
        </w:rPr>
        <w:t>као</w:t>
      </w:r>
      <w:proofErr w:type="spellEnd"/>
      <w:r w:rsidRPr="00F31967">
        <w:rPr>
          <w:sz w:val="22"/>
        </w:rPr>
        <w:t xml:space="preserve"> </w:t>
      </w:r>
      <w:proofErr w:type="spellStart"/>
      <w:r w:rsidRPr="00F31967">
        <w:rPr>
          <w:sz w:val="22"/>
        </w:rPr>
        <w:t>изво</w:t>
      </w:r>
      <w:r w:rsidR="00F94B30">
        <w:rPr>
          <w:sz w:val="22"/>
        </w:rPr>
        <w:t>р</w:t>
      </w:r>
      <w:proofErr w:type="spellEnd"/>
      <w:r w:rsidR="00F94B30">
        <w:rPr>
          <w:sz w:val="22"/>
        </w:rPr>
        <w:t xml:space="preserve"> </w:t>
      </w:r>
      <w:proofErr w:type="spellStart"/>
      <w:r w:rsidR="00F94B30">
        <w:rPr>
          <w:sz w:val="22"/>
        </w:rPr>
        <w:t>финансирања</w:t>
      </w:r>
      <w:proofErr w:type="spellEnd"/>
      <w:r w:rsidR="00F94B30">
        <w:rPr>
          <w:sz w:val="22"/>
        </w:rPr>
        <w:t xml:space="preserve"> ЈЛС, </w:t>
      </w:r>
      <w:proofErr w:type="spellStart"/>
      <w:r w:rsidR="00F94B30">
        <w:rPr>
          <w:sz w:val="22"/>
        </w:rPr>
        <w:t>показали</w:t>
      </w:r>
      <w:proofErr w:type="spellEnd"/>
      <w:r w:rsidR="00F94B30">
        <w:rPr>
          <w:sz w:val="22"/>
        </w:rPr>
        <w:t xml:space="preserve"> </w:t>
      </w:r>
      <w:proofErr w:type="spellStart"/>
      <w:r w:rsidR="00F94B30">
        <w:rPr>
          <w:sz w:val="22"/>
        </w:rPr>
        <w:t>су</w:t>
      </w:r>
      <w:proofErr w:type="spellEnd"/>
      <w:r w:rsidR="00F94B30">
        <w:rPr>
          <w:sz w:val="22"/>
        </w:rPr>
        <w:t xml:space="preserve"> </w:t>
      </w:r>
      <w:r w:rsidRPr="00F31967">
        <w:rPr>
          <w:sz w:val="22"/>
        </w:rPr>
        <w:t xml:space="preserve"> </w:t>
      </w:r>
      <w:proofErr w:type="spellStart"/>
      <w:r w:rsidRPr="00F31967">
        <w:rPr>
          <w:sz w:val="22"/>
        </w:rPr>
        <w:t>изразито</w:t>
      </w:r>
      <w:proofErr w:type="spellEnd"/>
      <w:r w:rsidRPr="00F31967">
        <w:rPr>
          <w:sz w:val="22"/>
        </w:rPr>
        <w:t xml:space="preserve"> </w:t>
      </w:r>
      <w:proofErr w:type="spellStart"/>
      <w:r w:rsidRPr="00F31967">
        <w:rPr>
          <w:sz w:val="22"/>
        </w:rPr>
        <w:t>смањење</w:t>
      </w:r>
      <w:proofErr w:type="spellEnd"/>
      <w:r w:rsidRPr="00F31967">
        <w:rPr>
          <w:sz w:val="22"/>
        </w:rPr>
        <w:t xml:space="preserve"> </w:t>
      </w:r>
      <w:proofErr w:type="spellStart"/>
      <w:r w:rsidRPr="00F31967">
        <w:rPr>
          <w:sz w:val="22"/>
        </w:rPr>
        <w:t>током</w:t>
      </w:r>
      <w:proofErr w:type="spellEnd"/>
      <w:r w:rsidRPr="00F31967">
        <w:rPr>
          <w:sz w:val="22"/>
        </w:rPr>
        <w:t xml:space="preserve"> </w:t>
      </w:r>
      <w:proofErr w:type="spellStart"/>
      <w:r w:rsidRPr="00F31967">
        <w:rPr>
          <w:sz w:val="22"/>
        </w:rPr>
        <w:t>пандемије</w:t>
      </w:r>
      <w:proofErr w:type="spellEnd"/>
      <w:r w:rsidRPr="00F31967">
        <w:rPr>
          <w:sz w:val="22"/>
        </w:rPr>
        <w:t xml:space="preserve">. </w:t>
      </w:r>
      <w:proofErr w:type="spellStart"/>
      <w:r w:rsidRPr="00F31967">
        <w:rPr>
          <w:sz w:val="22"/>
        </w:rPr>
        <w:t>Драматичан</w:t>
      </w:r>
      <w:proofErr w:type="spellEnd"/>
      <w:r w:rsidRPr="00F31967">
        <w:rPr>
          <w:sz w:val="22"/>
        </w:rPr>
        <w:t xml:space="preserve"> </w:t>
      </w:r>
      <w:proofErr w:type="spellStart"/>
      <w:r w:rsidRPr="00F31967">
        <w:rPr>
          <w:sz w:val="22"/>
        </w:rPr>
        <w:t>пад</w:t>
      </w:r>
      <w:proofErr w:type="spellEnd"/>
      <w:r w:rsidRPr="00F31967">
        <w:rPr>
          <w:sz w:val="22"/>
        </w:rPr>
        <w:t xml:space="preserve"> </w:t>
      </w:r>
      <w:proofErr w:type="spellStart"/>
      <w:r w:rsidRPr="00F31967">
        <w:rPr>
          <w:sz w:val="22"/>
        </w:rPr>
        <w:t>је</w:t>
      </w:r>
      <w:proofErr w:type="spellEnd"/>
      <w:r w:rsidRPr="00F31967">
        <w:rPr>
          <w:sz w:val="22"/>
        </w:rPr>
        <w:t xml:space="preserve"> </w:t>
      </w:r>
      <w:proofErr w:type="spellStart"/>
      <w:r w:rsidRPr="00F31967">
        <w:rPr>
          <w:sz w:val="22"/>
        </w:rPr>
        <w:t>био</w:t>
      </w:r>
      <w:proofErr w:type="spellEnd"/>
      <w:r w:rsidRPr="00F31967">
        <w:rPr>
          <w:sz w:val="22"/>
        </w:rPr>
        <w:t xml:space="preserve"> у </w:t>
      </w:r>
      <w:proofErr w:type="spellStart"/>
      <w:r w:rsidRPr="00F31967">
        <w:rPr>
          <w:sz w:val="22"/>
        </w:rPr>
        <w:t>априлу</w:t>
      </w:r>
      <w:proofErr w:type="spellEnd"/>
      <w:r w:rsidRPr="00F31967">
        <w:rPr>
          <w:sz w:val="22"/>
        </w:rPr>
        <w:t xml:space="preserve">, </w:t>
      </w:r>
      <w:proofErr w:type="spellStart"/>
      <w:r w:rsidRPr="00F31967">
        <w:rPr>
          <w:sz w:val="22"/>
        </w:rPr>
        <w:t>када</w:t>
      </w:r>
      <w:proofErr w:type="spellEnd"/>
      <w:r w:rsidRPr="00F31967">
        <w:rPr>
          <w:sz w:val="22"/>
        </w:rPr>
        <w:t xml:space="preserve"> </w:t>
      </w:r>
      <w:proofErr w:type="spellStart"/>
      <w:r w:rsidRPr="00F31967">
        <w:rPr>
          <w:sz w:val="22"/>
        </w:rPr>
        <w:t>с</w:t>
      </w:r>
      <w:r>
        <w:rPr>
          <w:sz w:val="22"/>
        </w:rPr>
        <w:t>у</w:t>
      </w:r>
      <w:proofErr w:type="spellEnd"/>
      <w:r>
        <w:rPr>
          <w:sz w:val="22"/>
        </w:rPr>
        <w:t xml:space="preserve"> </w:t>
      </w:r>
      <w:proofErr w:type="spellStart"/>
      <w:r>
        <w:rPr>
          <w:sz w:val="22"/>
        </w:rPr>
        <w:t>скоро</w:t>
      </w:r>
      <w:proofErr w:type="spellEnd"/>
      <w:r>
        <w:rPr>
          <w:sz w:val="22"/>
        </w:rPr>
        <w:t xml:space="preserve"> </w:t>
      </w:r>
      <w:proofErr w:type="spellStart"/>
      <w:r>
        <w:rPr>
          <w:sz w:val="22"/>
        </w:rPr>
        <w:t>преполовљени</w:t>
      </w:r>
      <w:proofErr w:type="spellEnd"/>
      <w:r w:rsidRPr="00F31967">
        <w:rPr>
          <w:sz w:val="22"/>
        </w:rPr>
        <w:t xml:space="preserve">. </w:t>
      </w:r>
      <w:proofErr w:type="spellStart"/>
      <w:r w:rsidRPr="00F31967">
        <w:rPr>
          <w:sz w:val="22"/>
        </w:rPr>
        <w:t>Након</w:t>
      </w:r>
      <w:proofErr w:type="spellEnd"/>
      <w:r w:rsidRPr="00F31967">
        <w:rPr>
          <w:sz w:val="22"/>
        </w:rPr>
        <w:t xml:space="preserve"> </w:t>
      </w:r>
      <w:proofErr w:type="spellStart"/>
      <w:r w:rsidRPr="00F31967">
        <w:rPr>
          <w:sz w:val="22"/>
        </w:rPr>
        <w:t>тога</w:t>
      </w:r>
      <w:proofErr w:type="spellEnd"/>
      <w:r w:rsidRPr="00F31967">
        <w:rPr>
          <w:sz w:val="22"/>
        </w:rPr>
        <w:t xml:space="preserve">, </w:t>
      </w:r>
      <w:proofErr w:type="spellStart"/>
      <w:r w:rsidRPr="00F31967">
        <w:rPr>
          <w:sz w:val="22"/>
        </w:rPr>
        <w:t>слиједи</w:t>
      </w:r>
      <w:proofErr w:type="spellEnd"/>
      <w:r w:rsidRPr="00F31967">
        <w:rPr>
          <w:sz w:val="22"/>
        </w:rPr>
        <w:t xml:space="preserve"> </w:t>
      </w:r>
      <w:proofErr w:type="spellStart"/>
      <w:r w:rsidRPr="00F31967">
        <w:rPr>
          <w:sz w:val="22"/>
        </w:rPr>
        <w:t>опоравак</w:t>
      </w:r>
      <w:proofErr w:type="spellEnd"/>
      <w:r w:rsidRPr="00F31967">
        <w:rPr>
          <w:sz w:val="22"/>
        </w:rPr>
        <w:t xml:space="preserve"> </w:t>
      </w:r>
      <w:proofErr w:type="spellStart"/>
      <w:r w:rsidRPr="00F31967">
        <w:rPr>
          <w:sz w:val="22"/>
        </w:rPr>
        <w:t>али</w:t>
      </w:r>
      <w:proofErr w:type="spellEnd"/>
      <w:r w:rsidRPr="00F31967">
        <w:rPr>
          <w:sz w:val="22"/>
        </w:rPr>
        <w:t xml:space="preserve"> и </w:t>
      </w:r>
      <w:proofErr w:type="spellStart"/>
      <w:r w:rsidRPr="00F31967">
        <w:rPr>
          <w:sz w:val="22"/>
        </w:rPr>
        <w:t>даље</w:t>
      </w:r>
      <w:proofErr w:type="spellEnd"/>
      <w:r w:rsidRPr="00F31967">
        <w:rPr>
          <w:sz w:val="22"/>
        </w:rPr>
        <w:t xml:space="preserve"> и </w:t>
      </w:r>
      <w:proofErr w:type="spellStart"/>
      <w:r w:rsidRPr="00F31967">
        <w:rPr>
          <w:sz w:val="22"/>
        </w:rPr>
        <w:t>није</w:t>
      </w:r>
      <w:proofErr w:type="spellEnd"/>
      <w:r w:rsidRPr="00F31967">
        <w:rPr>
          <w:sz w:val="22"/>
        </w:rPr>
        <w:t xml:space="preserve"> </w:t>
      </w:r>
      <w:proofErr w:type="spellStart"/>
      <w:r w:rsidRPr="00F31967">
        <w:rPr>
          <w:sz w:val="22"/>
        </w:rPr>
        <w:t>достигнут</w:t>
      </w:r>
      <w:proofErr w:type="spellEnd"/>
      <w:r w:rsidRPr="00F31967">
        <w:rPr>
          <w:sz w:val="22"/>
        </w:rPr>
        <w:t xml:space="preserve"> </w:t>
      </w:r>
      <w:proofErr w:type="spellStart"/>
      <w:r w:rsidRPr="00F31967">
        <w:rPr>
          <w:sz w:val="22"/>
        </w:rPr>
        <w:t>ниво</w:t>
      </w:r>
      <w:proofErr w:type="spellEnd"/>
      <w:r w:rsidRPr="00F31967">
        <w:rPr>
          <w:sz w:val="22"/>
        </w:rPr>
        <w:t xml:space="preserve"> </w:t>
      </w:r>
      <w:proofErr w:type="spellStart"/>
      <w:r w:rsidRPr="00F31967">
        <w:rPr>
          <w:sz w:val="22"/>
        </w:rPr>
        <w:t>из</w:t>
      </w:r>
      <w:proofErr w:type="spellEnd"/>
      <w:r w:rsidRPr="00F31967">
        <w:rPr>
          <w:sz w:val="22"/>
        </w:rPr>
        <w:t xml:space="preserve"> 2019. </w:t>
      </w:r>
      <w:proofErr w:type="spellStart"/>
      <w:r w:rsidRPr="00F31967">
        <w:rPr>
          <w:sz w:val="22"/>
        </w:rPr>
        <w:t>године</w:t>
      </w:r>
      <w:proofErr w:type="spellEnd"/>
      <w:r>
        <w:rPr>
          <w:sz w:val="22"/>
          <w:lang w:val="sr-Cyrl-RS"/>
        </w:rPr>
        <w:t>.</w:t>
      </w:r>
    </w:p>
    <w:p w14:paraId="55D2D76F" w14:textId="77777777" w:rsidR="00F31967" w:rsidRPr="00F31967" w:rsidRDefault="00F31967" w:rsidP="00EC0562">
      <w:pPr>
        <w:spacing w:line="276" w:lineRule="auto"/>
        <w:ind w:firstLine="709"/>
        <w:jc w:val="both"/>
        <w:rPr>
          <w:sz w:val="22"/>
          <w:lang w:val="sr-Cyrl-RS"/>
        </w:rPr>
      </w:pPr>
    </w:p>
    <w:p w14:paraId="149F9704" w14:textId="77777777" w:rsidR="00EC0562" w:rsidRPr="00EC0562" w:rsidRDefault="00EC0562" w:rsidP="00EC0562">
      <w:pPr>
        <w:spacing w:line="276" w:lineRule="auto"/>
        <w:ind w:firstLine="709"/>
        <w:jc w:val="both"/>
        <w:rPr>
          <w:sz w:val="22"/>
        </w:rPr>
      </w:pPr>
      <w:proofErr w:type="spellStart"/>
      <w:r w:rsidRPr="00EC0562">
        <w:rPr>
          <w:sz w:val="22"/>
        </w:rPr>
        <w:t>Код</w:t>
      </w:r>
      <w:proofErr w:type="spellEnd"/>
      <w:r w:rsidRPr="00EC0562">
        <w:rPr>
          <w:sz w:val="22"/>
        </w:rPr>
        <w:t xml:space="preserve"> </w:t>
      </w:r>
      <w:proofErr w:type="spellStart"/>
      <w:r w:rsidRPr="00EC0562">
        <w:rPr>
          <w:sz w:val="22"/>
        </w:rPr>
        <w:t>свих</w:t>
      </w:r>
      <w:proofErr w:type="spellEnd"/>
      <w:r w:rsidRPr="00EC0562">
        <w:rPr>
          <w:sz w:val="22"/>
        </w:rPr>
        <w:t xml:space="preserve"> </w:t>
      </w:r>
      <w:r w:rsidR="00F31967">
        <w:rPr>
          <w:sz w:val="22"/>
          <w:lang w:val="sr-Cyrl-RS"/>
        </w:rPr>
        <w:t xml:space="preserve">анкетираних </w:t>
      </w:r>
      <w:r w:rsidRPr="00EC0562">
        <w:rPr>
          <w:sz w:val="22"/>
        </w:rPr>
        <w:t xml:space="preserve">ЈЛС, </w:t>
      </w:r>
      <w:proofErr w:type="spellStart"/>
      <w:r w:rsidRPr="00EC0562">
        <w:rPr>
          <w:sz w:val="22"/>
        </w:rPr>
        <w:t>забиљежен</w:t>
      </w:r>
      <w:proofErr w:type="spellEnd"/>
      <w:r w:rsidRPr="00EC0562">
        <w:rPr>
          <w:sz w:val="22"/>
        </w:rPr>
        <w:t xml:space="preserve"> </w:t>
      </w:r>
      <w:proofErr w:type="spellStart"/>
      <w:r w:rsidRPr="00EC0562">
        <w:rPr>
          <w:sz w:val="22"/>
        </w:rPr>
        <w:t>је</w:t>
      </w:r>
      <w:proofErr w:type="spellEnd"/>
      <w:r w:rsidRPr="00EC0562">
        <w:rPr>
          <w:sz w:val="22"/>
        </w:rPr>
        <w:t xml:space="preserve"> </w:t>
      </w:r>
      <w:proofErr w:type="spellStart"/>
      <w:r w:rsidRPr="00EC0562">
        <w:rPr>
          <w:sz w:val="22"/>
        </w:rPr>
        <w:t>пад</w:t>
      </w:r>
      <w:proofErr w:type="spellEnd"/>
      <w:r w:rsidRPr="00EC0562">
        <w:rPr>
          <w:sz w:val="22"/>
        </w:rPr>
        <w:t xml:space="preserve"> </w:t>
      </w:r>
      <w:proofErr w:type="spellStart"/>
      <w:r w:rsidRPr="00EC0562">
        <w:rPr>
          <w:sz w:val="22"/>
        </w:rPr>
        <w:t>прихода</w:t>
      </w:r>
      <w:proofErr w:type="spellEnd"/>
      <w:r w:rsidRPr="00EC0562">
        <w:rPr>
          <w:sz w:val="22"/>
        </w:rPr>
        <w:t xml:space="preserve"> </w:t>
      </w:r>
      <w:proofErr w:type="spellStart"/>
      <w:r w:rsidRPr="00EC0562">
        <w:rPr>
          <w:sz w:val="22"/>
        </w:rPr>
        <w:t>од</w:t>
      </w:r>
      <w:proofErr w:type="spellEnd"/>
      <w:r w:rsidRPr="00EC0562">
        <w:rPr>
          <w:sz w:val="22"/>
        </w:rPr>
        <w:t xml:space="preserve"> </w:t>
      </w:r>
      <w:proofErr w:type="spellStart"/>
      <w:r w:rsidRPr="00EC0562">
        <w:rPr>
          <w:sz w:val="22"/>
        </w:rPr>
        <w:t>индиректних</w:t>
      </w:r>
      <w:proofErr w:type="spellEnd"/>
      <w:r w:rsidRPr="00EC0562">
        <w:rPr>
          <w:sz w:val="22"/>
        </w:rPr>
        <w:t xml:space="preserve"> </w:t>
      </w:r>
      <w:proofErr w:type="spellStart"/>
      <w:r w:rsidRPr="00EC0562">
        <w:rPr>
          <w:sz w:val="22"/>
        </w:rPr>
        <w:t>пореза</w:t>
      </w:r>
      <w:proofErr w:type="spellEnd"/>
      <w:r w:rsidRPr="00EC0562">
        <w:rPr>
          <w:sz w:val="22"/>
        </w:rPr>
        <w:t xml:space="preserve">, у </w:t>
      </w:r>
      <w:proofErr w:type="spellStart"/>
      <w:r w:rsidR="00ED65A4">
        <w:rPr>
          <w:sz w:val="22"/>
          <w:lang w:val="sr-Cyrl-RS"/>
        </w:rPr>
        <w:t>просјеку</w:t>
      </w:r>
      <w:proofErr w:type="spellEnd"/>
      <w:r w:rsidR="00D36F4E">
        <w:rPr>
          <w:sz w:val="22"/>
        </w:rPr>
        <w:t xml:space="preserve"> </w:t>
      </w:r>
      <w:r w:rsidR="00D36F4E">
        <w:rPr>
          <w:sz w:val="22"/>
          <w:lang w:val="sr-Cyrl-RS"/>
        </w:rPr>
        <w:t xml:space="preserve">око </w:t>
      </w:r>
      <w:r w:rsidRPr="00EC0562">
        <w:rPr>
          <w:sz w:val="22"/>
        </w:rPr>
        <w:t xml:space="preserve">-6,6%, а </w:t>
      </w:r>
      <w:proofErr w:type="spellStart"/>
      <w:r w:rsidRPr="00EC0562">
        <w:rPr>
          <w:sz w:val="22"/>
        </w:rPr>
        <w:t>номинално</w:t>
      </w:r>
      <w:proofErr w:type="spellEnd"/>
      <w:r w:rsidRPr="00EC0562">
        <w:rPr>
          <w:sz w:val="22"/>
        </w:rPr>
        <w:t xml:space="preserve"> </w:t>
      </w:r>
      <w:proofErr w:type="spellStart"/>
      <w:r w:rsidRPr="00EC0562">
        <w:rPr>
          <w:sz w:val="22"/>
        </w:rPr>
        <w:t>посматрано</w:t>
      </w:r>
      <w:proofErr w:type="spellEnd"/>
      <w:r w:rsidRPr="00EC0562">
        <w:rPr>
          <w:sz w:val="22"/>
        </w:rPr>
        <w:t xml:space="preserve">, </w:t>
      </w:r>
      <w:proofErr w:type="spellStart"/>
      <w:r w:rsidRPr="00EC0562">
        <w:rPr>
          <w:sz w:val="22"/>
        </w:rPr>
        <w:t>највећи</w:t>
      </w:r>
      <w:proofErr w:type="spellEnd"/>
      <w:r w:rsidRPr="00EC0562">
        <w:rPr>
          <w:sz w:val="22"/>
        </w:rPr>
        <w:t xml:space="preserve"> </w:t>
      </w:r>
      <w:proofErr w:type="spellStart"/>
      <w:r w:rsidRPr="00EC0562">
        <w:rPr>
          <w:sz w:val="22"/>
        </w:rPr>
        <w:t>пад</w:t>
      </w:r>
      <w:proofErr w:type="spellEnd"/>
      <w:r w:rsidRPr="00EC0562">
        <w:rPr>
          <w:sz w:val="22"/>
        </w:rPr>
        <w:t xml:space="preserve"> </w:t>
      </w:r>
      <w:r w:rsidR="00D36F4E">
        <w:rPr>
          <w:sz w:val="22"/>
          <w:lang w:val="sr-Cyrl-RS"/>
        </w:rPr>
        <w:t xml:space="preserve">остварила </w:t>
      </w:r>
      <w:proofErr w:type="spellStart"/>
      <w:r w:rsidRPr="00EC0562">
        <w:rPr>
          <w:sz w:val="22"/>
        </w:rPr>
        <w:t>је</w:t>
      </w:r>
      <w:proofErr w:type="spellEnd"/>
      <w:r w:rsidR="00D36F4E">
        <w:rPr>
          <w:sz w:val="22"/>
        </w:rPr>
        <w:t xml:space="preserve"> </w:t>
      </w:r>
      <w:proofErr w:type="spellStart"/>
      <w:r w:rsidR="00D36F4E">
        <w:rPr>
          <w:sz w:val="22"/>
        </w:rPr>
        <w:t>Бања</w:t>
      </w:r>
      <w:proofErr w:type="spellEnd"/>
      <w:r w:rsidR="00D36F4E">
        <w:rPr>
          <w:sz w:val="22"/>
        </w:rPr>
        <w:t xml:space="preserve"> </w:t>
      </w:r>
      <w:proofErr w:type="spellStart"/>
      <w:r w:rsidR="00D36F4E">
        <w:rPr>
          <w:sz w:val="22"/>
        </w:rPr>
        <w:t>Лука</w:t>
      </w:r>
      <w:proofErr w:type="spellEnd"/>
      <w:r w:rsidR="00D36F4E">
        <w:rPr>
          <w:sz w:val="22"/>
        </w:rPr>
        <w:t xml:space="preserve">, у </w:t>
      </w:r>
      <w:proofErr w:type="spellStart"/>
      <w:r w:rsidR="00D36F4E">
        <w:rPr>
          <w:sz w:val="22"/>
        </w:rPr>
        <w:t>износу</w:t>
      </w:r>
      <w:proofErr w:type="spellEnd"/>
      <w:r w:rsidR="00D36F4E">
        <w:rPr>
          <w:sz w:val="22"/>
        </w:rPr>
        <w:t xml:space="preserve"> </w:t>
      </w:r>
      <w:proofErr w:type="spellStart"/>
      <w:r w:rsidR="00D36F4E">
        <w:rPr>
          <w:sz w:val="22"/>
        </w:rPr>
        <w:t>од</w:t>
      </w:r>
      <w:proofErr w:type="spellEnd"/>
      <w:r w:rsidR="00D36F4E">
        <w:rPr>
          <w:sz w:val="22"/>
        </w:rPr>
        <w:t xml:space="preserve"> -</w:t>
      </w:r>
      <w:r w:rsidRPr="00EC0562">
        <w:rPr>
          <w:sz w:val="22"/>
        </w:rPr>
        <w:t xml:space="preserve">1,5 </w:t>
      </w:r>
      <w:proofErr w:type="spellStart"/>
      <w:r w:rsidRPr="00EC0562">
        <w:rPr>
          <w:sz w:val="22"/>
        </w:rPr>
        <w:t>милиона</w:t>
      </w:r>
      <w:proofErr w:type="spellEnd"/>
      <w:r w:rsidRPr="00EC0562">
        <w:rPr>
          <w:sz w:val="22"/>
        </w:rPr>
        <w:t xml:space="preserve"> КМ</w:t>
      </w:r>
      <w:r w:rsidR="00461401">
        <w:rPr>
          <w:sz w:val="22"/>
          <w:lang w:val="sr-Cyrl-RS"/>
        </w:rPr>
        <w:t xml:space="preserve">, </w:t>
      </w:r>
      <w:r w:rsidRPr="00EC0562">
        <w:rPr>
          <w:sz w:val="22"/>
        </w:rPr>
        <w:t xml:space="preserve"> </w:t>
      </w:r>
      <w:proofErr w:type="spellStart"/>
      <w:r w:rsidRPr="00EC0562">
        <w:rPr>
          <w:sz w:val="22"/>
        </w:rPr>
        <w:t>те</w:t>
      </w:r>
      <w:proofErr w:type="spellEnd"/>
      <w:r w:rsidRPr="00EC0562">
        <w:rPr>
          <w:sz w:val="22"/>
        </w:rPr>
        <w:t xml:space="preserve"> </w:t>
      </w:r>
      <w:proofErr w:type="spellStart"/>
      <w:r w:rsidRPr="00EC0562">
        <w:rPr>
          <w:sz w:val="22"/>
        </w:rPr>
        <w:t>Приједор</w:t>
      </w:r>
      <w:proofErr w:type="spellEnd"/>
      <w:r w:rsidRPr="00EC0562">
        <w:rPr>
          <w:sz w:val="22"/>
        </w:rPr>
        <w:t xml:space="preserve">, у </w:t>
      </w:r>
      <w:proofErr w:type="spellStart"/>
      <w:r w:rsidRPr="00EC0562">
        <w:rPr>
          <w:sz w:val="22"/>
        </w:rPr>
        <w:t>износу</w:t>
      </w:r>
      <w:proofErr w:type="spellEnd"/>
      <w:r w:rsidRPr="00EC0562">
        <w:rPr>
          <w:sz w:val="22"/>
        </w:rPr>
        <w:t xml:space="preserve"> </w:t>
      </w:r>
      <w:proofErr w:type="spellStart"/>
      <w:r w:rsidRPr="00EC0562">
        <w:rPr>
          <w:sz w:val="22"/>
        </w:rPr>
        <w:t>од</w:t>
      </w:r>
      <w:proofErr w:type="spellEnd"/>
      <w:r w:rsidRPr="00EC0562">
        <w:rPr>
          <w:sz w:val="22"/>
        </w:rPr>
        <w:t xml:space="preserve"> </w:t>
      </w:r>
      <w:r w:rsidR="00D36F4E">
        <w:rPr>
          <w:sz w:val="22"/>
          <w:lang w:val="sr-Cyrl-RS"/>
        </w:rPr>
        <w:t>-</w:t>
      </w:r>
      <w:r w:rsidRPr="00EC0562">
        <w:rPr>
          <w:sz w:val="22"/>
        </w:rPr>
        <w:t>0,7</w:t>
      </w:r>
      <w:r w:rsidR="00461401">
        <w:rPr>
          <w:sz w:val="22"/>
          <w:lang w:val="sr-Cyrl-RS"/>
        </w:rPr>
        <w:t>1</w:t>
      </w:r>
      <w:r w:rsidRPr="00EC0562">
        <w:rPr>
          <w:sz w:val="22"/>
        </w:rPr>
        <w:t xml:space="preserve"> </w:t>
      </w:r>
      <w:proofErr w:type="spellStart"/>
      <w:r w:rsidRPr="00EC0562">
        <w:rPr>
          <w:sz w:val="22"/>
        </w:rPr>
        <w:t>милиона</w:t>
      </w:r>
      <w:proofErr w:type="spellEnd"/>
      <w:r w:rsidRPr="00EC0562">
        <w:rPr>
          <w:sz w:val="22"/>
        </w:rPr>
        <w:t xml:space="preserve"> КМ.</w:t>
      </w:r>
    </w:p>
    <w:p w14:paraId="49713830" w14:textId="77777777" w:rsidR="00E27F56" w:rsidRDefault="00E27F56" w:rsidP="00EC0562">
      <w:pPr>
        <w:spacing w:line="276" w:lineRule="auto"/>
        <w:ind w:firstLine="709"/>
        <w:jc w:val="both"/>
        <w:rPr>
          <w:sz w:val="22"/>
        </w:rPr>
      </w:pPr>
    </w:p>
    <w:p w14:paraId="17856B12" w14:textId="77777777" w:rsidR="00EC0562" w:rsidRPr="00EC0562" w:rsidRDefault="00EC0562" w:rsidP="00EC0562">
      <w:pPr>
        <w:spacing w:line="276" w:lineRule="auto"/>
        <w:ind w:firstLine="709"/>
        <w:jc w:val="both"/>
        <w:rPr>
          <w:sz w:val="22"/>
        </w:rPr>
      </w:pPr>
      <w:proofErr w:type="spellStart"/>
      <w:r w:rsidRPr="00EC0562">
        <w:rPr>
          <w:sz w:val="22"/>
        </w:rPr>
        <w:t>Приходи</w:t>
      </w:r>
      <w:proofErr w:type="spellEnd"/>
      <w:r w:rsidRPr="00EC0562">
        <w:rPr>
          <w:sz w:val="22"/>
        </w:rPr>
        <w:t xml:space="preserve"> </w:t>
      </w:r>
      <w:proofErr w:type="spellStart"/>
      <w:r w:rsidRPr="00EC0562">
        <w:rPr>
          <w:sz w:val="22"/>
        </w:rPr>
        <w:t>од</w:t>
      </w:r>
      <w:proofErr w:type="spellEnd"/>
      <w:r w:rsidRPr="00EC0562">
        <w:rPr>
          <w:sz w:val="22"/>
        </w:rPr>
        <w:t xml:space="preserve"> </w:t>
      </w:r>
      <w:proofErr w:type="spellStart"/>
      <w:r w:rsidRPr="00EC0562">
        <w:rPr>
          <w:sz w:val="22"/>
        </w:rPr>
        <w:t>пореза</w:t>
      </w:r>
      <w:proofErr w:type="spellEnd"/>
      <w:r w:rsidRPr="00EC0562">
        <w:rPr>
          <w:sz w:val="22"/>
        </w:rPr>
        <w:t xml:space="preserve"> </w:t>
      </w:r>
      <w:proofErr w:type="spellStart"/>
      <w:r w:rsidRPr="00EC0562">
        <w:rPr>
          <w:sz w:val="22"/>
        </w:rPr>
        <w:t>на</w:t>
      </w:r>
      <w:proofErr w:type="spellEnd"/>
      <w:r w:rsidRPr="00EC0562">
        <w:rPr>
          <w:sz w:val="22"/>
        </w:rPr>
        <w:t xml:space="preserve"> </w:t>
      </w:r>
      <w:proofErr w:type="spellStart"/>
      <w:r w:rsidRPr="00EC0562">
        <w:rPr>
          <w:sz w:val="22"/>
        </w:rPr>
        <w:t>непокретности</w:t>
      </w:r>
      <w:proofErr w:type="spellEnd"/>
      <w:r w:rsidRPr="00EC0562">
        <w:rPr>
          <w:sz w:val="22"/>
        </w:rPr>
        <w:t xml:space="preserve"> </w:t>
      </w:r>
      <w:proofErr w:type="spellStart"/>
      <w:r w:rsidRPr="00EC0562">
        <w:rPr>
          <w:sz w:val="22"/>
        </w:rPr>
        <w:t>ниже</w:t>
      </w:r>
      <w:proofErr w:type="spellEnd"/>
      <w:r w:rsidRPr="00EC0562">
        <w:rPr>
          <w:sz w:val="22"/>
        </w:rPr>
        <w:t xml:space="preserve"> </w:t>
      </w:r>
      <w:proofErr w:type="spellStart"/>
      <w:r w:rsidRPr="00EC0562">
        <w:rPr>
          <w:sz w:val="22"/>
        </w:rPr>
        <w:t>су</w:t>
      </w:r>
      <w:proofErr w:type="spellEnd"/>
      <w:r w:rsidRPr="00EC0562">
        <w:rPr>
          <w:sz w:val="22"/>
        </w:rPr>
        <w:t xml:space="preserve"> </w:t>
      </w:r>
      <w:proofErr w:type="spellStart"/>
      <w:r w:rsidRPr="00EC0562">
        <w:rPr>
          <w:sz w:val="22"/>
        </w:rPr>
        <w:t>остварени</w:t>
      </w:r>
      <w:proofErr w:type="spellEnd"/>
      <w:r w:rsidRPr="00EC0562">
        <w:rPr>
          <w:sz w:val="22"/>
        </w:rPr>
        <w:t xml:space="preserve"> </w:t>
      </w:r>
      <w:proofErr w:type="spellStart"/>
      <w:r w:rsidRPr="00EC0562">
        <w:rPr>
          <w:sz w:val="22"/>
        </w:rPr>
        <w:t>за</w:t>
      </w:r>
      <w:proofErr w:type="spellEnd"/>
      <w:r w:rsidRPr="00EC0562">
        <w:rPr>
          <w:sz w:val="22"/>
        </w:rPr>
        <w:t xml:space="preserve"> </w:t>
      </w:r>
      <w:proofErr w:type="spellStart"/>
      <w:r w:rsidRPr="00EC0562">
        <w:rPr>
          <w:sz w:val="22"/>
        </w:rPr>
        <w:t>око</w:t>
      </w:r>
      <w:proofErr w:type="spellEnd"/>
      <w:r w:rsidRPr="00EC0562">
        <w:rPr>
          <w:sz w:val="22"/>
        </w:rPr>
        <w:t xml:space="preserve"> 50% у </w:t>
      </w:r>
      <w:proofErr w:type="spellStart"/>
      <w:r w:rsidRPr="00EC0562">
        <w:rPr>
          <w:sz w:val="22"/>
        </w:rPr>
        <w:t>највећем</w:t>
      </w:r>
      <w:proofErr w:type="spellEnd"/>
      <w:r w:rsidRPr="00EC0562">
        <w:rPr>
          <w:sz w:val="22"/>
        </w:rPr>
        <w:t xml:space="preserve"> </w:t>
      </w:r>
      <w:proofErr w:type="spellStart"/>
      <w:r w:rsidRPr="00EC0562">
        <w:rPr>
          <w:sz w:val="22"/>
        </w:rPr>
        <w:t>броју</w:t>
      </w:r>
      <w:proofErr w:type="spellEnd"/>
      <w:r w:rsidRPr="00EC0562">
        <w:rPr>
          <w:sz w:val="22"/>
        </w:rPr>
        <w:t xml:space="preserve"> </w:t>
      </w:r>
      <w:proofErr w:type="spellStart"/>
      <w:r w:rsidRPr="00EC0562">
        <w:rPr>
          <w:sz w:val="22"/>
        </w:rPr>
        <w:t>посматраних</w:t>
      </w:r>
      <w:proofErr w:type="spellEnd"/>
      <w:r w:rsidRPr="00EC0562">
        <w:rPr>
          <w:sz w:val="22"/>
        </w:rPr>
        <w:t xml:space="preserve"> ЈЛС, </w:t>
      </w:r>
      <w:proofErr w:type="spellStart"/>
      <w:r w:rsidRPr="00EC0562">
        <w:rPr>
          <w:sz w:val="22"/>
        </w:rPr>
        <w:t>осим</w:t>
      </w:r>
      <w:proofErr w:type="spellEnd"/>
      <w:r w:rsidRPr="00EC0562">
        <w:rPr>
          <w:sz w:val="22"/>
        </w:rPr>
        <w:t xml:space="preserve"> </w:t>
      </w:r>
      <w:proofErr w:type="spellStart"/>
      <w:r w:rsidRPr="00EC0562">
        <w:rPr>
          <w:sz w:val="22"/>
        </w:rPr>
        <w:t>код</w:t>
      </w:r>
      <w:proofErr w:type="spellEnd"/>
      <w:r w:rsidRPr="00EC0562">
        <w:rPr>
          <w:sz w:val="22"/>
        </w:rPr>
        <w:t xml:space="preserve"> </w:t>
      </w:r>
      <w:proofErr w:type="spellStart"/>
      <w:r w:rsidRPr="00EC0562">
        <w:rPr>
          <w:sz w:val="22"/>
        </w:rPr>
        <w:t>Вишеград</w:t>
      </w:r>
      <w:r w:rsidR="000663C4">
        <w:rPr>
          <w:sz w:val="22"/>
        </w:rPr>
        <w:t>а</w:t>
      </w:r>
      <w:proofErr w:type="spellEnd"/>
      <w:r w:rsidR="000663C4">
        <w:rPr>
          <w:sz w:val="22"/>
        </w:rPr>
        <w:t xml:space="preserve"> и </w:t>
      </w:r>
      <w:proofErr w:type="spellStart"/>
      <w:r w:rsidR="000663C4">
        <w:rPr>
          <w:sz w:val="22"/>
        </w:rPr>
        <w:t>Фоче</w:t>
      </w:r>
      <w:proofErr w:type="spellEnd"/>
      <w:r w:rsidR="000663C4">
        <w:rPr>
          <w:sz w:val="22"/>
        </w:rPr>
        <w:t xml:space="preserve">, </w:t>
      </w:r>
      <w:proofErr w:type="spellStart"/>
      <w:r w:rsidR="000663C4">
        <w:rPr>
          <w:sz w:val="22"/>
        </w:rPr>
        <w:t>код</w:t>
      </w:r>
      <w:proofErr w:type="spellEnd"/>
      <w:r w:rsidR="000663C4">
        <w:rPr>
          <w:sz w:val="22"/>
        </w:rPr>
        <w:t xml:space="preserve"> </w:t>
      </w:r>
      <w:proofErr w:type="spellStart"/>
      <w:r w:rsidR="000663C4">
        <w:rPr>
          <w:sz w:val="22"/>
        </w:rPr>
        <w:t>којих</w:t>
      </w:r>
      <w:proofErr w:type="spellEnd"/>
      <w:r w:rsidR="000663C4">
        <w:rPr>
          <w:sz w:val="22"/>
        </w:rPr>
        <w:t xml:space="preserve"> </w:t>
      </w:r>
      <w:proofErr w:type="spellStart"/>
      <w:r w:rsidR="000663C4">
        <w:rPr>
          <w:sz w:val="22"/>
        </w:rPr>
        <w:t>су</w:t>
      </w:r>
      <w:proofErr w:type="spellEnd"/>
      <w:r w:rsidR="000663C4">
        <w:rPr>
          <w:sz w:val="22"/>
        </w:rPr>
        <w:t xml:space="preserve"> </w:t>
      </w:r>
      <w:proofErr w:type="spellStart"/>
      <w:r w:rsidRPr="00EC0562">
        <w:rPr>
          <w:sz w:val="22"/>
        </w:rPr>
        <w:t>смањени</w:t>
      </w:r>
      <w:proofErr w:type="spellEnd"/>
      <w:r w:rsidRPr="00EC0562">
        <w:rPr>
          <w:sz w:val="22"/>
        </w:rPr>
        <w:t xml:space="preserve"> </w:t>
      </w:r>
      <w:proofErr w:type="spellStart"/>
      <w:r w:rsidRPr="00EC0562">
        <w:rPr>
          <w:sz w:val="22"/>
        </w:rPr>
        <w:t>за</w:t>
      </w:r>
      <w:proofErr w:type="spellEnd"/>
      <w:r w:rsidRPr="00EC0562">
        <w:rPr>
          <w:sz w:val="22"/>
        </w:rPr>
        <w:t xml:space="preserve"> </w:t>
      </w:r>
      <w:proofErr w:type="spellStart"/>
      <w:r w:rsidRPr="00EC0562">
        <w:rPr>
          <w:sz w:val="22"/>
        </w:rPr>
        <w:t>око</w:t>
      </w:r>
      <w:proofErr w:type="spellEnd"/>
      <w:r w:rsidRPr="00EC0562">
        <w:rPr>
          <w:sz w:val="22"/>
        </w:rPr>
        <w:t xml:space="preserve"> 75%. </w:t>
      </w:r>
      <w:r w:rsidR="000663C4">
        <w:rPr>
          <w:sz w:val="22"/>
          <w:lang w:val="sr-Cyrl-RS"/>
        </w:rPr>
        <w:t>Наравно</w:t>
      </w:r>
      <w:r w:rsidR="000663C4">
        <w:rPr>
          <w:sz w:val="22"/>
        </w:rPr>
        <w:t xml:space="preserve">, </w:t>
      </w:r>
      <w:proofErr w:type="spellStart"/>
      <w:r w:rsidR="000663C4">
        <w:rPr>
          <w:sz w:val="22"/>
        </w:rPr>
        <w:t>већи</w:t>
      </w:r>
      <w:proofErr w:type="spellEnd"/>
      <w:r w:rsidR="000663C4">
        <w:rPr>
          <w:sz w:val="22"/>
        </w:rPr>
        <w:t xml:space="preserve"> </w:t>
      </w:r>
      <w:proofErr w:type="spellStart"/>
      <w:r w:rsidR="000663C4">
        <w:rPr>
          <w:sz w:val="22"/>
        </w:rPr>
        <w:t>пад</w:t>
      </w:r>
      <w:proofErr w:type="spellEnd"/>
      <w:r w:rsidR="000663C4">
        <w:rPr>
          <w:sz w:val="22"/>
        </w:rPr>
        <w:t xml:space="preserve"> </w:t>
      </w:r>
      <w:proofErr w:type="spellStart"/>
      <w:r w:rsidR="000663C4">
        <w:rPr>
          <w:sz w:val="22"/>
        </w:rPr>
        <w:t>су</w:t>
      </w:r>
      <w:proofErr w:type="spellEnd"/>
      <w:r w:rsidR="000663C4">
        <w:rPr>
          <w:sz w:val="22"/>
        </w:rPr>
        <w:t xml:space="preserve">, </w:t>
      </w:r>
      <w:proofErr w:type="spellStart"/>
      <w:r w:rsidR="000663C4">
        <w:rPr>
          <w:sz w:val="22"/>
        </w:rPr>
        <w:t>номинално</w:t>
      </w:r>
      <w:proofErr w:type="spellEnd"/>
      <w:r w:rsidR="000663C4">
        <w:rPr>
          <w:sz w:val="22"/>
        </w:rPr>
        <w:t xml:space="preserve"> </w:t>
      </w:r>
      <w:proofErr w:type="spellStart"/>
      <w:r w:rsidR="000663C4">
        <w:rPr>
          <w:sz w:val="22"/>
        </w:rPr>
        <w:t>посм</w:t>
      </w:r>
      <w:r w:rsidRPr="00EC0562">
        <w:rPr>
          <w:sz w:val="22"/>
        </w:rPr>
        <w:t>а</w:t>
      </w:r>
      <w:proofErr w:type="spellEnd"/>
      <w:r w:rsidR="000663C4">
        <w:rPr>
          <w:sz w:val="22"/>
          <w:lang w:val="sr-Cyrl-RS"/>
        </w:rPr>
        <w:t>т</w:t>
      </w:r>
      <w:r w:rsidR="00461401">
        <w:rPr>
          <w:sz w:val="22"/>
          <w:lang w:val="sr-Cyrl-RS"/>
        </w:rPr>
        <w:t>а</w:t>
      </w:r>
      <w:r w:rsidRPr="00EC0562">
        <w:rPr>
          <w:sz w:val="22"/>
        </w:rPr>
        <w:t>р</w:t>
      </w:r>
      <w:r w:rsidR="00461401">
        <w:rPr>
          <w:sz w:val="22"/>
          <w:lang w:val="sr-Cyrl-RS"/>
        </w:rPr>
        <w:t>а</w:t>
      </w:r>
      <w:proofErr w:type="spellStart"/>
      <w:r w:rsidRPr="00EC0562">
        <w:rPr>
          <w:sz w:val="22"/>
        </w:rPr>
        <w:t>но</w:t>
      </w:r>
      <w:proofErr w:type="spellEnd"/>
      <w:r w:rsidRPr="00EC0562">
        <w:rPr>
          <w:sz w:val="22"/>
        </w:rPr>
        <w:t xml:space="preserve">, </w:t>
      </w:r>
      <w:proofErr w:type="spellStart"/>
      <w:r w:rsidRPr="00EC0562">
        <w:rPr>
          <w:sz w:val="22"/>
        </w:rPr>
        <w:t>имале</w:t>
      </w:r>
      <w:proofErr w:type="spellEnd"/>
      <w:r w:rsidRPr="00EC0562">
        <w:rPr>
          <w:sz w:val="22"/>
        </w:rPr>
        <w:t xml:space="preserve"> </w:t>
      </w:r>
      <w:r w:rsidR="000663C4">
        <w:rPr>
          <w:sz w:val="22"/>
          <w:lang w:val="sr-Cyrl-RS"/>
        </w:rPr>
        <w:t xml:space="preserve">развијене и </w:t>
      </w:r>
      <w:proofErr w:type="spellStart"/>
      <w:r w:rsidRPr="00EC0562">
        <w:rPr>
          <w:sz w:val="22"/>
        </w:rPr>
        <w:t>веће</w:t>
      </w:r>
      <w:proofErr w:type="spellEnd"/>
      <w:r w:rsidRPr="00EC0562">
        <w:rPr>
          <w:sz w:val="22"/>
        </w:rPr>
        <w:t xml:space="preserve"> ЈЛС (</w:t>
      </w:r>
      <w:r w:rsidR="000663C4">
        <w:rPr>
          <w:sz w:val="22"/>
          <w:lang w:val="sr-Cyrl-RS"/>
        </w:rPr>
        <w:t xml:space="preserve">нпр. </w:t>
      </w:r>
      <w:proofErr w:type="spellStart"/>
      <w:r w:rsidRPr="00EC0562">
        <w:rPr>
          <w:sz w:val="22"/>
        </w:rPr>
        <w:t>Бања</w:t>
      </w:r>
      <w:proofErr w:type="spellEnd"/>
      <w:r w:rsidRPr="00EC0562">
        <w:rPr>
          <w:sz w:val="22"/>
        </w:rPr>
        <w:t xml:space="preserve"> </w:t>
      </w:r>
      <w:proofErr w:type="spellStart"/>
      <w:r w:rsidRPr="00EC0562">
        <w:rPr>
          <w:sz w:val="22"/>
        </w:rPr>
        <w:t>Лука</w:t>
      </w:r>
      <w:proofErr w:type="spellEnd"/>
      <w:r w:rsidRPr="00EC0562">
        <w:rPr>
          <w:sz w:val="22"/>
        </w:rPr>
        <w:t xml:space="preserve"> -2,6 </w:t>
      </w:r>
      <w:proofErr w:type="spellStart"/>
      <w:r w:rsidRPr="00EC0562">
        <w:rPr>
          <w:sz w:val="22"/>
        </w:rPr>
        <w:t>милиона</w:t>
      </w:r>
      <w:proofErr w:type="spellEnd"/>
      <w:r w:rsidRPr="00EC0562">
        <w:rPr>
          <w:sz w:val="22"/>
        </w:rPr>
        <w:t xml:space="preserve"> КМ,  </w:t>
      </w:r>
      <w:proofErr w:type="spellStart"/>
      <w:r w:rsidRPr="00EC0562">
        <w:rPr>
          <w:sz w:val="22"/>
        </w:rPr>
        <w:t>Приједор</w:t>
      </w:r>
      <w:proofErr w:type="spellEnd"/>
      <w:r w:rsidRPr="00EC0562">
        <w:rPr>
          <w:sz w:val="22"/>
        </w:rPr>
        <w:t xml:space="preserve"> -0,54 </w:t>
      </w:r>
      <w:proofErr w:type="spellStart"/>
      <w:r w:rsidRPr="00EC0562">
        <w:rPr>
          <w:sz w:val="22"/>
        </w:rPr>
        <w:t>милиона</w:t>
      </w:r>
      <w:proofErr w:type="spellEnd"/>
      <w:r w:rsidRPr="00EC0562">
        <w:rPr>
          <w:sz w:val="22"/>
        </w:rPr>
        <w:t xml:space="preserve"> КМ).</w:t>
      </w:r>
    </w:p>
    <w:p w14:paraId="74695F03" w14:textId="77777777" w:rsidR="00E27F56" w:rsidRDefault="00E27F56" w:rsidP="00EC0562">
      <w:pPr>
        <w:spacing w:line="276" w:lineRule="auto"/>
        <w:ind w:firstLine="708"/>
        <w:jc w:val="both"/>
        <w:rPr>
          <w:sz w:val="22"/>
        </w:rPr>
      </w:pPr>
    </w:p>
    <w:p w14:paraId="096EEF41" w14:textId="77777777" w:rsidR="00EC0562" w:rsidRPr="00EC0562" w:rsidRDefault="000663C4" w:rsidP="00F94B30">
      <w:pPr>
        <w:spacing w:line="276" w:lineRule="auto"/>
        <w:ind w:firstLine="708"/>
        <w:jc w:val="both"/>
        <w:rPr>
          <w:sz w:val="22"/>
        </w:rPr>
      </w:pPr>
      <w:proofErr w:type="spellStart"/>
      <w:r>
        <w:rPr>
          <w:sz w:val="22"/>
        </w:rPr>
        <w:t>Пад</w:t>
      </w:r>
      <w:proofErr w:type="spellEnd"/>
      <w:r>
        <w:rPr>
          <w:sz w:val="22"/>
        </w:rPr>
        <w:t xml:space="preserve"> у </w:t>
      </w:r>
      <w:proofErr w:type="spellStart"/>
      <w:r>
        <w:rPr>
          <w:sz w:val="22"/>
        </w:rPr>
        <w:t>нап</w:t>
      </w:r>
      <w:r w:rsidR="00EC0562" w:rsidRPr="00EC0562">
        <w:rPr>
          <w:sz w:val="22"/>
        </w:rPr>
        <w:t>л</w:t>
      </w:r>
      <w:proofErr w:type="spellEnd"/>
      <w:r>
        <w:rPr>
          <w:sz w:val="22"/>
          <w:lang w:val="sr-Cyrl-RS"/>
        </w:rPr>
        <w:t>а</w:t>
      </w:r>
      <w:proofErr w:type="spellStart"/>
      <w:r w:rsidR="00EC0562" w:rsidRPr="00EC0562">
        <w:rPr>
          <w:sz w:val="22"/>
        </w:rPr>
        <w:t>ти</w:t>
      </w:r>
      <w:proofErr w:type="spellEnd"/>
      <w:r w:rsidR="00EC0562" w:rsidRPr="00EC0562">
        <w:rPr>
          <w:sz w:val="22"/>
        </w:rPr>
        <w:t xml:space="preserve"> </w:t>
      </w:r>
      <w:r w:rsidR="00F31967">
        <w:rPr>
          <w:sz w:val="22"/>
          <w:lang w:val="sr-Cyrl-RS"/>
        </w:rPr>
        <w:t xml:space="preserve">готово свих врста </w:t>
      </w:r>
      <w:proofErr w:type="spellStart"/>
      <w:r w:rsidR="00EC0562" w:rsidRPr="00EC0562">
        <w:rPr>
          <w:sz w:val="22"/>
        </w:rPr>
        <w:t>непореских</w:t>
      </w:r>
      <w:proofErr w:type="spellEnd"/>
      <w:r w:rsidR="00EC0562" w:rsidRPr="00EC0562">
        <w:rPr>
          <w:sz w:val="22"/>
        </w:rPr>
        <w:t xml:space="preserve"> </w:t>
      </w:r>
      <w:proofErr w:type="spellStart"/>
      <w:r w:rsidR="00EC0562" w:rsidRPr="00EC0562">
        <w:rPr>
          <w:sz w:val="22"/>
        </w:rPr>
        <w:t>прихода</w:t>
      </w:r>
      <w:proofErr w:type="spellEnd"/>
      <w:r w:rsidR="00EC0562" w:rsidRPr="00EC0562">
        <w:rPr>
          <w:sz w:val="22"/>
        </w:rPr>
        <w:t xml:space="preserve">, </w:t>
      </w:r>
      <w:proofErr w:type="spellStart"/>
      <w:r w:rsidR="00EC0562" w:rsidRPr="00EC0562">
        <w:rPr>
          <w:sz w:val="22"/>
        </w:rPr>
        <w:t>који</w:t>
      </w:r>
      <w:proofErr w:type="spellEnd"/>
      <w:r w:rsidR="00EC0562" w:rsidRPr="00EC0562">
        <w:rPr>
          <w:sz w:val="22"/>
        </w:rPr>
        <w:t xml:space="preserve"> </w:t>
      </w:r>
      <w:proofErr w:type="spellStart"/>
      <w:r w:rsidR="00EC0562" w:rsidRPr="00EC0562">
        <w:rPr>
          <w:sz w:val="22"/>
        </w:rPr>
        <w:t>је</w:t>
      </w:r>
      <w:proofErr w:type="spellEnd"/>
      <w:r w:rsidR="00EC0562" w:rsidRPr="00EC0562">
        <w:rPr>
          <w:sz w:val="22"/>
        </w:rPr>
        <w:t xml:space="preserve"> </w:t>
      </w:r>
      <w:proofErr w:type="spellStart"/>
      <w:r w:rsidR="00EC0562" w:rsidRPr="00EC0562">
        <w:rPr>
          <w:sz w:val="22"/>
        </w:rPr>
        <w:t>био</w:t>
      </w:r>
      <w:proofErr w:type="spellEnd"/>
      <w:r w:rsidR="00EC0562" w:rsidRPr="00EC0562">
        <w:rPr>
          <w:sz w:val="22"/>
        </w:rPr>
        <w:t xml:space="preserve"> </w:t>
      </w:r>
      <w:proofErr w:type="spellStart"/>
      <w:r w:rsidR="00EC0562" w:rsidRPr="00EC0562">
        <w:rPr>
          <w:sz w:val="22"/>
        </w:rPr>
        <w:t>присут</w:t>
      </w:r>
      <w:proofErr w:type="spellEnd"/>
      <w:r>
        <w:rPr>
          <w:sz w:val="22"/>
          <w:lang w:val="sr-Cyrl-RS"/>
        </w:rPr>
        <w:t>а</w:t>
      </w:r>
      <w:r>
        <w:rPr>
          <w:sz w:val="22"/>
        </w:rPr>
        <w:t>н</w:t>
      </w:r>
      <w:r w:rsidR="00EC0562" w:rsidRPr="00EC0562">
        <w:rPr>
          <w:sz w:val="22"/>
        </w:rPr>
        <w:t xml:space="preserve"> у </w:t>
      </w:r>
      <w:proofErr w:type="spellStart"/>
      <w:r w:rsidR="00EC0562" w:rsidRPr="00EC0562">
        <w:rPr>
          <w:sz w:val="22"/>
        </w:rPr>
        <w:t>првом</w:t>
      </w:r>
      <w:proofErr w:type="spellEnd"/>
      <w:r w:rsidR="00EC0562" w:rsidRPr="00EC0562">
        <w:rPr>
          <w:sz w:val="22"/>
        </w:rPr>
        <w:t xml:space="preserve"> </w:t>
      </w:r>
      <w:proofErr w:type="spellStart"/>
      <w:r w:rsidR="00EC0562" w:rsidRPr="00EC0562">
        <w:rPr>
          <w:sz w:val="22"/>
        </w:rPr>
        <w:t>кварталу</w:t>
      </w:r>
      <w:proofErr w:type="spellEnd"/>
      <w:r w:rsidR="00EC0562" w:rsidRPr="00EC0562">
        <w:rPr>
          <w:sz w:val="22"/>
        </w:rPr>
        <w:t xml:space="preserve"> </w:t>
      </w:r>
      <w:r>
        <w:rPr>
          <w:sz w:val="22"/>
        </w:rPr>
        <w:t>(</w:t>
      </w:r>
      <w:proofErr w:type="spellStart"/>
      <w:r>
        <w:rPr>
          <w:sz w:val="22"/>
        </w:rPr>
        <w:t>пос</w:t>
      </w:r>
      <w:r w:rsidR="00C71E89">
        <w:rPr>
          <w:sz w:val="22"/>
        </w:rPr>
        <w:t>матрано</w:t>
      </w:r>
      <w:proofErr w:type="spellEnd"/>
      <w:r w:rsidR="00C71E89">
        <w:rPr>
          <w:sz w:val="22"/>
        </w:rPr>
        <w:t xml:space="preserve"> у </w:t>
      </w:r>
      <w:proofErr w:type="spellStart"/>
      <w:r w:rsidR="00C71E89">
        <w:rPr>
          <w:sz w:val="22"/>
        </w:rPr>
        <w:t>односу</w:t>
      </w:r>
      <w:proofErr w:type="spellEnd"/>
      <w:r w:rsidR="00C71E89">
        <w:rPr>
          <w:sz w:val="22"/>
        </w:rPr>
        <w:t xml:space="preserve"> </w:t>
      </w:r>
      <w:proofErr w:type="spellStart"/>
      <w:r w:rsidR="00C71E89">
        <w:rPr>
          <w:sz w:val="22"/>
        </w:rPr>
        <w:t>на</w:t>
      </w:r>
      <w:proofErr w:type="spellEnd"/>
      <w:r w:rsidR="00C71E89">
        <w:rPr>
          <w:sz w:val="22"/>
        </w:rPr>
        <w:t xml:space="preserve"> 2019. </w:t>
      </w:r>
      <w:proofErr w:type="spellStart"/>
      <w:r w:rsidR="00C71E89">
        <w:rPr>
          <w:sz w:val="22"/>
        </w:rPr>
        <w:t>годину</w:t>
      </w:r>
      <w:proofErr w:type="spellEnd"/>
      <w:r w:rsidR="00C71E89">
        <w:rPr>
          <w:sz w:val="22"/>
        </w:rPr>
        <w:t xml:space="preserve">), </w:t>
      </w:r>
      <w:proofErr w:type="spellStart"/>
      <w:r w:rsidR="00C71E89">
        <w:rPr>
          <w:sz w:val="22"/>
        </w:rPr>
        <w:t>настављен</w:t>
      </w:r>
      <w:proofErr w:type="spellEnd"/>
      <w:r w:rsidR="00C71E89">
        <w:rPr>
          <w:sz w:val="22"/>
        </w:rPr>
        <w:t xml:space="preserve"> </w:t>
      </w:r>
      <w:proofErr w:type="spellStart"/>
      <w:r w:rsidR="00C71E89">
        <w:rPr>
          <w:sz w:val="22"/>
        </w:rPr>
        <w:t>је</w:t>
      </w:r>
      <w:proofErr w:type="spellEnd"/>
      <w:r w:rsidR="00C71E89">
        <w:rPr>
          <w:sz w:val="22"/>
        </w:rPr>
        <w:t xml:space="preserve"> </w:t>
      </w:r>
      <w:proofErr w:type="spellStart"/>
      <w:r w:rsidR="00C71E89">
        <w:rPr>
          <w:sz w:val="22"/>
        </w:rPr>
        <w:t>само</w:t>
      </w:r>
      <w:proofErr w:type="spellEnd"/>
      <w:r w:rsidR="00C71E89">
        <w:rPr>
          <w:sz w:val="22"/>
        </w:rPr>
        <w:t xml:space="preserve"> </w:t>
      </w:r>
      <w:proofErr w:type="spellStart"/>
      <w:r w:rsidR="00C71E89">
        <w:rPr>
          <w:sz w:val="22"/>
        </w:rPr>
        <w:t>бржом</w:t>
      </w:r>
      <w:proofErr w:type="spellEnd"/>
      <w:r w:rsidR="00C71E89">
        <w:rPr>
          <w:sz w:val="22"/>
        </w:rPr>
        <w:t xml:space="preserve"> </w:t>
      </w:r>
      <w:proofErr w:type="spellStart"/>
      <w:r w:rsidR="00C71E89">
        <w:rPr>
          <w:sz w:val="22"/>
        </w:rPr>
        <w:t>динамиком</w:t>
      </w:r>
      <w:proofErr w:type="spellEnd"/>
      <w:r>
        <w:rPr>
          <w:sz w:val="22"/>
          <w:lang w:val="sr-Cyrl-RS"/>
        </w:rPr>
        <w:t xml:space="preserve"> након</w:t>
      </w:r>
      <w:r w:rsidR="00EC0562" w:rsidRPr="00EC0562">
        <w:rPr>
          <w:sz w:val="22"/>
        </w:rPr>
        <w:t xml:space="preserve"> </w:t>
      </w:r>
      <w:proofErr w:type="spellStart"/>
      <w:r w:rsidR="00EC0562" w:rsidRPr="00EC0562">
        <w:rPr>
          <w:sz w:val="22"/>
        </w:rPr>
        <w:t>избијања</w:t>
      </w:r>
      <w:proofErr w:type="spellEnd"/>
      <w:r w:rsidR="00EC0562" w:rsidRPr="00EC0562">
        <w:rPr>
          <w:sz w:val="22"/>
        </w:rPr>
        <w:t xml:space="preserve"> </w:t>
      </w:r>
      <w:proofErr w:type="spellStart"/>
      <w:r>
        <w:rPr>
          <w:sz w:val="22"/>
          <w:lang w:val="sr-Cyrl-RS"/>
        </w:rPr>
        <w:t>пандемије</w:t>
      </w:r>
      <w:proofErr w:type="spellEnd"/>
      <w:r w:rsidR="00EC0562" w:rsidRPr="00EC0562">
        <w:rPr>
          <w:sz w:val="22"/>
        </w:rPr>
        <w:t>.</w:t>
      </w:r>
    </w:p>
    <w:p w14:paraId="7FDD3925" w14:textId="77777777" w:rsidR="00E27F56" w:rsidRDefault="00E27F56" w:rsidP="00EC0562">
      <w:pPr>
        <w:spacing w:line="276" w:lineRule="auto"/>
        <w:ind w:firstLine="708"/>
        <w:jc w:val="both"/>
        <w:rPr>
          <w:sz w:val="22"/>
          <w:lang w:val="sr-Cyrl-RS"/>
        </w:rPr>
      </w:pPr>
    </w:p>
    <w:p w14:paraId="64E64AE8" w14:textId="77777777" w:rsidR="00EC0562" w:rsidRPr="008B7F03" w:rsidRDefault="00EC0562" w:rsidP="00EC0562">
      <w:pPr>
        <w:spacing w:line="276" w:lineRule="auto"/>
        <w:ind w:firstLine="708"/>
        <w:jc w:val="both"/>
        <w:rPr>
          <w:sz w:val="22"/>
          <w:lang w:val="sr-Cyrl-RS"/>
        </w:rPr>
      </w:pPr>
      <w:r w:rsidRPr="00EC0562">
        <w:rPr>
          <w:sz w:val="22"/>
          <w:lang w:val="sr-Cyrl-RS"/>
        </w:rPr>
        <w:t xml:space="preserve">Смањење наплате </w:t>
      </w:r>
      <w:proofErr w:type="spellStart"/>
      <w:r w:rsidRPr="00EC0562">
        <w:rPr>
          <w:sz w:val="22"/>
          <w:lang w:val="sr-Cyrl-RS"/>
        </w:rPr>
        <w:t>непореских</w:t>
      </w:r>
      <w:proofErr w:type="spellEnd"/>
      <w:r w:rsidRPr="00EC0562">
        <w:rPr>
          <w:sz w:val="22"/>
          <w:lang w:val="sr-Cyrl-RS"/>
        </w:rPr>
        <w:t xml:space="preserve"> прихода</w:t>
      </w:r>
      <w:r w:rsidRPr="00EC0562">
        <w:rPr>
          <w:sz w:val="22"/>
        </w:rPr>
        <w:t xml:space="preserve"> </w:t>
      </w:r>
      <w:proofErr w:type="spellStart"/>
      <w:r w:rsidRPr="00EC0562">
        <w:rPr>
          <w:sz w:val="22"/>
        </w:rPr>
        <w:t>првенствено</w:t>
      </w:r>
      <w:proofErr w:type="spellEnd"/>
      <w:r w:rsidRPr="00EC0562">
        <w:rPr>
          <w:sz w:val="22"/>
          <w:lang w:val="sr-Cyrl-RS"/>
        </w:rPr>
        <w:t xml:space="preserve"> је посљедица</w:t>
      </w:r>
      <w:r w:rsidRPr="00EC0562">
        <w:rPr>
          <w:sz w:val="22"/>
        </w:rPr>
        <w:t xml:space="preserve"> </w:t>
      </w:r>
      <w:proofErr w:type="spellStart"/>
      <w:r w:rsidRPr="00EC0562">
        <w:rPr>
          <w:sz w:val="22"/>
        </w:rPr>
        <w:t>пада</w:t>
      </w:r>
      <w:proofErr w:type="spellEnd"/>
      <w:r w:rsidRPr="00EC0562">
        <w:rPr>
          <w:sz w:val="22"/>
        </w:rPr>
        <w:t xml:space="preserve"> </w:t>
      </w:r>
      <w:proofErr w:type="spellStart"/>
      <w:r w:rsidRPr="00EC0562">
        <w:rPr>
          <w:sz w:val="22"/>
        </w:rPr>
        <w:t>привредних</w:t>
      </w:r>
      <w:proofErr w:type="spellEnd"/>
      <w:r w:rsidRPr="00EC0562">
        <w:rPr>
          <w:sz w:val="22"/>
        </w:rPr>
        <w:t xml:space="preserve"> </w:t>
      </w:r>
      <w:proofErr w:type="spellStart"/>
      <w:r w:rsidR="00094E10">
        <w:rPr>
          <w:sz w:val="22"/>
        </w:rPr>
        <w:t>активности</w:t>
      </w:r>
      <w:proofErr w:type="spellEnd"/>
      <w:r w:rsidR="00094E10">
        <w:rPr>
          <w:sz w:val="22"/>
        </w:rPr>
        <w:t xml:space="preserve"> </w:t>
      </w:r>
      <w:proofErr w:type="spellStart"/>
      <w:r w:rsidR="00094E10">
        <w:rPr>
          <w:sz w:val="22"/>
        </w:rPr>
        <w:t>изазваних</w:t>
      </w:r>
      <w:proofErr w:type="spellEnd"/>
      <w:r w:rsidR="00094E10">
        <w:rPr>
          <w:sz w:val="22"/>
        </w:rPr>
        <w:t xml:space="preserve"> </w:t>
      </w:r>
      <w:proofErr w:type="spellStart"/>
      <w:r w:rsidR="00094E10">
        <w:rPr>
          <w:sz w:val="22"/>
        </w:rPr>
        <w:t>пандемијом</w:t>
      </w:r>
      <w:proofErr w:type="spellEnd"/>
      <w:r w:rsidR="00094E10">
        <w:rPr>
          <w:sz w:val="22"/>
        </w:rPr>
        <w:t xml:space="preserve">. </w:t>
      </w:r>
      <w:r w:rsidR="00094E10">
        <w:rPr>
          <w:sz w:val="22"/>
          <w:lang w:val="sr-Cyrl-RS"/>
        </w:rPr>
        <w:t>А</w:t>
      </w:r>
      <w:proofErr w:type="spellStart"/>
      <w:r w:rsidRPr="00EC0562">
        <w:rPr>
          <w:sz w:val="22"/>
        </w:rPr>
        <w:t>ли</w:t>
      </w:r>
      <w:proofErr w:type="spellEnd"/>
      <w:r w:rsidR="00094E10">
        <w:rPr>
          <w:sz w:val="22"/>
          <w:lang w:val="sr-Cyrl-RS"/>
        </w:rPr>
        <w:t xml:space="preserve"> треба имати у виду да су анкетиране ЈЛС</w:t>
      </w:r>
      <w:r w:rsidRPr="00EC0562">
        <w:rPr>
          <w:sz w:val="22"/>
        </w:rPr>
        <w:t xml:space="preserve"> </w:t>
      </w:r>
      <w:r w:rsidR="00094E10">
        <w:rPr>
          <w:sz w:val="22"/>
          <w:lang w:val="sr-Cyrl-RS"/>
        </w:rPr>
        <w:t>одобравале</w:t>
      </w:r>
      <w:r w:rsidRPr="00EC0562">
        <w:rPr>
          <w:sz w:val="22"/>
          <w:lang w:val="sr-Cyrl-RS"/>
        </w:rPr>
        <w:t xml:space="preserve"> </w:t>
      </w:r>
      <w:r w:rsidR="00094E10">
        <w:rPr>
          <w:sz w:val="22"/>
          <w:lang w:val="sr-Cyrl-RS"/>
        </w:rPr>
        <w:t xml:space="preserve">привредним субјектима </w:t>
      </w:r>
      <w:proofErr w:type="spellStart"/>
      <w:r w:rsidRPr="00EC0562">
        <w:rPr>
          <w:sz w:val="22"/>
        </w:rPr>
        <w:t>разли</w:t>
      </w:r>
      <w:r w:rsidRPr="00EC0562">
        <w:rPr>
          <w:sz w:val="22"/>
          <w:lang w:val="sr-Cyrl-RS"/>
        </w:rPr>
        <w:t>чи</w:t>
      </w:r>
      <w:r w:rsidR="00094E10">
        <w:rPr>
          <w:sz w:val="22"/>
        </w:rPr>
        <w:t>те</w:t>
      </w:r>
      <w:proofErr w:type="spellEnd"/>
      <w:r w:rsidR="00094E10">
        <w:rPr>
          <w:sz w:val="22"/>
        </w:rPr>
        <w:t xml:space="preserve"> </w:t>
      </w:r>
      <w:proofErr w:type="spellStart"/>
      <w:r w:rsidR="00094E10">
        <w:rPr>
          <w:sz w:val="22"/>
        </w:rPr>
        <w:t>облике</w:t>
      </w:r>
      <w:proofErr w:type="spellEnd"/>
      <w:r w:rsidRPr="00EC0562">
        <w:rPr>
          <w:sz w:val="22"/>
        </w:rPr>
        <w:t xml:space="preserve"> </w:t>
      </w:r>
      <w:proofErr w:type="spellStart"/>
      <w:r w:rsidRPr="00EC0562">
        <w:rPr>
          <w:sz w:val="22"/>
        </w:rPr>
        <w:t>субвенција</w:t>
      </w:r>
      <w:proofErr w:type="spellEnd"/>
      <w:r w:rsidRPr="00EC0562">
        <w:rPr>
          <w:sz w:val="22"/>
        </w:rPr>
        <w:t xml:space="preserve"> (</w:t>
      </w:r>
      <w:r w:rsidR="00094E10">
        <w:rPr>
          <w:sz w:val="22"/>
          <w:lang w:val="sr-Cyrl-RS"/>
        </w:rPr>
        <w:t xml:space="preserve">нпр. </w:t>
      </w:r>
      <w:proofErr w:type="spellStart"/>
      <w:r w:rsidRPr="00EC0562">
        <w:rPr>
          <w:sz w:val="22"/>
        </w:rPr>
        <w:t>за</w:t>
      </w:r>
      <w:proofErr w:type="spellEnd"/>
      <w:r w:rsidRPr="00EC0562">
        <w:rPr>
          <w:sz w:val="22"/>
        </w:rPr>
        <w:t xml:space="preserve"> </w:t>
      </w:r>
      <w:proofErr w:type="spellStart"/>
      <w:r w:rsidRPr="00EC0562">
        <w:rPr>
          <w:sz w:val="22"/>
        </w:rPr>
        <w:t>комуналне</w:t>
      </w:r>
      <w:proofErr w:type="spellEnd"/>
      <w:r w:rsidRPr="00EC0562">
        <w:rPr>
          <w:sz w:val="22"/>
          <w:lang w:val="sr-Cyrl-RS"/>
        </w:rPr>
        <w:t xml:space="preserve"> </w:t>
      </w:r>
      <w:proofErr w:type="spellStart"/>
      <w:r w:rsidRPr="00EC0562">
        <w:rPr>
          <w:sz w:val="22"/>
        </w:rPr>
        <w:t>таксе</w:t>
      </w:r>
      <w:proofErr w:type="spellEnd"/>
      <w:r w:rsidRPr="00EC0562">
        <w:rPr>
          <w:sz w:val="22"/>
        </w:rPr>
        <w:t xml:space="preserve"> и </w:t>
      </w:r>
      <w:proofErr w:type="spellStart"/>
      <w:r w:rsidRPr="00EC0562">
        <w:rPr>
          <w:sz w:val="22"/>
        </w:rPr>
        <w:t>накнаде</w:t>
      </w:r>
      <w:proofErr w:type="spellEnd"/>
      <w:r w:rsidRPr="00EC0562">
        <w:rPr>
          <w:sz w:val="22"/>
        </w:rPr>
        <w:t xml:space="preserve">), </w:t>
      </w:r>
      <w:r w:rsidR="008B7F03">
        <w:rPr>
          <w:sz w:val="22"/>
          <w:lang w:val="sr-Cyrl-RS"/>
        </w:rPr>
        <w:t>врши</w:t>
      </w:r>
      <w:r w:rsidR="00094E10">
        <w:rPr>
          <w:sz w:val="22"/>
          <w:lang w:val="sr-Cyrl-RS"/>
        </w:rPr>
        <w:t xml:space="preserve">ле су </w:t>
      </w:r>
      <w:proofErr w:type="spellStart"/>
      <w:r w:rsidRPr="00EC0562">
        <w:rPr>
          <w:sz w:val="22"/>
        </w:rPr>
        <w:t>ослобађање</w:t>
      </w:r>
      <w:proofErr w:type="spellEnd"/>
      <w:r w:rsidRPr="00EC0562">
        <w:rPr>
          <w:sz w:val="22"/>
        </w:rPr>
        <w:t xml:space="preserve"> </w:t>
      </w:r>
      <w:proofErr w:type="spellStart"/>
      <w:r w:rsidRPr="00EC0562">
        <w:rPr>
          <w:sz w:val="22"/>
        </w:rPr>
        <w:t>од</w:t>
      </w:r>
      <w:proofErr w:type="spellEnd"/>
      <w:r w:rsidRPr="00EC0562">
        <w:rPr>
          <w:sz w:val="22"/>
        </w:rPr>
        <w:t xml:space="preserve"> </w:t>
      </w:r>
      <w:r w:rsidR="00094E10">
        <w:rPr>
          <w:sz w:val="22"/>
          <w:lang w:val="sr-Cyrl-RS"/>
        </w:rPr>
        <w:t xml:space="preserve">обавезе плаћања </w:t>
      </w:r>
      <w:proofErr w:type="spellStart"/>
      <w:r w:rsidR="00094E10">
        <w:rPr>
          <w:sz w:val="22"/>
        </w:rPr>
        <w:t>закупнине</w:t>
      </w:r>
      <w:proofErr w:type="spellEnd"/>
      <w:r w:rsidRPr="00EC0562">
        <w:rPr>
          <w:sz w:val="22"/>
        </w:rPr>
        <w:t xml:space="preserve">, </w:t>
      </w:r>
      <w:r w:rsidR="00094E10">
        <w:rPr>
          <w:sz w:val="22"/>
          <w:lang w:val="sr-Cyrl-RS"/>
        </w:rPr>
        <w:t xml:space="preserve">одобравале </w:t>
      </w:r>
      <w:proofErr w:type="spellStart"/>
      <w:r w:rsidRPr="00EC0562">
        <w:rPr>
          <w:sz w:val="22"/>
        </w:rPr>
        <w:t>опрост</w:t>
      </w:r>
      <w:proofErr w:type="spellEnd"/>
      <w:r w:rsidRPr="00EC0562">
        <w:rPr>
          <w:sz w:val="22"/>
          <w:lang w:val="sr-Cyrl-RS"/>
        </w:rPr>
        <w:t xml:space="preserve">/мораторијум на дугове, као </w:t>
      </w:r>
      <w:r w:rsidRPr="00EC0562">
        <w:rPr>
          <w:sz w:val="22"/>
        </w:rPr>
        <w:t xml:space="preserve">и </w:t>
      </w:r>
      <w:r w:rsidR="00094E10">
        <w:rPr>
          <w:sz w:val="22"/>
          <w:lang w:val="sr-Cyrl-RS"/>
        </w:rPr>
        <w:t xml:space="preserve">пружале </w:t>
      </w:r>
      <w:proofErr w:type="spellStart"/>
      <w:r w:rsidR="00094E10">
        <w:rPr>
          <w:sz w:val="22"/>
        </w:rPr>
        <w:t>друге</w:t>
      </w:r>
      <w:proofErr w:type="spellEnd"/>
      <w:r w:rsidR="008B7F03">
        <w:rPr>
          <w:sz w:val="22"/>
        </w:rPr>
        <w:t xml:space="preserve"> </w:t>
      </w:r>
      <w:proofErr w:type="spellStart"/>
      <w:r w:rsidR="008B7F03">
        <w:rPr>
          <w:sz w:val="22"/>
        </w:rPr>
        <w:t>видове</w:t>
      </w:r>
      <w:proofErr w:type="spellEnd"/>
      <w:r w:rsidRPr="00EC0562">
        <w:rPr>
          <w:sz w:val="22"/>
        </w:rPr>
        <w:t xml:space="preserve"> </w:t>
      </w:r>
      <w:proofErr w:type="spellStart"/>
      <w:r w:rsidRPr="00EC0562">
        <w:rPr>
          <w:sz w:val="22"/>
        </w:rPr>
        <w:t>помоћи</w:t>
      </w:r>
      <w:proofErr w:type="spellEnd"/>
      <w:r w:rsidRPr="00EC0562">
        <w:rPr>
          <w:sz w:val="22"/>
        </w:rPr>
        <w:t xml:space="preserve"> </w:t>
      </w:r>
      <w:proofErr w:type="spellStart"/>
      <w:r w:rsidRPr="00EC0562">
        <w:rPr>
          <w:sz w:val="22"/>
        </w:rPr>
        <w:t>привредним</w:t>
      </w:r>
      <w:proofErr w:type="spellEnd"/>
      <w:r w:rsidRPr="00EC0562">
        <w:rPr>
          <w:sz w:val="22"/>
        </w:rPr>
        <w:t xml:space="preserve"> </w:t>
      </w:r>
      <w:proofErr w:type="spellStart"/>
      <w:r w:rsidRPr="00EC0562">
        <w:rPr>
          <w:sz w:val="22"/>
        </w:rPr>
        <w:t>субј</w:t>
      </w:r>
      <w:proofErr w:type="spellEnd"/>
      <w:r w:rsidRPr="00EC0562">
        <w:rPr>
          <w:sz w:val="22"/>
          <w:lang w:val="sr-Cyrl-RS"/>
        </w:rPr>
        <w:t>е</w:t>
      </w:r>
      <w:proofErr w:type="spellStart"/>
      <w:r w:rsidRPr="00EC0562">
        <w:rPr>
          <w:sz w:val="22"/>
        </w:rPr>
        <w:t>ктима</w:t>
      </w:r>
      <w:proofErr w:type="spellEnd"/>
      <w:r w:rsidR="008B7F03">
        <w:rPr>
          <w:sz w:val="22"/>
          <w:lang w:val="sr-Cyrl-RS"/>
        </w:rPr>
        <w:t xml:space="preserve"> и с</w:t>
      </w:r>
      <w:r w:rsidRPr="00EC0562">
        <w:rPr>
          <w:sz w:val="22"/>
          <w:lang w:val="sr-Cyrl-RS"/>
        </w:rPr>
        <w:t>тановништву</w:t>
      </w:r>
      <w:r w:rsidR="00F31967">
        <w:rPr>
          <w:sz w:val="22"/>
          <w:lang w:val="sr-Cyrl-RS"/>
        </w:rPr>
        <w:t xml:space="preserve"> (нпр. смањење </w:t>
      </w:r>
      <w:proofErr w:type="spellStart"/>
      <w:r w:rsidR="00F31967">
        <w:rPr>
          <w:sz w:val="22"/>
          <w:lang w:val="sr-Cyrl-RS"/>
        </w:rPr>
        <w:t>цијене</w:t>
      </w:r>
      <w:proofErr w:type="spellEnd"/>
      <w:r w:rsidR="00F31967">
        <w:rPr>
          <w:sz w:val="22"/>
          <w:lang w:val="sr-Cyrl-RS"/>
        </w:rPr>
        <w:t xml:space="preserve"> боравка у предшколским установама)</w:t>
      </w:r>
      <w:r w:rsidR="008B7F03">
        <w:rPr>
          <w:sz w:val="22"/>
        </w:rPr>
        <w:t xml:space="preserve">, </w:t>
      </w:r>
      <w:proofErr w:type="spellStart"/>
      <w:r w:rsidR="008B7F03">
        <w:rPr>
          <w:sz w:val="22"/>
        </w:rPr>
        <w:t>што</w:t>
      </w:r>
      <w:proofErr w:type="spellEnd"/>
      <w:r w:rsidR="008B7F03">
        <w:rPr>
          <w:sz w:val="22"/>
        </w:rPr>
        <w:t xml:space="preserve"> </w:t>
      </w:r>
      <w:proofErr w:type="spellStart"/>
      <w:r w:rsidR="008B7F03">
        <w:rPr>
          <w:sz w:val="22"/>
        </w:rPr>
        <w:lastRenderedPageBreak/>
        <w:t>је</w:t>
      </w:r>
      <w:proofErr w:type="spellEnd"/>
      <w:r w:rsidR="008B7F03">
        <w:rPr>
          <w:sz w:val="22"/>
        </w:rPr>
        <w:t xml:space="preserve"> </w:t>
      </w:r>
      <w:proofErr w:type="spellStart"/>
      <w:r w:rsidR="008B7F03">
        <w:rPr>
          <w:sz w:val="22"/>
        </w:rPr>
        <w:t>утицало</w:t>
      </w:r>
      <w:proofErr w:type="spellEnd"/>
      <w:r w:rsidR="008B7F03">
        <w:rPr>
          <w:sz w:val="22"/>
        </w:rPr>
        <w:t xml:space="preserve"> </w:t>
      </w:r>
      <w:proofErr w:type="spellStart"/>
      <w:r w:rsidR="008B7F03">
        <w:rPr>
          <w:sz w:val="22"/>
        </w:rPr>
        <w:t>на</w:t>
      </w:r>
      <w:proofErr w:type="spellEnd"/>
      <w:r w:rsidR="008B7F03">
        <w:rPr>
          <w:sz w:val="22"/>
        </w:rPr>
        <w:t xml:space="preserve"> </w:t>
      </w:r>
      <w:proofErr w:type="spellStart"/>
      <w:r w:rsidR="008B7F03">
        <w:rPr>
          <w:sz w:val="22"/>
        </w:rPr>
        <w:t>мање</w:t>
      </w:r>
      <w:proofErr w:type="spellEnd"/>
      <w:r w:rsidR="008B7F03">
        <w:rPr>
          <w:sz w:val="22"/>
        </w:rPr>
        <w:t xml:space="preserve"> </w:t>
      </w:r>
      <w:proofErr w:type="spellStart"/>
      <w:r w:rsidR="008B7F03">
        <w:rPr>
          <w:sz w:val="22"/>
        </w:rPr>
        <w:t>оств</w:t>
      </w:r>
      <w:proofErr w:type="spellEnd"/>
      <w:r w:rsidR="008B7F03">
        <w:rPr>
          <w:sz w:val="22"/>
          <w:lang w:val="sr-Cyrl-RS"/>
        </w:rPr>
        <w:t>а</w:t>
      </w:r>
      <w:proofErr w:type="spellStart"/>
      <w:r w:rsidR="008B7F03">
        <w:rPr>
          <w:sz w:val="22"/>
        </w:rPr>
        <w:t>рење</w:t>
      </w:r>
      <w:proofErr w:type="spellEnd"/>
      <w:r w:rsidR="008B7F03">
        <w:rPr>
          <w:sz w:val="22"/>
        </w:rPr>
        <w:t xml:space="preserve"> </w:t>
      </w:r>
      <w:proofErr w:type="spellStart"/>
      <w:r w:rsidR="008B7F03">
        <w:rPr>
          <w:sz w:val="22"/>
        </w:rPr>
        <w:t>непореских</w:t>
      </w:r>
      <w:proofErr w:type="spellEnd"/>
      <w:r w:rsidR="008B7F03">
        <w:rPr>
          <w:sz w:val="22"/>
        </w:rPr>
        <w:t xml:space="preserve"> </w:t>
      </w:r>
      <w:proofErr w:type="spellStart"/>
      <w:r w:rsidR="008B7F03">
        <w:rPr>
          <w:sz w:val="22"/>
        </w:rPr>
        <w:t>приход</w:t>
      </w:r>
      <w:proofErr w:type="spellEnd"/>
      <w:r w:rsidR="008B7F03">
        <w:rPr>
          <w:sz w:val="22"/>
          <w:lang w:val="sr-Cyrl-RS"/>
        </w:rPr>
        <w:t>а</w:t>
      </w:r>
      <w:r w:rsidRPr="00EC0562">
        <w:rPr>
          <w:sz w:val="22"/>
        </w:rPr>
        <w:t>.</w:t>
      </w:r>
      <w:r w:rsidR="008B7F03">
        <w:rPr>
          <w:sz w:val="22"/>
          <w:lang w:val="sr-Cyrl-RS"/>
        </w:rPr>
        <w:t xml:space="preserve"> С друге стране, ова помоћ привреди, уз далеко обимније и сложеније </w:t>
      </w:r>
      <w:proofErr w:type="spellStart"/>
      <w:r w:rsidR="008B7F03">
        <w:rPr>
          <w:sz w:val="22"/>
          <w:lang w:val="sr-Cyrl-RS"/>
        </w:rPr>
        <w:t>мјере</w:t>
      </w:r>
      <w:proofErr w:type="spellEnd"/>
      <w:r w:rsidR="008B7F03">
        <w:rPr>
          <w:sz w:val="22"/>
          <w:lang w:val="sr-Cyrl-RS"/>
        </w:rPr>
        <w:t xml:space="preserve"> са нивоа РС, </w:t>
      </w:r>
      <w:proofErr w:type="spellStart"/>
      <w:r w:rsidR="008B7F03">
        <w:rPr>
          <w:sz w:val="22"/>
          <w:lang w:val="sr-Cyrl-RS"/>
        </w:rPr>
        <w:t>обезбиједили</w:t>
      </w:r>
      <w:proofErr w:type="spellEnd"/>
      <w:r w:rsidR="008B7F03">
        <w:rPr>
          <w:sz w:val="22"/>
          <w:lang w:val="sr-Cyrl-RS"/>
        </w:rPr>
        <w:t xml:space="preserve"> су неопходну подршку привредним субјектима</w:t>
      </w:r>
      <w:r w:rsidR="00F31967">
        <w:rPr>
          <w:sz w:val="22"/>
          <w:lang w:val="sr-Cyrl-RS"/>
        </w:rPr>
        <w:t xml:space="preserve">, </w:t>
      </w:r>
      <w:r w:rsidR="008B7F03">
        <w:rPr>
          <w:sz w:val="22"/>
          <w:lang w:val="sr-Cyrl-RS"/>
        </w:rPr>
        <w:t xml:space="preserve"> са циљем очувања радних </w:t>
      </w:r>
      <w:proofErr w:type="spellStart"/>
      <w:r w:rsidR="008B7F03">
        <w:rPr>
          <w:sz w:val="22"/>
          <w:lang w:val="sr-Cyrl-RS"/>
        </w:rPr>
        <w:t>мјеста</w:t>
      </w:r>
      <w:proofErr w:type="spellEnd"/>
      <w:r w:rsidR="008B7F03">
        <w:rPr>
          <w:sz w:val="22"/>
          <w:lang w:val="sr-Cyrl-RS"/>
        </w:rPr>
        <w:t xml:space="preserve"> и континуитета пословања. </w:t>
      </w:r>
    </w:p>
    <w:p w14:paraId="71D499E5" w14:textId="77777777" w:rsidR="00094E10" w:rsidRDefault="00094E10" w:rsidP="00EC0562">
      <w:pPr>
        <w:spacing w:line="276" w:lineRule="auto"/>
        <w:ind w:firstLine="708"/>
        <w:jc w:val="both"/>
        <w:rPr>
          <w:sz w:val="22"/>
          <w:lang w:val="sr-Cyrl-RS" w:eastAsia="en-US"/>
        </w:rPr>
      </w:pPr>
    </w:p>
    <w:p w14:paraId="0420CA73" w14:textId="77777777" w:rsidR="003B3149" w:rsidRDefault="008B7F03" w:rsidP="008B7F03">
      <w:pPr>
        <w:spacing w:line="276" w:lineRule="auto"/>
        <w:ind w:firstLine="708"/>
        <w:jc w:val="both"/>
        <w:rPr>
          <w:sz w:val="22"/>
          <w:lang w:val="sr-Cyrl-RS" w:eastAsia="en-US"/>
        </w:rPr>
      </w:pPr>
      <w:r>
        <w:rPr>
          <w:sz w:val="22"/>
          <w:lang w:val="sr-Cyrl-RS" w:eastAsia="en-US"/>
        </w:rPr>
        <w:t xml:space="preserve">Осим значајног пада прихода у односу на исти период 2019. године, анкетиране ЈЛС нису оствариле ни планирани буџет. Достављени </w:t>
      </w:r>
      <w:r w:rsidR="00094E10">
        <w:rPr>
          <w:sz w:val="22"/>
          <w:lang w:val="sr-Cyrl-RS" w:eastAsia="en-US"/>
        </w:rPr>
        <w:t>п</w:t>
      </w:r>
      <w:r w:rsidR="00EC0562" w:rsidRPr="00094E10">
        <w:rPr>
          <w:sz w:val="22"/>
          <w:lang w:val="sr-Cyrl-RS" w:eastAsia="en-US"/>
        </w:rPr>
        <w:t xml:space="preserve">одаци </w:t>
      </w:r>
      <w:r>
        <w:rPr>
          <w:sz w:val="22"/>
          <w:lang w:val="sr-Cyrl-RS" w:eastAsia="en-US"/>
        </w:rPr>
        <w:t xml:space="preserve">показују да су све </w:t>
      </w:r>
      <w:r w:rsidR="00EC0562" w:rsidRPr="00094E10">
        <w:rPr>
          <w:sz w:val="22"/>
          <w:lang w:val="sr-Cyrl-RS" w:eastAsia="en-US"/>
        </w:rPr>
        <w:t>анкетиране ЈЛС</w:t>
      </w:r>
      <w:r>
        <w:rPr>
          <w:sz w:val="22"/>
          <w:lang w:val="sr-Cyrl-RS" w:eastAsia="en-US"/>
        </w:rPr>
        <w:t>,</w:t>
      </w:r>
      <w:r w:rsidR="00EC0562" w:rsidRPr="00094E10">
        <w:rPr>
          <w:sz w:val="22"/>
          <w:lang w:val="sr-Cyrl-RS" w:eastAsia="en-US"/>
        </w:rPr>
        <w:t xml:space="preserve"> у првом кварталу 2020. г</w:t>
      </w:r>
      <w:r>
        <w:rPr>
          <w:sz w:val="22"/>
          <w:lang w:val="sr-Cyrl-RS" w:eastAsia="en-US"/>
        </w:rPr>
        <w:t>одине,</w:t>
      </w:r>
      <w:r w:rsidR="00EC0562" w:rsidRPr="00094E10">
        <w:rPr>
          <w:sz w:val="22"/>
          <w:lang w:val="sr-Cyrl-RS" w:eastAsia="en-US"/>
        </w:rPr>
        <w:t xml:space="preserve"> оствариле мање </w:t>
      </w:r>
      <w:r>
        <w:rPr>
          <w:sz w:val="22"/>
          <w:lang w:val="sr-Cyrl-RS" w:eastAsia="en-US"/>
        </w:rPr>
        <w:t xml:space="preserve">укупно </w:t>
      </w:r>
      <w:r w:rsidR="00F31967">
        <w:rPr>
          <w:sz w:val="22"/>
          <w:lang w:val="sr-Cyrl-RS" w:eastAsia="en-US"/>
        </w:rPr>
        <w:t>приходе у односу на планирани буџет</w:t>
      </w:r>
      <w:r w:rsidR="00EC0562" w:rsidRPr="00094E10">
        <w:rPr>
          <w:sz w:val="22"/>
          <w:lang w:val="sr-Cyrl-RS" w:eastAsia="en-US"/>
        </w:rPr>
        <w:t xml:space="preserve"> у распону од </w:t>
      </w:r>
      <w:r>
        <w:rPr>
          <w:sz w:val="22"/>
          <w:lang w:val="sr-Cyrl-RS" w:eastAsia="en-US"/>
        </w:rPr>
        <w:t>-</w:t>
      </w:r>
      <w:r w:rsidR="00EC0562" w:rsidRPr="00094E10">
        <w:rPr>
          <w:sz w:val="22"/>
          <w:lang w:val="sr-Cyrl-RS" w:eastAsia="en-US"/>
        </w:rPr>
        <w:t xml:space="preserve">20% (Приједор) до </w:t>
      </w:r>
      <w:r>
        <w:rPr>
          <w:sz w:val="22"/>
          <w:lang w:val="sr-Cyrl-RS" w:eastAsia="en-US"/>
        </w:rPr>
        <w:t>-</w:t>
      </w:r>
      <w:r w:rsidR="00EC0562" w:rsidRPr="00094E10">
        <w:rPr>
          <w:sz w:val="22"/>
          <w:lang w:val="sr-Cyrl-RS" w:eastAsia="en-US"/>
        </w:rPr>
        <w:t>5,6% (</w:t>
      </w:r>
      <w:proofErr w:type="spellStart"/>
      <w:r w:rsidR="00EC0562" w:rsidRPr="00094E10">
        <w:rPr>
          <w:sz w:val="22"/>
          <w:lang w:val="sr-Cyrl-RS" w:eastAsia="en-US"/>
        </w:rPr>
        <w:t>Србац</w:t>
      </w:r>
      <w:proofErr w:type="spellEnd"/>
      <w:r w:rsidR="00EC0562" w:rsidRPr="00094E10">
        <w:rPr>
          <w:sz w:val="22"/>
          <w:lang w:val="sr-Cyrl-RS" w:eastAsia="en-US"/>
        </w:rPr>
        <w:t>). Са 30.06.2020. године ситуациј</w:t>
      </w:r>
      <w:r w:rsidR="00F31967">
        <w:rPr>
          <w:sz w:val="22"/>
          <w:lang w:val="sr-Cyrl-RS" w:eastAsia="en-US"/>
        </w:rPr>
        <w:t>а је још драматичнија. Редукција остварених у односу на планиране</w:t>
      </w:r>
      <w:r w:rsidR="00EC0562" w:rsidRPr="00094E10">
        <w:rPr>
          <w:sz w:val="22"/>
          <w:lang w:val="sr-Cyrl-RS" w:eastAsia="en-US"/>
        </w:rPr>
        <w:t xml:space="preserve"> прихода се креће од </w:t>
      </w:r>
      <w:r w:rsidR="00535A2E">
        <w:rPr>
          <w:sz w:val="22"/>
          <w:lang w:val="sr-Cyrl-RS" w:eastAsia="en-US"/>
        </w:rPr>
        <w:t>-</w:t>
      </w:r>
      <w:r w:rsidR="00EC0562" w:rsidRPr="00094E10">
        <w:rPr>
          <w:sz w:val="22"/>
          <w:lang w:val="sr-Cyrl-RS" w:eastAsia="en-US"/>
        </w:rPr>
        <w:t xml:space="preserve">30% (Приједор, Фоча) до </w:t>
      </w:r>
      <w:r w:rsidR="00535A2E">
        <w:rPr>
          <w:sz w:val="22"/>
          <w:lang w:val="sr-Cyrl-RS" w:eastAsia="en-US"/>
        </w:rPr>
        <w:t>-</w:t>
      </w:r>
      <w:r w:rsidR="00EC0562" w:rsidRPr="00094E10">
        <w:rPr>
          <w:sz w:val="22"/>
          <w:lang w:val="sr-Cyrl-RS" w:eastAsia="en-US"/>
        </w:rPr>
        <w:t>20% (Лакташи).</w:t>
      </w:r>
    </w:p>
    <w:p w14:paraId="790352C0" w14:textId="77777777" w:rsidR="003B3149" w:rsidRDefault="003B3149" w:rsidP="008B7F03">
      <w:pPr>
        <w:spacing w:line="276" w:lineRule="auto"/>
        <w:ind w:firstLine="708"/>
        <w:jc w:val="both"/>
        <w:rPr>
          <w:sz w:val="22"/>
          <w:lang w:val="sr-Cyrl-RS" w:eastAsia="en-US"/>
        </w:rPr>
      </w:pPr>
    </w:p>
    <w:p w14:paraId="0F8A79B4" w14:textId="77777777" w:rsidR="00EC0562" w:rsidRDefault="003B3149" w:rsidP="008B7F03">
      <w:pPr>
        <w:spacing w:line="276" w:lineRule="auto"/>
        <w:ind w:firstLine="708"/>
        <w:jc w:val="both"/>
        <w:rPr>
          <w:sz w:val="22"/>
          <w:lang w:val="sr-Cyrl-RS" w:eastAsia="en-US"/>
        </w:rPr>
      </w:pPr>
      <w:r>
        <w:rPr>
          <w:sz w:val="22"/>
          <w:lang w:val="sr-Cyrl-RS" w:eastAsia="en-US"/>
        </w:rPr>
        <w:t xml:space="preserve">Иако су све ЈЛС оствариле значајне финансијске губитке због </w:t>
      </w:r>
      <w:proofErr w:type="spellStart"/>
      <w:r>
        <w:rPr>
          <w:sz w:val="22"/>
          <w:lang w:val="sr-Cyrl-RS" w:eastAsia="en-US"/>
        </w:rPr>
        <w:t>пандемије</w:t>
      </w:r>
      <w:proofErr w:type="spellEnd"/>
      <w:r>
        <w:rPr>
          <w:sz w:val="22"/>
          <w:lang w:val="sr-Cyrl-RS" w:eastAsia="en-US"/>
        </w:rPr>
        <w:t xml:space="preserve">, </w:t>
      </w:r>
      <w:r w:rsidR="007B6B27">
        <w:rPr>
          <w:sz w:val="22"/>
          <w:lang w:val="sr-Cyrl-RS" w:eastAsia="en-US"/>
        </w:rPr>
        <w:t>развијеније и веће ЈЛС</w:t>
      </w:r>
      <w:r w:rsidR="00900DA7">
        <w:rPr>
          <w:sz w:val="22"/>
          <w:lang w:val="sr-Latn-RS" w:eastAsia="en-US"/>
        </w:rPr>
        <w:t xml:space="preserve"> </w:t>
      </w:r>
      <w:r w:rsidR="00900DA7">
        <w:rPr>
          <w:sz w:val="22"/>
          <w:lang w:val="sr-Cyrl-RS" w:eastAsia="en-US"/>
        </w:rPr>
        <w:t>имају могућност да на бољи начин компензују ове губитке, укључујући и додатно задуживање. Тако</w:t>
      </w:r>
      <w:r w:rsidR="00900DA7" w:rsidRPr="00D94BC3">
        <w:rPr>
          <w:sz w:val="22"/>
          <w:lang w:val="sr-Cyrl-RS"/>
        </w:rPr>
        <w:t xml:space="preserve">ђе, пад прихода, утицао је на све ЈЛС у смислу </w:t>
      </w:r>
      <w:proofErr w:type="spellStart"/>
      <w:r w:rsidR="00900DA7" w:rsidRPr="00D94BC3">
        <w:rPr>
          <w:sz w:val="22"/>
          <w:lang w:val="sr-Cyrl-RS"/>
        </w:rPr>
        <w:t>прерасподјеле</w:t>
      </w:r>
      <w:proofErr w:type="spellEnd"/>
      <w:r w:rsidR="00900DA7" w:rsidRPr="00D94BC3">
        <w:rPr>
          <w:sz w:val="22"/>
          <w:lang w:val="sr-Cyrl-RS"/>
        </w:rPr>
        <w:t xml:space="preserve"> текуће потрошње (буџетских расхода). Расходи су смањивани у с</w:t>
      </w:r>
      <w:r w:rsidR="00F31967">
        <w:rPr>
          <w:sz w:val="22"/>
          <w:lang w:val="sr-Cyrl-RS"/>
        </w:rPr>
        <w:t xml:space="preserve">кладу са приоритетима сваке ЈЛС. </w:t>
      </w:r>
      <w:r w:rsidR="00900DA7" w:rsidRPr="00D94BC3">
        <w:rPr>
          <w:sz w:val="22"/>
          <w:lang w:val="sr-Cyrl-RS"/>
        </w:rPr>
        <w:t xml:space="preserve"> </w:t>
      </w:r>
      <w:r w:rsidR="00F31967">
        <w:rPr>
          <w:sz w:val="22"/>
          <w:lang w:val="sr-Cyrl-RS"/>
        </w:rPr>
        <w:t xml:space="preserve">Приходи су опадали брже и више, него </w:t>
      </w:r>
      <w:r w:rsidR="00900DA7" w:rsidRPr="00D94BC3">
        <w:rPr>
          <w:sz w:val="22"/>
          <w:lang w:val="sr-Cyrl-RS"/>
        </w:rPr>
        <w:t xml:space="preserve">што </w:t>
      </w:r>
      <w:r w:rsidR="00F31967">
        <w:rPr>
          <w:sz w:val="22"/>
          <w:lang w:val="sr-Cyrl-RS"/>
        </w:rPr>
        <w:t xml:space="preserve">су се могли прилагодити расходи, што </w:t>
      </w:r>
      <w:r w:rsidR="00900DA7" w:rsidRPr="00D94BC3">
        <w:rPr>
          <w:sz w:val="22"/>
          <w:lang w:val="sr-Cyrl-RS"/>
        </w:rPr>
        <w:t xml:space="preserve">је </w:t>
      </w:r>
      <w:r w:rsidR="00900DA7">
        <w:rPr>
          <w:sz w:val="22"/>
          <w:lang w:val="sr-Cyrl-RS"/>
        </w:rPr>
        <w:t>негативно</w:t>
      </w:r>
      <w:r w:rsidR="00900DA7" w:rsidRPr="00D94BC3">
        <w:rPr>
          <w:sz w:val="22"/>
          <w:lang w:val="sr-Cyrl-RS"/>
        </w:rPr>
        <w:t xml:space="preserve"> утицало на ниво бруто буџетског суфицита, како номинално, тако и </w:t>
      </w:r>
      <w:proofErr w:type="spellStart"/>
      <w:r w:rsidR="00900DA7" w:rsidRPr="00D94BC3">
        <w:rPr>
          <w:sz w:val="22"/>
          <w:lang w:val="sr-Cyrl-RS"/>
        </w:rPr>
        <w:t>реалтивно</w:t>
      </w:r>
      <w:proofErr w:type="spellEnd"/>
      <w:r w:rsidR="00900DA7" w:rsidRPr="00D94BC3">
        <w:rPr>
          <w:sz w:val="22"/>
          <w:lang w:val="sr-Cyrl-RS"/>
        </w:rPr>
        <w:t xml:space="preserve"> у односу на почетни план за 2020. годину. Бруто буџетски суфицит/дефицит (као разлика буџетских прихода и расхода) показује способност финансирања инвестиција из остварених прихода без додатног задуживања и продаје имовине ЈЛС.</w:t>
      </w:r>
      <w:r w:rsidR="00900DA7">
        <w:rPr>
          <w:sz w:val="22"/>
          <w:lang w:val="sr-Latn-RS"/>
        </w:rPr>
        <w:t xml:space="preserve"> </w:t>
      </w:r>
      <w:r w:rsidR="007B6B27">
        <w:rPr>
          <w:sz w:val="22"/>
          <w:lang w:val="sr-Cyrl-RS" w:eastAsia="en-US"/>
        </w:rPr>
        <w:t xml:space="preserve"> </w:t>
      </w:r>
    </w:p>
    <w:p w14:paraId="11479DAB" w14:textId="5B80BAD6" w:rsidR="005D2713" w:rsidRDefault="005D2713" w:rsidP="00EC0562">
      <w:pPr>
        <w:spacing w:line="276" w:lineRule="auto"/>
        <w:ind w:firstLine="708"/>
        <w:jc w:val="both"/>
        <w:rPr>
          <w:sz w:val="22"/>
          <w:lang w:val="sr-Cyrl-RS" w:eastAsia="en-US"/>
        </w:rPr>
      </w:pPr>
    </w:p>
    <w:p w14:paraId="037872EE" w14:textId="77777777" w:rsidR="005D2713" w:rsidRDefault="00FA5BA1" w:rsidP="005D2713">
      <w:pPr>
        <w:pStyle w:val="Heading1"/>
        <w:spacing w:line="276" w:lineRule="auto"/>
        <w:rPr>
          <w:sz w:val="22"/>
          <w:szCs w:val="22"/>
          <w:lang w:val="en-US"/>
        </w:rPr>
      </w:pPr>
      <w:bookmarkStart w:id="15" w:name="_Toc59550015"/>
      <w:r>
        <w:rPr>
          <w:sz w:val="22"/>
          <w:szCs w:val="22"/>
          <w:lang w:val="sr-Cyrl-RS"/>
        </w:rPr>
        <w:t>5.2</w:t>
      </w:r>
      <w:r w:rsidR="005D2713">
        <w:rPr>
          <w:sz w:val="22"/>
          <w:szCs w:val="22"/>
          <w:lang w:val="sr-Cyrl-RS"/>
        </w:rPr>
        <w:t>.</w:t>
      </w:r>
      <w:r w:rsidR="005D2713" w:rsidRPr="00700EE4">
        <w:rPr>
          <w:sz w:val="22"/>
          <w:szCs w:val="22"/>
        </w:rPr>
        <w:t xml:space="preserve"> </w:t>
      </w:r>
      <w:r w:rsidR="005D2713" w:rsidRPr="00700EE4">
        <w:rPr>
          <w:sz w:val="22"/>
          <w:szCs w:val="22"/>
          <w:lang w:val="sr-Cyrl-RS"/>
        </w:rPr>
        <w:t xml:space="preserve"> </w:t>
      </w:r>
      <w:r w:rsidR="00CF28C5">
        <w:rPr>
          <w:sz w:val="22"/>
          <w:szCs w:val="22"/>
          <w:lang w:val="sr-Cyrl-RS"/>
        </w:rPr>
        <w:t xml:space="preserve">Преглед проведених </w:t>
      </w:r>
      <w:proofErr w:type="spellStart"/>
      <w:r w:rsidR="00CF28C5">
        <w:rPr>
          <w:sz w:val="22"/>
          <w:szCs w:val="22"/>
          <w:lang w:val="sr-Cyrl-RS"/>
        </w:rPr>
        <w:t>мјера</w:t>
      </w:r>
      <w:proofErr w:type="spellEnd"/>
      <w:r w:rsidR="00CF28C5">
        <w:rPr>
          <w:sz w:val="22"/>
          <w:szCs w:val="22"/>
          <w:lang w:val="sr-Cyrl-RS"/>
        </w:rPr>
        <w:t xml:space="preserve"> за </w:t>
      </w:r>
      <w:proofErr w:type="spellStart"/>
      <w:r w:rsidR="00CF28C5">
        <w:rPr>
          <w:sz w:val="22"/>
          <w:szCs w:val="22"/>
          <w:lang w:val="sr-Cyrl-RS"/>
        </w:rPr>
        <w:t>вријеме</w:t>
      </w:r>
      <w:proofErr w:type="spellEnd"/>
      <w:r w:rsidR="00CF28C5">
        <w:rPr>
          <w:sz w:val="22"/>
          <w:szCs w:val="22"/>
          <w:lang w:val="sr-Cyrl-RS"/>
        </w:rPr>
        <w:t xml:space="preserve"> кризе изазване </w:t>
      </w:r>
      <w:r w:rsidR="00CF28C5">
        <w:rPr>
          <w:sz w:val="22"/>
          <w:szCs w:val="22"/>
          <w:lang w:val="en-US"/>
        </w:rPr>
        <w:t>COVID-19</w:t>
      </w:r>
      <w:bookmarkEnd w:id="15"/>
    </w:p>
    <w:p w14:paraId="3EDDC4B7" w14:textId="77777777" w:rsidR="00146C5F" w:rsidRPr="00146C5F" w:rsidRDefault="00146C5F" w:rsidP="00146C5F">
      <w:pPr>
        <w:rPr>
          <w:lang w:val="en-US" w:eastAsia="en-US"/>
        </w:rPr>
      </w:pPr>
    </w:p>
    <w:p w14:paraId="5CD0796B" w14:textId="77777777" w:rsidR="00DF5E86" w:rsidRPr="00146C5F" w:rsidRDefault="00146C5F" w:rsidP="00146C5F">
      <w:pPr>
        <w:jc w:val="both"/>
        <w:rPr>
          <w:sz w:val="22"/>
          <w:lang w:val="sr-Cyrl-RS" w:eastAsia="en-US"/>
        </w:rPr>
      </w:pPr>
      <w:r>
        <w:rPr>
          <w:lang w:val="en-US" w:eastAsia="en-US"/>
        </w:rPr>
        <w:tab/>
      </w:r>
      <w:r w:rsidRPr="00146C5F">
        <w:rPr>
          <w:sz w:val="22"/>
          <w:lang w:val="sr-Cyrl-RS" w:eastAsia="en-US"/>
        </w:rPr>
        <w:t xml:space="preserve">У наставку се даје сумарни преглед одговора на упитник који је креиран током овог истраживања, а који обухвата различите сегменте функционисања ЈЛС у </w:t>
      </w:r>
      <w:proofErr w:type="spellStart"/>
      <w:r w:rsidRPr="00146C5F">
        <w:rPr>
          <w:sz w:val="22"/>
          <w:lang w:val="sr-Cyrl-RS" w:eastAsia="en-US"/>
        </w:rPr>
        <w:t>вријеме</w:t>
      </w:r>
      <w:proofErr w:type="spellEnd"/>
      <w:r w:rsidRPr="00146C5F">
        <w:rPr>
          <w:sz w:val="22"/>
          <w:lang w:val="sr-Cyrl-RS" w:eastAsia="en-US"/>
        </w:rPr>
        <w:t xml:space="preserve"> </w:t>
      </w:r>
      <w:proofErr w:type="spellStart"/>
      <w:r w:rsidRPr="00146C5F">
        <w:rPr>
          <w:sz w:val="22"/>
          <w:lang w:val="sr-Cyrl-RS" w:eastAsia="en-US"/>
        </w:rPr>
        <w:t>пандемије</w:t>
      </w:r>
      <w:proofErr w:type="spellEnd"/>
      <w:r w:rsidRPr="00146C5F">
        <w:rPr>
          <w:sz w:val="22"/>
          <w:lang w:val="sr-Cyrl-RS" w:eastAsia="en-US"/>
        </w:rPr>
        <w:t>:</w:t>
      </w:r>
    </w:p>
    <w:p w14:paraId="44CEEF03" w14:textId="77777777" w:rsidR="00661087" w:rsidRDefault="00661087" w:rsidP="00365ABE">
      <w:pPr>
        <w:rPr>
          <w:b/>
          <w:lang w:val="sr-Cyrl-RS" w:eastAsia="en-US"/>
        </w:rPr>
      </w:pPr>
    </w:p>
    <w:tbl>
      <w:tblPr>
        <w:tblW w:w="9922" w:type="dxa"/>
        <w:tblInd w:w="-5" w:type="dxa"/>
        <w:tblCellMar>
          <w:left w:w="0" w:type="dxa"/>
          <w:right w:w="0" w:type="dxa"/>
        </w:tblCellMar>
        <w:tblLook w:val="04A0" w:firstRow="1" w:lastRow="0" w:firstColumn="1" w:lastColumn="0" w:noHBand="0" w:noVBand="1"/>
      </w:tblPr>
      <w:tblGrid>
        <w:gridCol w:w="4397"/>
        <w:gridCol w:w="5525"/>
      </w:tblGrid>
      <w:tr w:rsidR="00661087" w14:paraId="1B751138" w14:textId="77777777" w:rsidTr="00146C5F">
        <w:trPr>
          <w:trHeight w:val="317"/>
        </w:trPr>
        <w:tc>
          <w:tcPr>
            <w:tcW w:w="4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42A91" w14:textId="77777777" w:rsidR="00661087" w:rsidRPr="006E109A" w:rsidRDefault="00661087" w:rsidP="00FB328D">
            <w:pPr>
              <w:jc w:val="center"/>
              <w:rPr>
                <w:b/>
                <w:bCs/>
                <w:color w:val="000000"/>
                <w:sz w:val="20"/>
                <w:szCs w:val="22"/>
              </w:rPr>
            </w:pPr>
            <w:r w:rsidRPr="006E109A">
              <w:rPr>
                <w:b/>
                <w:bCs/>
                <w:color w:val="000000"/>
                <w:sz w:val="20"/>
                <w:szCs w:val="22"/>
              </w:rPr>
              <w:t>ПИТАЊЕ</w:t>
            </w:r>
          </w:p>
        </w:tc>
        <w:tc>
          <w:tcPr>
            <w:tcW w:w="55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D1ECC6" w14:textId="77777777" w:rsidR="00661087" w:rsidRPr="0061226F" w:rsidRDefault="00661087" w:rsidP="00FB328D">
            <w:pPr>
              <w:jc w:val="center"/>
              <w:rPr>
                <w:b/>
                <w:bCs/>
                <w:color w:val="000000"/>
                <w:sz w:val="20"/>
                <w:szCs w:val="22"/>
              </w:rPr>
            </w:pPr>
            <w:r w:rsidRPr="0061226F">
              <w:rPr>
                <w:b/>
                <w:bCs/>
                <w:color w:val="000000"/>
                <w:sz w:val="20"/>
                <w:szCs w:val="22"/>
              </w:rPr>
              <w:t>ОДГОВОР</w:t>
            </w:r>
          </w:p>
        </w:tc>
      </w:tr>
      <w:tr w:rsidR="00661087" w14:paraId="059DBA96" w14:textId="77777777" w:rsidTr="00146C5F">
        <w:trPr>
          <w:trHeight w:val="3587"/>
        </w:trPr>
        <w:tc>
          <w:tcPr>
            <w:tcW w:w="4397" w:type="dxa"/>
            <w:tcBorders>
              <w:top w:val="nil"/>
              <w:left w:val="single" w:sz="4" w:space="0" w:color="auto"/>
              <w:bottom w:val="single" w:sz="4" w:space="0" w:color="auto"/>
              <w:right w:val="single" w:sz="4" w:space="0" w:color="auto"/>
            </w:tcBorders>
            <w:shd w:val="clear" w:color="auto" w:fill="auto"/>
            <w:vAlign w:val="center"/>
            <w:hideMark/>
          </w:tcPr>
          <w:p w14:paraId="7522480A" w14:textId="77777777" w:rsidR="002367EC" w:rsidRDefault="002367EC" w:rsidP="002367EC">
            <w:pPr>
              <w:jc w:val="both"/>
              <w:rPr>
                <w:sz w:val="20"/>
                <w:szCs w:val="22"/>
              </w:rPr>
            </w:pPr>
            <w:r>
              <w:rPr>
                <w:sz w:val="20"/>
                <w:szCs w:val="22"/>
              </w:rPr>
              <w:t xml:space="preserve">         I</w:t>
            </w:r>
          </w:p>
          <w:p w14:paraId="3F329866" w14:textId="77777777" w:rsidR="00302BF6" w:rsidRPr="0061226F" w:rsidRDefault="00CF28C5" w:rsidP="00CF28C5">
            <w:pPr>
              <w:rPr>
                <w:sz w:val="20"/>
                <w:szCs w:val="22"/>
              </w:rPr>
            </w:pPr>
            <w:proofErr w:type="spellStart"/>
            <w:r>
              <w:rPr>
                <w:sz w:val="20"/>
                <w:szCs w:val="22"/>
              </w:rPr>
              <w:t>Да</w:t>
            </w:r>
            <w:proofErr w:type="spellEnd"/>
            <w:r>
              <w:rPr>
                <w:sz w:val="20"/>
                <w:szCs w:val="22"/>
              </w:rPr>
              <w:t xml:space="preserve"> </w:t>
            </w:r>
            <w:proofErr w:type="spellStart"/>
            <w:r>
              <w:rPr>
                <w:sz w:val="20"/>
                <w:szCs w:val="22"/>
              </w:rPr>
              <w:t>ли</w:t>
            </w:r>
            <w:proofErr w:type="spellEnd"/>
            <w:r>
              <w:rPr>
                <w:sz w:val="20"/>
                <w:szCs w:val="22"/>
              </w:rPr>
              <w:t xml:space="preserve"> </w:t>
            </w:r>
            <w:proofErr w:type="spellStart"/>
            <w:r>
              <w:rPr>
                <w:sz w:val="20"/>
                <w:szCs w:val="22"/>
              </w:rPr>
              <w:t>је</w:t>
            </w:r>
            <w:proofErr w:type="spellEnd"/>
            <w:r>
              <w:rPr>
                <w:sz w:val="20"/>
                <w:szCs w:val="22"/>
              </w:rPr>
              <w:t xml:space="preserve"> </w:t>
            </w:r>
            <w:r w:rsidR="00661087" w:rsidRPr="0061226F">
              <w:rPr>
                <w:sz w:val="20"/>
                <w:szCs w:val="22"/>
              </w:rPr>
              <w:t xml:space="preserve">ЈЛС </w:t>
            </w:r>
            <w:proofErr w:type="spellStart"/>
            <w:r w:rsidR="00661087" w:rsidRPr="0061226F">
              <w:rPr>
                <w:sz w:val="20"/>
                <w:szCs w:val="22"/>
              </w:rPr>
              <w:t>вршила</w:t>
            </w:r>
            <w:proofErr w:type="spellEnd"/>
            <w:r w:rsidR="00661087" w:rsidRPr="0061226F">
              <w:rPr>
                <w:sz w:val="20"/>
                <w:szCs w:val="22"/>
              </w:rPr>
              <w:t xml:space="preserve"> </w:t>
            </w:r>
            <w:proofErr w:type="spellStart"/>
            <w:r w:rsidR="00661087" w:rsidRPr="0061226F">
              <w:rPr>
                <w:sz w:val="20"/>
                <w:szCs w:val="22"/>
              </w:rPr>
              <w:t>репрограм</w:t>
            </w:r>
            <w:proofErr w:type="spellEnd"/>
            <w:r w:rsidR="00661087" w:rsidRPr="0061226F">
              <w:rPr>
                <w:sz w:val="20"/>
                <w:szCs w:val="22"/>
              </w:rPr>
              <w:t xml:space="preserve"> </w:t>
            </w:r>
            <w:proofErr w:type="spellStart"/>
            <w:r w:rsidR="00661087" w:rsidRPr="0061226F">
              <w:rPr>
                <w:sz w:val="20"/>
                <w:szCs w:val="22"/>
              </w:rPr>
              <w:t>кредитних</w:t>
            </w:r>
            <w:proofErr w:type="spellEnd"/>
            <w:r w:rsidR="00661087" w:rsidRPr="0061226F">
              <w:rPr>
                <w:sz w:val="20"/>
                <w:szCs w:val="22"/>
              </w:rPr>
              <w:t xml:space="preserve"> </w:t>
            </w:r>
            <w:proofErr w:type="spellStart"/>
            <w:r w:rsidR="00661087" w:rsidRPr="0061226F">
              <w:rPr>
                <w:sz w:val="20"/>
                <w:szCs w:val="22"/>
              </w:rPr>
              <w:t>задужења</w:t>
            </w:r>
            <w:proofErr w:type="spellEnd"/>
            <w:r w:rsidR="00661087" w:rsidRPr="0061226F">
              <w:rPr>
                <w:sz w:val="20"/>
                <w:szCs w:val="22"/>
              </w:rPr>
              <w:t xml:space="preserve">, у </w:t>
            </w:r>
            <w:proofErr w:type="spellStart"/>
            <w:r w:rsidR="00661087" w:rsidRPr="0061226F">
              <w:rPr>
                <w:sz w:val="20"/>
                <w:szCs w:val="22"/>
              </w:rPr>
              <w:t>којем</w:t>
            </w:r>
            <w:proofErr w:type="spellEnd"/>
            <w:r w:rsidR="00661087" w:rsidRPr="0061226F">
              <w:rPr>
                <w:sz w:val="20"/>
                <w:szCs w:val="22"/>
              </w:rPr>
              <w:t xml:space="preserve"> </w:t>
            </w:r>
            <w:proofErr w:type="spellStart"/>
            <w:r w:rsidR="00661087" w:rsidRPr="0061226F">
              <w:rPr>
                <w:sz w:val="20"/>
                <w:szCs w:val="22"/>
              </w:rPr>
              <w:t>износу</w:t>
            </w:r>
            <w:proofErr w:type="spellEnd"/>
            <w:r w:rsidR="00661087" w:rsidRPr="0061226F">
              <w:rPr>
                <w:sz w:val="20"/>
                <w:szCs w:val="22"/>
              </w:rPr>
              <w:t xml:space="preserve">, </w:t>
            </w:r>
            <w:proofErr w:type="spellStart"/>
            <w:r w:rsidR="00661087" w:rsidRPr="0061226F">
              <w:rPr>
                <w:sz w:val="20"/>
                <w:szCs w:val="22"/>
              </w:rPr>
              <w:t>ако</w:t>
            </w:r>
            <w:proofErr w:type="spellEnd"/>
            <w:r w:rsidR="00661087" w:rsidRPr="0061226F">
              <w:rPr>
                <w:sz w:val="20"/>
                <w:szCs w:val="22"/>
              </w:rPr>
              <w:t xml:space="preserve"> </w:t>
            </w:r>
            <w:proofErr w:type="spellStart"/>
            <w:r w:rsidR="00661087" w:rsidRPr="0061226F">
              <w:rPr>
                <w:sz w:val="20"/>
                <w:szCs w:val="22"/>
              </w:rPr>
              <w:t>јесте</w:t>
            </w:r>
            <w:proofErr w:type="spellEnd"/>
            <w:r w:rsidR="00661087" w:rsidRPr="0061226F">
              <w:rPr>
                <w:sz w:val="20"/>
                <w:szCs w:val="22"/>
              </w:rPr>
              <w:t>?</w:t>
            </w:r>
          </w:p>
          <w:p w14:paraId="130D6922" w14:textId="77777777" w:rsidR="00CF28C5" w:rsidRDefault="00661087" w:rsidP="00CF28C5">
            <w:pPr>
              <w:rPr>
                <w:sz w:val="20"/>
                <w:szCs w:val="22"/>
              </w:rPr>
            </w:pPr>
            <w:r w:rsidRPr="0061226F">
              <w:rPr>
                <w:sz w:val="20"/>
                <w:szCs w:val="22"/>
              </w:rPr>
              <w:t xml:space="preserve">  </w:t>
            </w:r>
            <w:r w:rsidRPr="0061226F">
              <w:rPr>
                <w:sz w:val="20"/>
                <w:szCs w:val="22"/>
              </w:rPr>
              <w:br/>
            </w:r>
            <w:proofErr w:type="spellStart"/>
            <w:r w:rsidRPr="0061226F">
              <w:rPr>
                <w:sz w:val="20"/>
                <w:szCs w:val="22"/>
              </w:rPr>
              <w:t>Колика</w:t>
            </w:r>
            <w:proofErr w:type="spellEnd"/>
            <w:r w:rsidRPr="0061226F">
              <w:rPr>
                <w:sz w:val="20"/>
                <w:szCs w:val="22"/>
              </w:rPr>
              <w:t xml:space="preserve"> </w:t>
            </w:r>
            <w:proofErr w:type="spellStart"/>
            <w:r w:rsidRPr="0061226F">
              <w:rPr>
                <w:sz w:val="20"/>
                <w:szCs w:val="22"/>
              </w:rPr>
              <w:t>је</w:t>
            </w:r>
            <w:proofErr w:type="spellEnd"/>
            <w:r w:rsidRPr="0061226F">
              <w:rPr>
                <w:sz w:val="20"/>
                <w:szCs w:val="22"/>
              </w:rPr>
              <w:t xml:space="preserve"> </w:t>
            </w:r>
            <w:proofErr w:type="spellStart"/>
            <w:r w:rsidRPr="0061226F">
              <w:rPr>
                <w:sz w:val="20"/>
                <w:szCs w:val="22"/>
              </w:rPr>
              <w:t>била</w:t>
            </w:r>
            <w:proofErr w:type="spellEnd"/>
            <w:r w:rsidRPr="0061226F">
              <w:rPr>
                <w:sz w:val="20"/>
                <w:szCs w:val="22"/>
              </w:rPr>
              <w:t xml:space="preserve"> </w:t>
            </w:r>
            <w:proofErr w:type="spellStart"/>
            <w:r w:rsidRPr="0061226F">
              <w:rPr>
                <w:sz w:val="20"/>
                <w:szCs w:val="22"/>
              </w:rPr>
              <w:t>стопа</w:t>
            </w:r>
            <w:proofErr w:type="spellEnd"/>
            <w:r w:rsidRPr="0061226F">
              <w:rPr>
                <w:sz w:val="20"/>
                <w:szCs w:val="22"/>
              </w:rPr>
              <w:t xml:space="preserve"> </w:t>
            </w:r>
            <w:proofErr w:type="spellStart"/>
            <w:r w:rsidRPr="0061226F">
              <w:rPr>
                <w:sz w:val="20"/>
                <w:szCs w:val="22"/>
              </w:rPr>
              <w:t>краткорочне</w:t>
            </w:r>
            <w:proofErr w:type="spellEnd"/>
            <w:r w:rsidRPr="0061226F">
              <w:rPr>
                <w:sz w:val="20"/>
                <w:szCs w:val="22"/>
              </w:rPr>
              <w:t xml:space="preserve"> и </w:t>
            </w:r>
            <w:proofErr w:type="spellStart"/>
            <w:r w:rsidRPr="0061226F">
              <w:rPr>
                <w:sz w:val="20"/>
                <w:szCs w:val="22"/>
              </w:rPr>
              <w:t>дугорочне</w:t>
            </w:r>
            <w:proofErr w:type="spellEnd"/>
            <w:r w:rsidRPr="0061226F">
              <w:rPr>
                <w:sz w:val="20"/>
                <w:szCs w:val="22"/>
              </w:rPr>
              <w:t xml:space="preserve"> </w:t>
            </w:r>
            <w:proofErr w:type="spellStart"/>
            <w:r w:rsidRPr="0061226F">
              <w:rPr>
                <w:sz w:val="20"/>
                <w:szCs w:val="22"/>
              </w:rPr>
              <w:t>задужености</w:t>
            </w:r>
            <w:proofErr w:type="spellEnd"/>
            <w:r w:rsidRPr="0061226F">
              <w:rPr>
                <w:sz w:val="20"/>
                <w:szCs w:val="22"/>
              </w:rPr>
              <w:t xml:space="preserve"> </w:t>
            </w:r>
            <w:proofErr w:type="spellStart"/>
            <w:r w:rsidRPr="0061226F">
              <w:rPr>
                <w:sz w:val="20"/>
                <w:szCs w:val="22"/>
              </w:rPr>
              <w:t>на</w:t>
            </w:r>
            <w:proofErr w:type="spellEnd"/>
            <w:r w:rsidRPr="0061226F">
              <w:rPr>
                <w:sz w:val="20"/>
                <w:szCs w:val="22"/>
              </w:rPr>
              <w:t xml:space="preserve"> </w:t>
            </w:r>
            <w:proofErr w:type="spellStart"/>
            <w:r w:rsidRPr="0061226F">
              <w:rPr>
                <w:sz w:val="20"/>
                <w:szCs w:val="22"/>
              </w:rPr>
              <w:t>дан</w:t>
            </w:r>
            <w:proofErr w:type="spellEnd"/>
            <w:r w:rsidRPr="0061226F">
              <w:rPr>
                <w:sz w:val="20"/>
                <w:szCs w:val="22"/>
              </w:rPr>
              <w:t xml:space="preserve"> 31.12.2019. г., а </w:t>
            </w:r>
            <w:proofErr w:type="spellStart"/>
            <w:r w:rsidRPr="0061226F">
              <w:rPr>
                <w:sz w:val="20"/>
                <w:szCs w:val="22"/>
              </w:rPr>
              <w:t>колика</w:t>
            </w:r>
            <w:proofErr w:type="spellEnd"/>
            <w:r w:rsidRPr="0061226F">
              <w:rPr>
                <w:sz w:val="20"/>
                <w:szCs w:val="22"/>
              </w:rPr>
              <w:t xml:space="preserve"> </w:t>
            </w:r>
            <w:proofErr w:type="spellStart"/>
            <w:r w:rsidRPr="0061226F">
              <w:rPr>
                <w:sz w:val="20"/>
                <w:szCs w:val="22"/>
              </w:rPr>
              <w:t>на</w:t>
            </w:r>
            <w:proofErr w:type="spellEnd"/>
            <w:r w:rsidRPr="0061226F">
              <w:rPr>
                <w:sz w:val="20"/>
                <w:szCs w:val="22"/>
              </w:rPr>
              <w:t xml:space="preserve"> </w:t>
            </w:r>
          </w:p>
          <w:p w14:paraId="0486FC4C" w14:textId="77777777" w:rsidR="00661087" w:rsidRPr="0061226F" w:rsidRDefault="00661087" w:rsidP="00CF28C5">
            <w:pPr>
              <w:rPr>
                <w:sz w:val="20"/>
                <w:szCs w:val="22"/>
              </w:rPr>
            </w:pPr>
            <w:proofErr w:type="spellStart"/>
            <w:r w:rsidRPr="0061226F">
              <w:rPr>
                <w:sz w:val="20"/>
                <w:szCs w:val="22"/>
              </w:rPr>
              <w:t>дан</w:t>
            </w:r>
            <w:proofErr w:type="spellEnd"/>
            <w:r w:rsidRPr="0061226F">
              <w:rPr>
                <w:sz w:val="20"/>
                <w:szCs w:val="22"/>
              </w:rPr>
              <w:t xml:space="preserve"> 30.06.2020. г., </w:t>
            </w:r>
            <w:proofErr w:type="spellStart"/>
            <w:r w:rsidRPr="0061226F">
              <w:rPr>
                <w:sz w:val="20"/>
                <w:szCs w:val="22"/>
              </w:rPr>
              <w:t>према</w:t>
            </w:r>
            <w:proofErr w:type="spellEnd"/>
            <w:r w:rsidRPr="0061226F">
              <w:rPr>
                <w:sz w:val="20"/>
                <w:szCs w:val="22"/>
              </w:rPr>
              <w:t xml:space="preserve"> </w:t>
            </w:r>
            <w:proofErr w:type="spellStart"/>
            <w:r w:rsidRPr="0061226F">
              <w:rPr>
                <w:sz w:val="20"/>
                <w:szCs w:val="22"/>
              </w:rPr>
              <w:t>методологији</w:t>
            </w:r>
            <w:proofErr w:type="spellEnd"/>
            <w:r w:rsidRPr="0061226F">
              <w:rPr>
                <w:sz w:val="20"/>
                <w:szCs w:val="22"/>
              </w:rPr>
              <w:t xml:space="preserve"> </w:t>
            </w:r>
            <w:proofErr w:type="spellStart"/>
            <w:r w:rsidRPr="0061226F">
              <w:rPr>
                <w:sz w:val="20"/>
                <w:szCs w:val="22"/>
              </w:rPr>
              <w:t>из</w:t>
            </w:r>
            <w:proofErr w:type="spellEnd"/>
            <w:r w:rsidRPr="0061226F">
              <w:rPr>
                <w:sz w:val="20"/>
                <w:szCs w:val="22"/>
              </w:rPr>
              <w:t xml:space="preserve"> </w:t>
            </w:r>
            <w:proofErr w:type="spellStart"/>
            <w:r w:rsidRPr="0061226F">
              <w:rPr>
                <w:sz w:val="20"/>
                <w:szCs w:val="22"/>
              </w:rPr>
              <w:t>Закон</w:t>
            </w:r>
            <w:proofErr w:type="spellEnd"/>
            <w:r w:rsidRPr="0061226F">
              <w:rPr>
                <w:sz w:val="20"/>
                <w:szCs w:val="22"/>
              </w:rPr>
              <w:t xml:space="preserve"> о </w:t>
            </w:r>
            <w:proofErr w:type="spellStart"/>
            <w:r w:rsidRPr="0061226F">
              <w:rPr>
                <w:sz w:val="20"/>
                <w:szCs w:val="22"/>
              </w:rPr>
              <w:t>задуживању</w:t>
            </w:r>
            <w:proofErr w:type="spellEnd"/>
            <w:r w:rsidRPr="0061226F">
              <w:rPr>
                <w:sz w:val="20"/>
                <w:szCs w:val="22"/>
              </w:rPr>
              <w:t xml:space="preserve">, </w:t>
            </w:r>
            <w:proofErr w:type="spellStart"/>
            <w:r w:rsidRPr="0061226F">
              <w:rPr>
                <w:sz w:val="20"/>
                <w:szCs w:val="22"/>
              </w:rPr>
              <w:t>дугу</w:t>
            </w:r>
            <w:proofErr w:type="spellEnd"/>
            <w:r w:rsidRPr="0061226F">
              <w:rPr>
                <w:sz w:val="20"/>
                <w:szCs w:val="22"/>
              </w:rPr>
              <w:t xml:space="preserve"> и </w:t>
            </w:r>
            <w:proofErr w:type="spellStart"/>
            <w:r w:rsidRPr="0061226F">
              <w:rPr>
                <w:sz w:val="20"/>
                <w:szCs w:val="22"/>
              </w:rPr>
              <w:t>гаранцијама</w:t>
            </w:r>
            <w:proofErr w:type="spellEnd"/>
            <w:r w:rsidRPr="0061226F">
              <w:rPr>
                <w:sz w:val="20"/>
                <w:szCs w:val="22"/>
              </w:rPr>
              <w:t xml:space="preserve"> РС?</w:t>
            </w:r>
          </w:p>
        </w:tc>
        <w:tc>
          <w:tcPr>
            <w:tcW w:w="5525" w:type="dxa"/>
            <w:tcBorders>
              <w:top w:val="nil"/>
              <w:left w:val="nil"/>
              <w:bottom w:val="single" w:sz="4" w:space="0" w:color="auto"/>
              <w:right w:val="single" w:sz="4" w:space="0" w:color="auto"/>
            </w:tcBorders>
            <w:shd w:val="clear" w:color="auto" w:fill="auto"/>
            <w:vAlign w:val="center"/>
            <w:hideMark/>
          </w:tcPr>
          <w:p w14:paraId="498992E6" w14:textId="77777777" w:rsidR="00CF28C5" w:rsidRDefault="00532E7F" w:rsidP="00CF28C5">
            <w:pPr>
              <w:rPr>
                <w:sz w:val="20"/>
              </w:rPr>
            </w:pPr>
            <w:r>
              <w:rPr>
                <w:sz w:val="20"/>
                <w:lang w:val="sr-Cyrl-RS"/>
              </w:rPr>
              <w:t xml:space="preserve">1. </w:t>
            </w:r>
            <w:r w:rsidR="0061226F" w:rsidRPr="000943BC">
              <w:rPr>
                <w:sz w:val="20"/>
              </w:rPr>
              <w:t xml:space="preserve">У </w:t>
            </w:r>
            <w:proofErr w:type="spellStart"/>
            <w:r w:rsidR="0061226F" w:rsidRPr="000943BC">
              <w:rPr>
                <w:sz w:val="20"/>
              </w:rPr>
              <w:t>погледу</w:t>
            </w:r>
            <w:proofErr w:type="spellEnd"/>
            <w:r w:rsidR="0061226F" w:rsidRPr="000943BC">
              <w:rPr>
                <w:sz w:val="20"/>
              </w:rPr>
              <w:t xml:space="preserve"> </w:t>
            </w:r>
            <w:proofErr w:type="spellStart"/>
            <w:r w:rsidR="0061226F" w:rsidRPr="000943BC">
              <w:rPr>
                <w:sz w:val="20"/>
              </w:rPr>
              <w:t>креди</w:t>
            </w:r>
            <w:r w:rsidR="00CF28C5">
              <w:rPr>
                <w:sz w:val="20"/>
              </w:rPr>
              <w:t>тних</w:t>
            </w:r>
            <w:proofErr w:type="spellEnd"/>
            <w:r w:rsidR="00CF28C5">
              <w:rPr>
                <w:sz w:val="20"/>
              </w:rPr>
              <w:t xml:space="preserve"> </w:t>
            </w:r>
            <w:proofErr w:type="spellStart"/>
            <w:r w:rsidR="00CF28C5">
              <w:rPr>
                <w:sz w:val="20"/>
              </w:rPr>
              <w:t>задужења</w:t>
            </w:r>
            <w:proofErr w:type="spellEnd"/>
            <w:r w:rsidR="00CF28C5">
              <w:rPr>
                <w:sz w:val="20"/>
              </w:rPr>
              <w:t xml:space="preserve">, </w:t>
            </w:r>
            <w:proofErr w:type="spellStart"/>
            <w:r w:rsidR="00CF28C5">
              <w:rPr>
                <w:sz w:val="20"/>
              </w:rPr>
              <w:t>предузимане</w:t>
            </w:r>
            <w:proofErr w:type="spellEnd"/>
            <w:r w:rsidR="00CF28C5">
              <w:rPr>
                <w:sz w:val="20"/>
              </w:rPr>
              <w:t xml:space="preserve"> </w:t>
            </w:r>
            <w:proofErr w:type="spellStart"/>
            <w:r w:rsidR="00CF28C5">
              <w:rPr>
                <w:sz w:val="20"/>
              </w:rPr>
              <w:t>су</w:t>
            </w:r>
            <w:proofErr w:type="spellEnd"/>
            <w:r w:rsidR="00CF28C5">
              <w:rPr>
                <w:sz w:val="20"/>
              </w:rPr>
              <w:t xml:space="preserve"> с</w:t>
            </w:r>
            <w:r w:rsidR="00CF28C5">
              <w:rPr>
                <w:sz w:val="20"/>
                <w:lang w:val="sr-Cyrl-RS"/>
              </w:rPr>
              <w:t>љ</w:t>
            </w:r>
            <w:proofErr w:type="spellStart"/>
            <w:r w:rsidR="0061226F" w:rsidRPr="000943BC">
              <w:rPr>
                <w:sz w:val="20"/>
              </w:rPr>
              <w:t>ед</w:t>
            </w:r>
            <w:proofErr w:type="spellEnd"/>
            <w:r w:rsidR="00583D28">
              <w:rPr>
                <w:sz w:val="20"/>
                <w:lang w:val="sr-Cyrl-RS"/>
              </w:rPr>
              <w:t>е</w:t>
            </w:r>
            <w:proofErr w:type="spellStart"/>
            <w:r w:rsidR="0061226F" w:rsidRPr="000943BC">
              <w:rPr>
                <w:sz w:val="20"/>
              </w:rPr>
              <w:t>ће</w:t>
            </w:r>
            <w:proofErr w:type="spellEnd"/>
            <w:r w:rsidR="0061226F" w:rsidRPr="000943BC">
              <w:rPr>
                <w:sz w:val="20"/>
              </w:rPr>
              <w:t xml:space="preserve"> </w:t>
            </w:r>
            <w:proofErr w:type="spellStart"/>
            <w:r w:rsidR="0061226F" w:rsidRPr="000943BC">
              <w:rPr>
                <w:sz w:val="20"/>
              </w:rPr>
              <w:t>мјере</w:t>
            </w:r>
            <w:proofErr w:type="spellEnd"/>
            <w:r w:rsidR="0061226F" w:rsidRPr="000943BC">
              <w:rPr>
                <w:sz w:val="20"/>
              </w:rPr>
              <w:t xml:space="preserve">: </w:t>
            </w:r>
          </w:p>
          <w:p w14:paraId="3DD57099" w14:textId="77777777" w:rsidR="00CF28C5" w:rsidRPr="00583D28" w:rsidRDefault="00CF28C5" w:rsidP="00CF28C5">
            <w:pPr>
              <w:rPr>
                <w:sz w:val="20"/>
                <w:lang w:val="sr-Cyrl-RS"/>
              </w:rPr>
            </w:pPr>
            <w:r>
              <w:rPr>
                <w:sz w:val="20"/>
                <w:lang w:val="sr-Cyrl-RS"/>
              </w:rPr>
              <w:t>-</w:t>
            </w:r>
            <w:proofErr w:type="spellStart"/>
            <w:r w:rsidR="00583D28">
              <w:rPr>
                <w:sz w:val="20"/>
              </w:rPr>
              <w:t>репрограм</w:t>
            </w:r>
            <w:proofErr w:type="spellEnd"/>
            <w:r w:rsidR="00583D28">
              <w:rPr>
                <w:sz w:val="20"/>
              </w:rPr>
              <w:t xml:space="preserve"> </w:t>
            </w:r>
            <w:r w:rsidR="00583D28">
              <w:rPr>
                <w:sz w:val="20"/>
                <w:lang w:val="sr-Cyrl-RS"/>
              </w:rPr>
              <w:t>(</w:t>
            </w:r>
            <w:proofErr w:type="spellStart"/>
            <w:r w:rsidR="00583D28">
              <w:rPr>
                <w:sz w:val="20"/>
                <w:lang w:val="sr-Cyrl-RS"/>
              </w:rPr>
              <w:t>рефинансирање</w:t>
            </w:r>
            <w:proofErr w:type="spellEnd"/>
            <w:r w:rsidR="00583D28">
              <w:rPr>
                <w:sz w:val="20"/>
                <w:lang w:val="sr-Cyrl-RS"/>
              </w:rPr>
              <w:t>) постојећих кредита,</w:t>
            </w:r>
          </w:p>
          <w:p w14:paraId="404D7EC4" w14:textId="77777777" w:rsidR="00BA3123" w:rsidRDefault="00CF28C5" w:rsidP="00CF28C5">
            <w:pPr>
              <w:rPr>
                <w:sz w:val="20"/>
                <w:lang w:val="sr-Cyrl-RS"/>
              </w:rPr>
            </w:pPr>
            <w:r>
              <w:rPr>
                <w:sz w:val="20"/>
                <w:lang w:val="sr-Cyrl-RS"/>
              </w:rPr>
              <w:t>-</w:t>
            </w:r>
            <w:proofErr w:type="spellStart"/>
            <w:r w:rsidR="0061226F" w:rsidRPr="000943BC">
              <w:rPr>
                <w:sz w:val="20"/>
              </w:rPr>
              <w:t>мораториј</w:t>
            </w:r>
            <w:proofErr w:type="spellEnd"/>
            <w:r w:rsidR="0061226F" w:rsidRPr="000943BC">
              <w:rPr>
                <w:sz w:val="20"/>
              </w:rPr>
              <w:t xml:space="preserve"> </w:t>
            </w:r>
            <w:proofErr w:type="spellStart"/>
            <w:r w:rsidR="0061226F" w:rsidRPr="000943BC">
              <w:rPr>
                <w:sz w:val="20"/>
              </w:rPr>
              <w:t>на</w:t>
            </w:r>
            <w:proofErr w:type="spellEnd"/>
            <w:r w:rsidR="0061226F" w:rsidRPr="000943BC">
              <w:rPr>
                <w:sz w:val="20"/>
              </w:rPr>
              <w:t xml:space="preserve"> </w:t>
            </w:r>
            <w:proofErr w:type="spellStart"/>
            <w:r w:rsidR="0061226F" w:rsidRPr="000943BC">
              <w:rPr>
                <w:sz w:val="20"/>
              </w:rPr>
              <w:t>отплату</w:t>
            </w:r>
            <w:proofErr w:type="spellEnd"/>
            <w:r w:rsidR="0061226F" w:rsidRPr="000943BC">
              <w:rPr>
                <w:sz w:val="20"/>
              </w:rPr>
              <w:t xml:space="preserve"> </w:t>
            </w:r>
            <w:r>
              <w:rPr>
                <w:sz w:val="20"/>
                <w:lang w:val="sr-Cyrl-RS"/>
              </w:rPr>
              <w:t>кредит</w:t>
            </w:r>
            <w:r w:rsidR="0061226F" w:rsidRPr="000943BC">
              <w:rPr>
                <w:sz w:val="20"/>
              </w:rPr>
              <w:t>а</w:t>
            </w:r>
            <w:r w:rsidR="00583D28">
              <w:rPr>
                <w:sz w:val="20"/>
                <w:lang w:val="sr-Cyrl-RS"/>
              </w:rPr>
              <w:t>,</w:t>
            </w:r>
          </w:p>
          <w:p w14:paraId="7804EF3B" w14:textId="77777777" w:rsidR="00CF28C5" w:rsidRDefault="00CF28C5" w:rsidP="00CF28C5">
            <w:pPr>
              <w:rPr>
                <w:sz w:val="20"/>
              </w:rPr>
            </w:pPr>
            <w:r>
              <w:rPr>
                <w:sz w:val="20"/>
                <w:lang w:val="sr-Cyrl-RS"/>
              </w:rPr>
              <w:t>-мораториј на плаћање</w:t>
            </w:r>
            <w:r w:rsidR="0061226F" w:rsidRPr="000943BC">
              <w:rPr>
                <w:sz w:val="20"/>
              </w:rPr>
              <w:t xml:space="preserve"> </w:t>
            </w:r>
            <w:r w:rsidR="00BA3123">
              <w:rPr>
                <w:sz w:val="20"/>
                <w:lang w:val="sr-Cyrl-RS"/>
              </w:rPr>
              <w:t xml:space="preserve">датих </w:t>
            </w:r>
            <w:proofErr w:type="spellStart"/>
            <w:r w:rsidR="0061226F" w:rsidRPr="000943BC">
              <w:rPr>
                <w:sz w:val="20"/>
              </w:rPr>
              <w:t>гаранција</w:t>
            </w:r>
            <w:proofErr w:type="spellEnd"/>
            <w:r w:rsidR="00BA3123">
              <w:rPr>
                <w:sz w:val="20"/>
                <w:lang w:val="sr-Cyrl-RS"/>
              </w:rPr>
              <w:t xml:space="preserve"> повезаним </w:t>
            </w:r>
            <w:proofErr w:type="spellStart"/>
            <w:r w:rsidR="00BA3123">
              <w:rPr>
                <w:sz w:val="20"/>
                <w:lang w:val="sr-Cyrl-RS"/>
              </w:rPr>
              <w:t>прљвним</w:t>
            </w:r>
            <w:proofErr w:type="spellEnd"/>
            <w:r w:rsidR="00BA3123">
              <w:rPr>
                <w:sz w:val="20"/>
                <w:lang w:val="sr-Cyrl-RS"/>
              </w:rPr>
              <w:t xml:space="preserve"> лицима</w:t>
            </w:r>
            <w:r w:rsidR="0061226F" w:rsidRPr="000943BC">
              <w:rPr>
                <w:sz w:val="20"/>
              </w:rPr>
              <w:t xml:space="preserve">. </w:t>
            </w:r>
          </w:p>
          <w:p w14:paraId="705A95F4" w14:textId="77777777" w:rsidR="0061226F" w:rsidRPr="000943BC" w:rsidRDefault="00532E7F" w:rsidP="00CF28C5">
            <w:pPr>
              <w:rPr>
                <w:sz w:val="20"/>
              </w:rPr>
            </w:pPr>
            <w:r>
              <w:rPr>
                <w:sz w:val="20"/>
                <w:lang w:val="sr-Cyrl-RS"/>
              </w:rPr>
              <w:t>2. Ове</w:t>
            </w:r>
            <w:r>
              <w:rPr>
                <w:sz w:val="20"/>
              </w:rPr>
              <w:t xml:space="preserve"> </w:t>
            </w:r>
            <w:proofErr w:type="spellStart"/>
            <w:r>
              <w:rPr>
                <w:sz w:val="20"/>
              </w:rPr>
              <w:t>мјере</w:t>
            </w:r>
            <w:proofErr w:type="spellEnd"/>
            <w:r>
              <w:rPr>
                <w:sz w:val="20"/>
              </w:rPr>
              <w:t xml:space="preserve"> </w:t>
            </w:r>
            <w:proofErr w:type="spellStart"/>
            <w:r>
              <w:rPr>
                <w:sz w:val="20"/>
              </w:rPr>
              <w:t>обезб</w:t>
            </w:r>
            <w:proofErr w:type="spellEnd"/>
            <w:r>
              <w:rPr>
                <w:sz w:val="20"/>
                <w:lang w:val="sr-Cyrl-RS"/>
              </w:rPr>
              <w:t>и</w:t>
            </w:r>
            <w:proofErr w:type="spellStart"/>
            <w:r>
              <w:rPr>
                <w:sz w:val="20"/>
              </w:rPr>
              <w:t>једиле</w:t>
            </w:r>
            <w:proofErr w:type="spellEnd"/>
            <w:r>
              <w:rPr>
                <w:sz w:val="20"/>
              </w:rPr>
              <w:t xml:space="preserve"> </w:t>
            </w:r>
            <w:proofErr w:type="spellStart"/>
            <w:r>
              <w:rPr>
                <w:sz w:val="20"/>
              </w:rPr>
              <w:t>су</w:t>
            </w:r>
            <w:proofErr w:type="spellEnd"/>
            <w:r w:rsidR="00A275FE">
              <w:rPr>
                <w:sz w:val="20"/>
              </w:rPr>
              <w:t xml:space="preserve"> „</w:t>
            </w:r>
            <w:proofErr w:type="spellStart"/>
            <w:r w:rsidR="00A275FE">
              <w:rPr>
                <w:sz w:val="20"/>
              </w:rPr>
              <w:t>релак</w:t>
            </w:r>
            <w:r w:rsidR="0061226F" w:rsidRPr="000943BC">
              <w:rPr>
                <w:sz w:val="20"/>
              </w:rPr>
              <w:t>с</w:t>
            </w:r>
            <w:r w:rsidR="00A275FE">
              <w:rPr>
                <w:sz w:val="20"/>
              </w:rPr>
              <w:t>aцију</w:t>
            </w:r>
            <w:proofErr w:type="spellEnd"/>
            <w:r w:rsidR="00A275FE">
              <w:rPr>
                <w:sz w:val="20"/>
              </w:rPr>
              <w:t xml:space="preserve">“ </w:t>
            </w:r>
            <w:proofErr w:type="spellStart"/>
            <w:r w:rsidR="00A275FE">
              <w:rPr>
                <w:sz w:val="20"/>
              </w:rPr>
              <w:t>буџета</w:t>
            </w:r>
            <w:proofErr w:type="spellEnd"/>
            <w:r w:rsidR="00A275FE">
              <w:rPr>
                <w:sz w:val="20"/>
              </w:rPr>
              <w:t xml:space="preserve"> </w:t>
            </w:r>
            <w:proofErr w:type="spellStart"/>
            <w:r w:rsidR="00A275FE">
              <w:rPr>
                <w:sz w:val="20"/>
              </w:rPr>
              <w:t>за</w:t>
            </w:r>
            <w:proofErr w:type="spellEnd"/>
            <w:r w:rsidR="00A275FE">
              <w:rPr>
                <w:sz w:val="20"/>
              </w:rPr>
              <w:t xml:space="preserve"> 2020. г.</w:t>
            </w:r>
            <w:r w:rsidR="0061226F" w:rsidRPr="000943BC">
              <w:rPr>
                <w:sz w:val="20"/>
              </w:rPr>
              <w:t xml:space="preserve">, </w:t>
            </w:r>
            <w:proofErr w:type="spellStart"/>
            <w:r w:rsidR="0061226F" w:rsidRPr="000943BC">
              <w:rPr>
                <w:sz w:val="20"/>
              </w:rPr>
              <w:t>али</w:t>
            </w:r>
            <w:proofErr w:type="spellEnd"/>
            <w:r w:rsidR="0061226F" w:rsidRPr="000943BC">
              <w:rPr>
                <w:sz w:val="20"/>
              </w:rPr>
              <w:t xml:space="preserve"> </w:t>
            </w:r>
            <w:proofErr w:type="spellStart"/>
            <w:r w:rsidR="0061226F" w:rsidRPr="000943BC">
              <w:rPr>
                <w:sz w:val="20"/>
              </w:rPr>
              <w:t>су</w:t>
            </w:r>
            <w:proofErr w:type="spellEnd"/>
            <w:r w:rsidR="0061226F" w:rsidRPr="000943BC">
              <w:rPr>
                <w:sz w:val="20"/>
              </w:rPr>
              <w:t xml:space="preserve"> </w:t>
            </w:r>
            <w:proofErr w:type="spellStart"/>
            <w:r w:rsidR="0061226F" w:rsidRPr="000943BC">
              <w:rPr>
                <w:sz w:val="20"/>
              </w:rPr>
              <w:t>продужиле</w:t>
            </w:r>
            <w:proofErr w:type="spellEnd"/>
            <w:r w:rsidR="0061226F" w:rsidRPr="000943BC">
              <w:rPr>
                <w:sz w:val="20"/>
              </w:rPr>
              <w:t xml:space="preserve"> </w:t>
            </w:r>
            <w:proofErr w:type="spellStart"/>
            <w:r w:rsidR="0061226F" w:rsidRPr="000943BC">
              <w:rPr>
                <w:sz w:val="20"/>
              </w:rPr>
              <w:t>период</w:t>
            </w:r>
            <w:proofErr w:type="spellEnd"/>
            <w:r w:rsidR="0061226F" w:rsidRPr="000943BC">
              <w:rPr>
                <w:sz w:val="20"/>
              </w:rPr>
              <w:t xml:space="preserve"> </w:t>
            </w:r>
            <w:proofErr w:type="spellStart"/>
            <w:r w:rsidR="0061226F" w:rsidRPr="000943BC">
              <w:rPr>
                <w:sz w:val="20"/>
              </w:rPr>
              <w:t>отплате</w:t>
            </w:r>
            <w:proofErr w:type="spellEnd"/>
            <w:r w:rsidR="0061226F" w:rsidRPr="000943BC">
              <w:rPr>
                <w:sz w:val="20"/>
              </w:rPr>
              <w:t xml:space="preserve"> и </w:t>
            </w:r>
            <w:proofErr w:type="spellStart"/>
            <w:r w:rsidR="0061226F" w:rsidRPr="000943BC">
              <w:rPr>
                <w:sz w:val="20"/>
              </w:rPr>
              <w:t>тиме</w:t>
            </w:r>
            <w:proofErr w:type="spellEnd"/>
            <w:r w:rsidR="0061226F" w:rsidRPr="000943BC">
              <w:rPr>
                <w:sz w:val="20"/>
              </w:rPr>
              <w:t xml:space="preserve"> </w:t>
            </w:r>
            <w:proofErr w:type="spellStart"/>
            <w:r w:rsidR="0061226F" w:rsidRPr="000943BC">
              <w:rPr>
                <w:sz w:val="20"/>
              </w:rPr>
              <w:t>потенацијално</w:t>
            </w:r>
            <w:proofErr w:type="spellEnd"/>
            <w:r w:rsidR="0061226F" w:rsidRPr="000943BC">
              <w:rPr>
                <w:sz w:val="20"/>
              </w:rPr>
              <w:t xml:space="preserve"> </w:t>
            </w:r>
            <w:proofErr w:type="spellStart"/>
            <w:r w:rsidR="0061226F" w:rsidRPr="000943BC">
              <w:rPr>
                <w:sz w:val="20"/>
              </w:rPr>
              <w:t>умањиле</w:t>
            </w:r>
            <w:proofErr w:type="spellEnd"/>
            <w:r w:rsidR="0061226F" w:rsidRPr="000943BC">
              <w:rPr>
                <w:sz w:val="20"/>
              </w:rPr>
              <w:t xml:space="preserve"> </w:t>
            </w:r>
            <w:proofErr w:type="spellStart"/>
            <w:r w:rsidR="0061226F" w:rsidRPr="000943BC">
              <w:rPr>
                <w:sz w:val="20"/>
              </w:rPr>
              <w:t>могућност</w:t>
            </w:r>
            <w:proofErr w:type="spellEnd"/>
            <w:r w:rsidR="0061226F" w:rsidRPr="000943BC">
              <w:rPr>
                <w:sz w:val="20"/>
              </w:rPr>
              <w:t xml:space="preserve"> </w:t>
            </w:r>
            <w:proofErr w:type="spellStart"/>
            <w:r w:rsidR="0061226F" w:rsidRPr="000943BC">
              <w:rPr>
                <w:sz w:val="20"/>
              </w:rPr>
              <w:t>нових</w:t>
            </w:r>
            <w:proofErr w:type="spellEnd"/>
            <w:r w:rsidR="0061226F" w:rsidRPr="000943BC">
              <w:rPr>
                <w:sz w:val="20"/>
              </w:rPr>
              <w:t xml:space="preserve"> </w:t>
            </w:r>
            <w:proofErr w:type="spellStart"/>
            <w:r w:rsidR="0061226F" w:rsidRPr="000943BC">
              <w:rPr>
                <w:sz w:val="20"/>
              </w:rPr>
              <w:t>задужења</w:t>
            </w:r>
            <w:proofErr w:type="spellEnd"/>
            <w:r w:rsidR="0061226F" w:rsidRPr="000943BC">
              <w:rPr>
                <w:sz w:val="20"/>
              </w:rPr>
              <w:t xml:space="preserve"> у </w:t>
            </w:r>
            <w:proofErr w:type="spellStart"/>
            <w:r w:rsidR="0061226F" w:rsidRPr="000943BC">
              <w:rPr>
                <w:sz w:val="20"/>
              </w:rPr>
              <w:t>наредном</w:t>
            </w:r>
            <w:proofErr w:type="spellEnd"/>
            <w:r w:rsidR="0061226F" w:rsidRPr="000943BC">
              <w:rPr>
                <w:sz w:val="20"/>
              </w:rPr>
              <w:t xml:space="preserve"> </w:t>
            </w:r>
            <w:proofErr w:type="spellStart"/>
            <w:r w:rsidR="0061226F" w:rsidRPr="000943BC">
              <w:rPr>
                <w:sz w:val="20"/>
              </w:rPr>
              <w:t>периоду</w:t>
            </w:r>
            <w:proofErr w:type="spellEnd"/>
            <w:r w:rsidR="0061226F" w:rsidRPr="000943BC">
              <w:rPr>
                <w:sz w:val="20"/>
              </w:rPr>
              <w:t xml:space="preserve">. </w:t>
            </w:r>
          </w:p>
          <w:p w14:paraId="5E37A4A7" w14:textId="77777777" w:rsidR="005D5859" w:rsidRDefault="00532E7F" w:rsidP="00CF28C5">
            <w:pPr>
              <w:rPr>
                <w:sz w:val="20"/>
              </w:rPr>
            </w:pPr>
            <w:r>
              <w:rPr>
                <w:sz w:val="20"/>
                <w:lang w:val="sr-Cyrl-RS"/>
              </w:rPr>
              <w:t>3.</w:t>
            </w:r>
            <w:proofErr w:type="spellStart"/>
            <w:r w:rsidR="00A275FE">
              <w:rPr>
                <w:sz w:val="20"/>
              </w:rPr>
              <w:t>Треба</w:t>
            </w:r>
            <w:proofErr w:type="spellEnd"/>
            <w:r w:rsidR="00A275FE">
              <w:rPr>
                <w:sz w:val="20"/>
              </w:rPr>
              <w:t xml:space="preserve"> </w:t>
            </w:r>
            <w:proofErr w:type="spellStart"/>
            <w:r w:rsidR="00A275FE">
              <w:rPr>
                <w:sz w:val="20"/>
              </w:rPr>
              <w:t>и</w:t>
            </w:r>
            <w:r w:rsidR="0061226F" w:rsidRPr="000943BC">
              <w:rPr>
                <w:sz w:val="20"/>
              </w:rPr>
              <w:t>м</w:t>
            </w:r>
            <w:r w:rsidR="00A275FE">
              <w:rPr>
                <w:sz w:val="20"/>
              </w:rPr>
              <w:t>a</w:t>
            </w:r>
            <w:r w:rsidR="0061226F" w:rsidRPr="000943BC">
              <w:rPr>
                <w:sz w:val="20"/>
              </w:rPr>
              <w:t>ти</w:t>
            </w:r>
            <w:proofErr w:type="spellEnd"/>
            <w:r w:rsidR="0061226F" w:rsidRPr="000943BC">
              <w:rPr>
                <w:sz w:val="20"/>
              </w:rPr>
              <w:t xml:space="preserve"> у </w:t>
            </w:r>
            <w:proofErr w:type="spellStart"/>
            <w:r w:rsidR="0061226F" w:rsidRPr="000943BC">
              <w:rPr>
                <w:sz w:val="20"/>
              </w:rPr>
              <w:t>виду</w:t>
            </w:r>
            <w:proofErr w:type="spellEnd"/>
            <w:r w:rsidR="0061226F" w:rsidRPr="000943BC">
              <w:rPr>
                <w:sz w:val="20"/>
              </w:rPr>
              <w:t xml:space="preserve"> </w:t>
            </w:r>
            <w:proofErr w:type="spellStart"/>
            <w:r w:rsidR="0061226F" w:rsidRPr="000943BC">
              <w:rPr>
                <w:sz w:val="20"/>
              </w:rPr>
              <w:t>да</w:t>
            </w:r>
            <w:proofErr w:type="spellEnd"/>
            <w:r w:rsidR="0061226F" w:rsidRPr="000943BC">
              <w:rPr>
                <w:sz w:val="20"/>
              </w:rPr>
              <w:t xml:space="preserve"> </w:t>
            </w:r>
            <w:proofErr w:type="spellStart"/>
            <w:r w:rsidR="0061226F" w:rsidRPr="000943BC">
              <w:rPr>
                <w:sz w:val="20"/>
              </w:rPr>
              <w:t>анкетиране</w:t>
            </w:r>
            <w:proofErr w:type="spellEnd"/>
            <w:r w:rsidR="0061226F" w:rsidRPr="000943BC">
              <w:rPr>
                <w:sz w:val="20"/>
              </w:rPr>
              <w:t xml:space="preserve"> ЈЛС </w:t>
            </w:r>
            <w:proofErr w:type="spellStart"/>
            <w:r w:rsidR="0061226F" w:rsidRPr="000943BC">
              <w:rPr>
                <w:sz w:val="20"/>
              </w:rPr>
              <w:t>не</w:t>
            </w:r>
            <w:proofErr w:type="spellEnd"/>
            <w:r w:rsidR="0061226F" w:rsidRPr="000943BC">
              <w:rPr>
                <w:sz w:val="20"/>
              </w:rPr>
              <w:t xml:space="preserve"> </w:t>
            </w:r>
            <w:proofErr w:type="spellStart"/>
            <w:r w:rsidR="0061226F" w:rsidRPr="000943BC">
              <w:rPr>
                <w:sz w:val="20"/>
              </w:rPr>
              <w:t>прелазе</w:t>
            </w:r>
            <w:proofErr w:type="spellEnd"/>
            <w:r w:rsidR="0061226F" w:rsidRPr="000943BC">
              <w:rPr>
                <w:sz w:val="20"/>
              </w:rPr>
              <w:t xml:space="preserve"> </w:t>
            </w:r>
            <w:proofErr w:type="spellStart"/>
            <w:r w:rsidR="0061226F" w:rsidRPr="000943BC">
              <w:rPr>
                <w:sz w:val="20"/>
              </w:rPr>
              <w:t>тренутно</w:t>
            </w:r>
            <w:proofErr w:type="spellEnd"/>
            <w:r w:rsidR="0061226F" w:rsidRPr="000943BC">
              <w:rPr>
                <w:sz w:val="20"/>
              </w:rPr>
              <w:t xml:space="preserve"> </w:t>
            </w:r>
            <w:proofErr w:type="spellStart"/>
            <w:r w:rsidR="0061226F" w:rsidRPr="000943BC">
              <w:rPr>
                <w:sz w:val="20"/>
              </w:rPr>
              <w:t>лимите</w:t>
            </w:r>
            <w:proofErr w:type="spellEnd"/>
            <w:r w:rsidR="0061226F" w:rsidRPr="000943BC">
              <w:rPr>
                <w:sz w:val="20"/>
              </w:rPr>
              <w:t xml:space="preserve"> </w:t>
            </w:r>
            <w:proofErr w:type="spellStart"/>
            <w:r w:rsidR="0061226F" w:rsidRPr="000943BC">
              <w:rPr>
                <w:sz w:val="20"/>
              </w:rPr>
              <w:t>задужености</w:t>
            </w:r>
            <w:proofErr w:type="spellEnd"/>
            <w:r w:rsidR="0061226F" w:rsidRPr="000943BC">
              <w:rPr>
                <w:sz w:val="20"/>
              </w:rPr>
              <w:t xml:space="preserve"> </w:t>
            </w:r>
            <w:proofErr w:type="spellStart"/>
            <w:r w:rsidR="0061226F" w:rsidRPr="000943BC">
              <w:rPr>
                <w:sz w:val="20"/>
              </w:rPr>
              <w:t>према</w:t>
            </w:r>
            <w:proofErr w:type="spellEnd"/>
            <w:r w:rsidR="00A275FE">
              <w:rPr>
                <w:sz w:val="20"/>
              </w:rPr>
              <w:t xml:space="preserve"> </w:t>
            </w:r>
            <w:proofErr w:type="spellStart"/>
            <w:r w:rsidR="00A275FE">
              <w:rPr>
                <w:sz w:val="20"/>
              </w:rPr>
              <w:t>Закону</w:t>
            </w:r>
            <w:proofErr w:type="spellEnd"/>
            <w:r w:rsidR="00A275FE">
              <w:rPr>
                <w:sz w:val="20"/>
              </w:rPr>
              <w:t xml:space="preserve"> о </w:t>
            </w:r>
            <w:proofErr w:type="spellStart"/>
            <w:r w:rsidR="00A275FE">
              <w:rPr>
                <w:sz w:val="20"/>
              </w:rPr>
              <w:t>задуживању</w:t>
            </w:r>
            <w:proofErr w:type="spellEnd"/>
            <w:r w:rsidR="00A275FE">
              <w:rPr>
                <w:sz w:val="20"/>
              </w:rPr>
              <w:t xml:space="preserve">, </w:t>
            </w:r>
            <w:proofErr w:type="spellStart"/>
            <w:r w:rsidR="00A275FE">
              <w:rPr>
                <w:sz w:val="20"/>
              </w:rPr>
              <w:t>дугу</w:t>
            </w:r>
            <w:proofErr w:type="spellEnd"/>
            <w:r w:rsidR="00A275FE">
              <w:rPr>
                <w:sz w:val="20"/>
              </w:rPr>
              <w:t xml:space="preserve"> и г</w:t>
            </w:r>
            <w:r w:rsidR="00A275FE">
              <w:rPr>
                <w:sz w:val="20"/>
                <w:lang w:val="sr-Cyrl-RS"/>
              </w:rPr>
              <w:t>ара</w:t>
            </w:r>
            <w:proofErr w:type="spellStart"/>
            <w:r w:rsidR="00A275FE">
              <w:rPr>
                <w:sz w:val="20"/>
              </w:rPr>
              <w:t>н</w:t>
            </w:r>
            <w:r w:rsidR="0061226F" w:rsidRPr="000943BC">
              <w:rPr>
                <w:sz w:val="20"/>
              </w:rPr>
              <w:t>цијама</w:t>
            </w:r>
            <w:proofErr w:type="spellEnd"/>
            <w:r w:rsidR="0061226F" w:rsidRPr="000943BC">
              <w:rPr>
                <w:sz w:val="20"/>
              </w:rPr>
              <w:t xml:space="preserve">, </w:t>
            </w:r>
            <w:proofErr w:type="spellStart"/>
            <w:r w:rsidR="0061226F" w:rsidRPr="000943BC">
              <w:rPr>
                <w:sz w:val="20"/>
              </w:rPr>
              <w:t>зато</w:t>
            </w:r>
            <w:proofErr w:type="spellEnd"/>
            <w:r w:rsidR="0061226F" w:rsidRPr="000943BC">
              <w:rPr>
                <w:sz w:val="20"/>
              </w:rPr>
              <w:t xml:space="preserve"> </w:t>
            </w:r>
            <w:proofErr w:type="spellStart"/>
            <w:r w:rsidR="0061226F" w:rsidRPr="000943BC">
              <w:rPr>
                <w:sz w:val="20"/>
              </w:rPr>
              <w:t>што</w:t>
            </w:r>
            <w:proofErr w:type="spellEnd"/>
            <w:r w:rsidR="0061226F" w:rsidRPr="000943BC">
              <w:rPr>
                <w:sz w:val="20"/>
              </w:rPr>
              <w:t xml:space="preserve"> </w:t>
            </w:r>
            <w:proofErr w:type="spellStart"/>
            <w:r w:rsidR="0061226F" w:rsidRPr="000943BC">
              <w:rPr>
                <w:sz w:val="20"/>
              </w:rPr>
              <w:t>се</w:t>
            </w:r>
            <w:proofErr w:type="spellEnd"/>
            <w:r w:rsidR="0061226F" w:rsidRPr="000943BC">
              <w:rPr>
                <w:sz w:val="20"/>
              </w:rPr>
              <w:t xml:space="preserve"> </w:t>
            </w:r>
            <w:proofErr w:type="spellStart"/>
            <w:r w:rsidR="0061226F" w:rsidRPr="000943BC">
              <w:rPr>
                <w:sz w:val="20"/>
              </w:rPr>
              <w:t>задуженост</w:t>
            </w:r>
            <w:proofErr w:type="spellEnd"/>
            <w:r w:rsidR="0061226F" w:rsidRPr="000943BC">
              <w:rPr>
                <w:sz w:val="20"/>
              </w:rPr>
              <w:t xml:space="preserve"> </w:t>
            </w:r>
            <w:proofErr w:type="spellStart"/>
            <w:r w:rsidR="0061226F" w:rsidRPr="000943BC">
              <w:rPr>
                <w:sz w:val="20"/>
              </w:rPr>
              <w:t>мјери</w:t>
            </w:r>
            <w:proofErr w:type="spellEnd"/>
            <w:r w:rsidR="0061226F" w:rsidRPr="000943BC">
              <w:rPr>
                <w:sz w:val="20"/>
              </w:rPr>
              <w:t xml:space="preserve"> у </w:t>
            </w:r>
            <w:proofErr w:type="spellStart"/>
            <w:r w:rsidR="0061226F" w:rsidRPr="000943BC">
              <w:rPr>
                <w:sz w:val="20"/>
              </w:rPr>
              <w:t>односу</w:t>
            </w:r>
            <w:proofErr w:type="spellEnd"/>
            <w:r w:rsidR="0061226F" w:rsidRPr="000943BC">
              <w:rPr>
                <w:sz w:val="20"/>
              </w:rPr>
              <w:t xml:space="preserve"> </w:t>
            </w:r>
            <w:proofErr w:type="spellStart"/>
            <w:r w:rsidR="0061226F" w:rsidRPr="000943BC">
              <w:rPr>
                <w:sz w:val="20"/>
              </w:rPr>
              <w:t>на</w:t>
            </w:r>
            <w:proofErr w:type="spellEnd"/>
            <w:r w:rsidR="0061226F" w:rsidRPr="000943BC">
              <w:rPr>
                <w:sz w:val="20"/>
              </w:rPr>
              <w:t xml:space="preserve"> </w:t>
            </w:r>
            <w:proofErr w:type="spellStart"/>
            <w:r w:rsidR="0061226F" w:rsidRPr="000943BC">
              <w:rPr>
                <w:sz w:val="20"/>
              </w:rPr>
              <w:t>остварене</w:t>
            </w:r>
            <w:proofErr w:type="spellEnd"/>
            <w:r w:rsidR="0061226F" w:rsidRPr="000943BC">
              <w:rPr>
                <w:sz w:val="20"/>
              </w:rPr>
              <w:t xml:space="preserve"> </w:t>
            </w:r>
            <w:proofErr w:type="spellStart"/>
            <w:r w:rsidR="0061226F" w:rsidRPr="000943BC">
              <w:rPr>
                <w:sz w:val="20"/>
              </w:rPr>
              <w:t>властите</w:t>
            </w:r>
            <w:proofErr w:type="spellEnd"/>
            <w:r w:rsidR="0061226F" w:rsidRPr="000943BC">
              <w:rPr>
                <w:sz w:val="20"/>
              </w:rPr>
              <w:t xml:space="preserve"> </w:t>
            </w:r>
            <w:proofErr w:type="spellStart"/>
            <w:r w:rsidR="0061226F" w:rsidRPr="000943BC">
              <w:rPr>
                <w:sz w:val="20"/>
              </w:rPr>
              <w:t>приходе</w:t>
            </w:r>
            <w:proofErr w:type="spellEnd"/>
            <w:r w:rsidR="0061226F" w:rsidRPr="000943BC">
              <w:rPr>
                <w:sz w:val="20"/>
              </w:rPr>
              <w:t xml:space="preserve"> у 2019. </w:t>
            </w:r>
            <w:proofErr w:type="spellStart"/>
            <w:r w:rsidR="0061226F" w:rsidRPr="000943BC">
              <w:rPr>
                <w:sz w:val="20"/>
              </w:rPr>
              <w:t>години</w:t>
            </w:r>
            <w:proofErr w:type="spellEnd"/>
            <w:r w:rsidR="0061226F" w:rsidRPr="000943BC">
              <w:rPr>
                <w:sz w:val="20"/>
              </w:rPr>
              <w:t xml:space="preserve">. </w:t>
            </w:r>
            <w:proofErr w:type="spellStart"/>
            <w:r w:rsidR="0061226F" w:rsidRPr="000943BC">
              <w:rPr>
                <w:sz w:val="20"/>
              </w:rPr>
              <w:t>Када</w:t>
            </w:r>
            <w:proofErr w:type="spellEnd"/>
            <w:r w:rsidR="0061226F" w:rsidRPr="000943BC">
              <w:rPr>
                <w:sz w:val="20"/>
              </w:rPr>
              <w:t xml:space="preserve"> </w:t>
            </w:r>
            <w:proofErr w:type="spellStart"/>
            <w:r w:rsidR="0061226F" w:rsidRPr="000943BC">
              <w:rPr>
                <w:sz w:val="20"/>
              </w:rPr>
              <w:t>се</w:t>
            </w:r>
            <w:proofErr w:type="spellEnd"/>
            <w:r w:rsidR="0061226F" w:rsidRPr="000943BC">
              <w:rPr>
                <w:sz w:val="20"/>
              </w:rPr>
              <w:t xml:space="preserve"> у 2021. </w:t>
            </w:r>
            <w:proofErr w:type="spellStart"/>
            <w:r w:rsidR="0061226F" w:rsidRPr="000943BC">
              <w:rPr>
                <w:sz w:val="20"/>
              </w:rPr>
              <w:t>годи</w:t>
            </w:r>
            <w:r w:rsidR="00A275FE">
              <w:rPr>
                <w:sz w:val="20"/>
              </w:rPr>
              <w:t>ни</w:t>
            </w:r>
            <w:proofErr w:type="spellEnd"/>
            <w:r w:rsidR="00A275FE">
              <w:rPr>
                <w:sz w:val="20"/>
              </w:rPr>
              <w:t xml:space="preserve"> </w:t>
            </w:r>
            <w:proofErr w:type="spellStart"/>
            <w:r w:rsidR="00A275FE">
              <w:rPr>
                <w:sz w:val="20"/>
              </w:rPr>
              <w:t>буду</w:t>
            </w:r>
            <w:proofErr w:type="spellEnd"/>
            <w:r w:rsidR="00A275FE">
              <w:rPr>
                <w:sz w:val="20"/>
              </w:rPr>
              <w:t xml:space="preserve"> </w:t>
            </w:r>
            <w:proofErr w:type="spellStart"/>
            <w:r w:rsidR="00A275FE">
              <w:rPr>
                <w:sz w:val="20"/>
              </w:rPr>
              <w:t>мјерили</w:t>
            </w:r>
            <w:proofErr w:type="spellEnd"/>
            <w:r w:rsidR="00A275FE">
              <w:rPr>
                <w:sz w:val="20"/>
              </w:rPr>
              <w:t xml:space="preserve"> </w:t>
            </w:r>
            <w:proofErr w:type="spellStart"/>
            <w:r w:rsidR="00A275FE">
              <w:rPr>
                <w:sz w:val="20"/>
              </w:rPr>
              <w:t>ануитети</w:t>
            </w:r>
            <w:proofErr w:type="spellEnd"/>
            <w:r w:rsidR="00A275FE">
              <w:rPr>
                <w:sz w:val="20"/>
              </w:rPr>
              <w:t xml:space="preserve"> у </w:t>
            </w:r>
            <w:proofErr w:type="spellStart"/>
            <w:r w:rsidR="00A275FE">
              <w:rPr>
                <w:sz w:val="20"/>
              </w:rPr>
              <w:t>однос</w:t>
            </w:r>
            <w:r w:rsidR="0061226F" w:rsidRPr="000943BC">
              <w:rPr>
                <w:sz w:val="20"/>
              </w:rPr>
              <w:t>у</w:t>
            </w:r>
            <w:proofErr w:type="spellEnd"/>
            <w:r w:rsidR="0061226F" w:rsidRPr="000943BC">
              <w:rPr>
                <w:sz w:val="20"/>
              </w:rPr>
              <w:t xml:space="preserve"> </w:t>
            </w:r>
            <w:proofErr w:type="spellStart"/>
            <w:r w:rsidR="0061226F" w:rsidRPr="000943BC">
              <w:rPr>
                <w:sz w:val="20"/>
              </w:rPr>
              <w:t>на</w:t>
            </w:r>
            <w:proofErr w:type="spellEnd"/>
            <w:r w:rsidR="0061226F" w:rsidRPr="000943BC">
              <w:rPr>
                <w:sz w:val="20"/>
              </w:rPr>
              <w:t xml:space="preserve"> </w:t>
            </w:r>
            <w:proofErr w:type="spellStart"/>
            <w:r w:rsidR="0061226F" w:rsidRPr="000943BC">
              <w:rPr>
                <w:sz w:val="20"/>
              </w:rPr>
              <w:t>приходе</w:t>
            </w:r>
            <w:proofErr w:type="spellEnd"/>
            <w:r w:rsidR="0061226F" w:rsidRPr="000943BC">
              <w:rPr>
                <w:sz w:val="20"/>
              </w:rPr>
              <w:t xml:space="preserve"> </w:t>
            </w:r>
            <w:proofErr w:type="spellStart"/>
            <w:r w:rsidR="0061226F" w:rsidRPr="000943BC">
              <w:rPr>
                <w:sz w:val="20"/>
              </w:rPr>
              <w:t>из</w:t>
            </w:r>
            <w:proofErr w:type="spellEnd"/>
            <w:r w:rsidR="0061226F" w:rsidRPr="000943BC">
              <w:rPr>
                <w:sz w:val="20"/>
              </w:rPr>
              <w:t xml:space="preserve"> 2020. </w:t>
            </w:r>
            <w:proofErr w:type="spellStart"/>
            <w:r w:rsidR="0061226F" w:rsidRPr="000943BC">
              <w:rPr>
                <w:sz w:val="20"/>
              </w:rPr>
              <w:t>године</w:t>
            </w:r>
            <w:proofErr w:type="spellEnd"/>
            <w:r w:rsidR="0061226F" w:rsidRPr="000943BC">
              <w:rPr>
                <w:sz w:val="20"/>
              </w:rPr>
              <w:t xml:space="preserve">, </w:t>
            </w:r>
            <w:proofErr w:type="spellStart"/>
            <w:r w:rsidR="0061226F" w:rsidRPr="000943BC">
              <w:rPr>
                <w:sz w:val="20"/>
              </w:rPr>
              <w:t>постоји</w:t>
            </w:r>
            <w:proofErr w:type="spellEnd"/>
            <w:r w:rsidR="0061226F" w:rsidRPr="000943BC">
              <w:rPr>
                <w:sz w:val="20"/>
              </w:rPr>
              <w:t xml:space="preserve"> </w:t>
            </w:r>
            <w:proofErr w:type="spellStart"/>
            <w:r w:rsidR="0061226F" w:rsidRPr="000943BC">
              <w:rPr>
                <w:sz w:val="20"/>
              </w:rPr>
              <w:t>опасност</w:t>
            </w:r>
            <w:proofErr w:type="spellEnd"/>
            <w:r w:rsidR="0061226F" w:rsidRPr="000943BC">
              <w:rPr>
                <w:sz w:val="20"/>
              </w:rPr>
              <w:t xml:space="preserve"> </w:t>
            </w:r>
            <w:proofErr w:type="spellStart"/>
            <w:r w:rsidR="0061226F" w:rsidRPr="000943BC">
              <w:rPr>
                <w:sz w:val="20"/>
              </w:rPr>
              <w:t>да</w:t>
            </w:r>
            <w:proofErr w:type="spellEnd"/>
            <w:r w:rsidR="0061226F" w:rsidRPr="000943BC">
              <w:rPr>
                <w:sz w:val="20"/>
              </w:rPr>
              <w:t xml:space="preserve"> </w:t>
            </w:r>
            <w:proofErr w:type="spellStart"/>
            <w:r w:rsidR="0061226F" w:rsidRPr="000943BC">
              <w:rPr>
                <w:sz w:val="20"/>
              </w:rPr>
              <w:t>дио</w:t>
            </w:r>
            <w:proofErr w:type="spellEnd"/>
            <w:r w:rsidR="0061226F" w:rsidRPr="000943BC">
              <w:rPr>
                <w:sz w:val="20"/>
              </w:rPr>
              <w:t xml:space="preserve"> ЈЛС </w:t>
            </w:r>
            <w:proofErr w:type="spellStart"/>
            <w:r w:rsidR="0061226F" w:rsidRPr="000943BC">
              <w:rPr>
                <w:sz w:val="20"/>
              </w:rPr>
              <w:t>прекорачи</w:t>
            </w:r>
            <w:proofErr w:type="spellEnd"/>
            <w:r w:rsidR="0061226F" w:rsidRPr="000943BC">
              <w:rPr>
                <w:sz w:val="20"/>
              </w:rPr>
              <w:t xml:space="preserve"> </w:t>
            </w:r>
            <w:proofErr w:type="spellStart"/>
            <w:r w:rsidR="0061226F" w:rsidRPr="000943BC">
              <w:rPr>
                <w:sz w:val="20"/>
              </w:rPr>
              <w:t>дозвољене</w:t>
            </w:r>
            <w:proofErr w:type="spellEnd"/>
            <w:r w:rsidR="0061226F" w:rsidRPr="000943BC">
              <w:rPr>
                <w:sz w:val="20"/>
              </w:rPr>
              <w:t xml:space="preserve"> </w:t>
            </w:r>
            <w:proofErr w:type="spellStart"/>
            <w:r w:rsidR="0061226F" w:rsidRPr="000943BC">
              <w:rPr>
                <w:sz w:val="20"/>
              </w:rPr>
              <w:t>лими</w:t>
            </w:r>
            <w:r w:rsidR="00A275FE">
              <w:rPr>
                <w:sz w:val="20"/>
              </w:rPr>
              <w:t>те</w:t>
            </w:r>
            <w:proofErr w:type="spellEnd"/>
            <w:r w:rsidR="00A275FE">
              <w:rPr>
                <w:sz w:val="20"/>
              </w:rPr>
              <w:t xml:space="preserve">. </w:t>
            </w:r>
            <w:proofErr w:type="spellStart"/>
            <w:r w:rsidR="00A275FE">
              <w:rPr>
                <w:sz w:val="20"/>
              </w:rPr>
              <w:t>Тиме</w:t>
            </w:r>
            <w:proofErr w:type="spellEnd"/>
            <w:r w:rsidR="00A275FE">
              <w:rPr>
                <w:sz w:val="20"/>
              </w:rPr>
              <w:t xml:space="preserve"> </w:t>
            </w:r>
            <w:proofErr w:type="spellStart"/>
            <w:r w:rsidR="00A275FE">
              <w:rPr>
                <w:sz w:val="20"/>
              </w:rPr>
              <w:t>ће</w:t>
            </w:r>
            <w:proofErr w:type="spellEnd"/>
            <w:r w:rsidR="00A275FE">
              <w:rPr>
                <w:sz w:val="20"/>
              </w:rPr>
              <w:t xml:space="preserve"> </w:t>
            </w:r>
            <w:proofErr w:type="spellStart"/>
            <w:r w:rsidR="00A275FE">
              <w:rPr>
                <w:sz w:val="20"/>
              </w:rPr>
              <w:t>бити</w:t>
            </w:r>
            <w:proofErr w:type="spellEnd"/>
            <w:r w:rsidR="00A275FE">
              <w:rPr>
                <w:sz w:val="20"/>
              </w:rPr>
              <w:t xml:space="preserve"> </w:t>
            </w:r>
            <w:proofErr w:type="spellStart"/>
            <w:r w:rsidR="00A275FE">
              <w:rPr>
                <w:sz w:val="20"/>
              </w:rPr>
              <w:t>онемогућене</w:t>
            </w:r>
            <w:proofErr w:type="spellEnd"/>
            <w:r w:rsidR="00A275FE">
              <w:rPr>
                <w:sz w:val="20"/>
              </w:rPr>
              <w:t xml:space="preserve"> </w:t>
            </w:r>
            <w:r>
              <w:rPr>
                <w:sz w:val="20"/>
                <w:lang w:val="sr-Cyrl-RS"/>
              </w:rPr>
              <w:t xml:space="preserve">за </w:t>
            </w:r>
            <w:proofErr w:type="spellStart"/>
            <w:r w:rsidR="0061226F" w:rsidRPr="000943BC">
              <w:rPr>
                <w:sz w:val="20"/>
              </w:rPr>
              <w:t>додатно</w:t>
            </w:r>
            <w:proofErr w:type="spellEnd"/>
            <w:r w:rsidR="0061226F" w:rsidRPr="000943BC">
              <w:rPr>
                <w:sz w:val="20"/>
              </w:rPr>
              <w:t xml:space="preserve"> </w:t>
            </w:r>
            <w:proofErr w:type="spellStart"/>
            <w:r w:rsidR="0061226F" w:rsidRPr="000943BC">
              <w:rPr>
                <w:sz w:val="20"/>
              </w:rPr>
              <w:t>задуживање</w:t>
            </w:r>
            <w:proofErr w:type="spellEnd"/>
            <w:r w:rsidR="0061226F" w:rsidRPr="000943BC">
              <w:rPr>
                <w:sz w:val="20"/>
              </w:rPr>
              <w:t xml:space="preserve">, и </w:t>
            </w:r>
            <w:proofErr w:type="spellStart"/>
            <w:r w:rsidR="0061226F" w:rsidRPr="000943BC">
              <w:rPr>
                <w:sz w:val="20"/>
              </w:rPr>
              <w:t>то</w:t>
            </w:r>
            <w:proofErr w:type="spellEnd"/>
            <w:r w:rsidR="0061226F" w:rsidRPr="000943BC">
              <w:rPr>
                <w:sz w:val="20"/>
              </w:rPr>
              <w:t xml:space="preserve"> </w:t>
            </w:r>
            <w:proofErr w:type="spellStart"/>
            <w:r w:rsidR="0061226F" w:rsidRPr="000943BC">
              <w:rPr>
                <w:sz w:val="20"/>
              </w:rPr>
              <w:t>ће</w:t>
            </w:r>
            <w:proofErr w:type="spellEnd"/>
            <w:r w:rsidR="0061226F" w:rsidRPr="000943BC">
              <w:rPr>
                <w:sz w:val="20"/>
              </w:rPr>
              <w:t xml:space="preserve"> </w:t>
            </w:r>
            <w:proofErr w:type="spellStart"/>
            <w:r w:rsidR="0061226F" w:rsidRPr="000943BC">
              <w:rPr>
                <w:sz w:val="20"/>
              </w:rPr>
              <w:t>ограничити</w:t>
            </w:r>
            <w:proofErr w:type="spellEnd"/>
            <w:r w:rsidR="0061226F" w:rsidRPr="000943BC">
              <w:rPr>
                <w:sz w:val="20"/>
              </w:rPr>
              <w:t xml:space="preserve"> </w:t>
            </w:r>
            <w:proofErr w:type="spellStart"/>
            <w:r w:rsidR="0061226F" w:rsidRPr="000943BC">
              <w:rPr>
                <w:sz w:val="20"/>
              </w:rPr>
              <w:t>простор</w:t>
            </w:r>
            <w:proofErr w:type="spellEnd"/>
            <w:r w:rsidR="0061226F" w:rsidRPr="000943BC">
              <w:rPr>
                <w:sz w:val="20"/>
              </w:rPr>
              <w:t xml:space="preserve"> </w:t>
            </w:r>
            <w:proofErr w:type="spellStart"/>
            <w:r w:rsidR="0061226F" w:rsidRPr="000943BC">
              <w:rPr>
                <w:sz w:val="20"/>
              </w:rPr>
              <w:t>за</w:t>
            </w:r>
            <w:proofErr w:type="spellEnd"/>
            <w:r w:rsidR="0061226F" w:rsidRPr="000943BC">
              <w:rPr>
                <w:sz w:val="20"/>
              </w:rPr>
              <w:t xml:space="preserve"> </w:t>
            </w:r>
            <w:proofErr w:type="spellStart"/>
            <w:r w:rsidR="0061226F" w:rsidRPr="000943BC">
              <w:rPr>
                <w:sz w:val="20"/>
              </w:rPr>
              <w:t>обезб</w:t>
            </w:r>
            <w:proofErr w:type="spellEnd"/>
            <w:r>
              <w:rPr>
                <w:sz w:val="20"/>
                <w:lang w:val="sr-Cyrl-RS"/>
              </w:rPr>
              <w:t>и</w:t>
            </w:r>
            <w:proofErr w:type="spellStart"/>
            <w:r w:rsidR="0061226F" w:rsidRPr="000943BC">
              <w:rPr>
                <w:sz w:val="20"/>
              </w:rPr>
              <w:t>јеђивање</w:t>
            </w:r>
            <w:proofErr w:type="spellEnd"/>
            <w:r w:rsidR="0061226F" w:rsidRPr="000943BC">
              <w:rPr>
                <w:sz w:val="20"/>
              </w:rPr>
              <w:t xml:space="preserve"> </w:t>
            </w:r>
            <w:proofErr w:type="spellStart"/>
            <w:r w:rsidR="0061226F" w:rsidRPr="000943BC">
              <w:rPr>
                <w:sz w:val="20"/>
              </w:rPr>
              <w:t>нових</w:t>
            </w:r>
            <w:proofErr w:type="spellEnd"/>
            <w:r w:rsidR="0061226F" w:rsidRPr="000943BC">
              <w:rPr>
                <w:sz w:val="20"/>
              </w:rPr>
              <w:t xml:space="preserve"> </w:t>
            </w:r>
            <w:r>
              <w:rPr>
                <w:sz w:val="20"/>
                <w:lang w:val="sr-Cyrl-RS"/>
              </w:rPr>
              <w:t>и</w:t>
            </w:r>
            <w:proofErr w:type="spellStart"/>
            <w:r w:rsidR="0061226F" w:rsidRPr="000943BC">
              <w:rPr>
                <w:sz w:val="20"/>
              </w:rPr>
              <w:t>звора</w:t>
            </w:r>
            <w:proofErr w:type="spellEnd"/>
            <w:r w:rsidR="0061226F" w:rsidRPr="000943BC">
              <w:rPr>
                <w:sz w:val="20"/>
              </w:rPr>
              <w:t xml:space="preserve"> </w:t>
            </w:r>
            <w:proofErr w:type="spellStart"/>
            <w:r w:rsidR="0061226F" w:rsidRPr="000943BC">
              <w:rPr>
                <w:sz w:val="20"/>
              </w:rPr>
              <w:t>финансирања</w:t>
            </w:r>
            <w:proofErr w:type="spellEnd"/>
            <w:r w:rsidR="0061226F" w:rsidRPr="000943BC">
              <w:rPr>
                <w:sz w:val="20"/>
              </w:rPr>
              <w:t xml:space="preserve">, </w:t>
            </w:r>
            <w:proofErr w:type="spellStart"/>
            <w:r w:rsidR="0061226F" w:rsidRPr="000943BC">
              <w:rPr>
                <w:sz w:val="20"/>
              </w:rPr>
              <w:t>прије</w:t>
            </w:r>
            <w:proofErr w:type="spellEnd"/>
            <w:r w:rsidR="0061226F" w:rsidRPr="000943BC">
              <w:rPr>
                <w:sz w:val="20"/>
              </w:rPr>
              <w:t xml:space="preserve"> </w:t>
            </w:r>
            <w:proofErr w:type="spellStart"/>
            <w:r w:rsidR="0061226F" w:rsidRPr="000943BC">
              <w:rPr>
                <w:sz w:val="20"/>
              </w:rPr>
              <w:t>свега</w:t>
            </w:r>
            <w:proofErr w:type="spellEnd"/>
            <w:r w:rsidR="0061226F" w:rsidRPr="000943BC">
              <w:rPr>
                <w:sz w:val="20"/>
              </w:rPr>
              <w:t xml:space="preserve">, </w:t>
            </w:r>
            <w:proofErr w:type="spellStart"/>
            <w:r w:rsidR="0061226F" w:rsidRPr="000943BC">
              <w:rPr>
                <w:sz w:val="20"/>
              </w:rPr>
              <w:t>за</w:t>
            </w:r>
            <w:proofErr w:type="spellEnd"/>
            <w:r w:rsidR="0061226F" w:rsidRPr="000943BC">
              <w:rPr>
                <w:sz w:val="20"/>
              </w:rPr>
              <w:t xml:space="preserve"> </w:t>
            </w:r>
            <w:proofErr w:type="spellStart"/>
            <w:r w:rsidR="0061226F" w:rsidRPr="000943BC">
              <w:rPr>
                <w:sz w:val="20"/>
              </w:rPr>
              <w:t>капиталне</w:t>
            </w:r>
            <w:proofErr w:type="spellEnd"/>
            <w:r w:rsidR="0061226F" w:rsidRPr="000943BC">
              <w:rPr>
                <w:sz w:val="20"/>
              </w:rPr>
              <w:t xml:space="preserve"> </w:t>
            </w:r>
            <w:proofErr w:type="spellStart"/>
            <w:r w:rsidR="0061226F" w:rsidRPr="000943BC">
              <w:rPr>
                <w:sz w:val="20"/>
              </w:rPr>
              <w:t>инвестиције</w:t>
            </w:r>
            <w:proofErr w:type="spellEnd"/>
            <w:r w:rsidR="0061226F" w:rsidRPr="000943BC">
              <w:rPr>
                <w:sz w:val="20"/>
              </w:rPr>
              <w:t xml:space="preserve">. У </w:t>
            </w:r>
            <w:proofErr w:type="spellStart"/>
            <w:r w:rsidR="0061226F" w:rsidRPr="000943BC">
              <w:rPr>
                <w:sz w:val="20"/>
              </w:rPr>
              <w:t>том</w:t>
            </w:r>
            <w:proofErr w:type="spellEnd"/>
            <w:r w:rsidR="0061226F" w:rsidRPr="000943BC">
              <w:rPr>
                <w:sz w:val="20"/>
              </w:rPr>
              <w:t xml:space="preserve"> </w:t>
            </w:r>
            <w:proofErr w:type="spellStart"/>
            <w:r w:rsidR="0061226F" w:rsidRPr="000943BC">
              <w:rPr>
                <w:sz w:val="20"/>
              </w:rPr>
              <w:t>смислу</w:t>
            </w:r>
            <w:proofErr w:type="spellEnd"/>
            <w:r w:rsidR="00A275FE">
              <w:rPr>
                <w:sz w:val="20"/>
                <w:lang w:val="sr-Cyrl-RS"/>
              </w:rPr>
              <w:t>,</w:t>
            </w:r>
            <w:r w:rsidR="00A275FE">
              <w:rPr>
                <w:sz w:val="20"/>
              </w:rPr>
              <w:t xml:space="preserve"> </w:t>
            </w:r>
            <w:proofErr w:type="spellStart"/>
            <w:r w:rsidR="00A275FE">
              <w:rPr>
                <w:sz w:val="20"/>
              </w:rPr>
              <w:t>биће</w:t>
            </w:r>
            <w:proofErr w:type="spellEnd"/>
            <w:r w:rsidR="00A275FE">
              <w:rPr>
                <w:sz w:val="20"/>
              </w:rPr>
              <w:t xml:space="preserve"> </w:t>
            </w:r>
            <w:proofErr w:type="spellStart"/>
            <w:r w:rsidR="00A275FE">
              <w:rPr>
                <w:sz w:val="20"/>
              </w:rPr>
              <w:t>потребно</w:t>
            </w:r>
            <w:proofErr w:type="spellEnd"/>
            <w:r w:rsidR="00A275FE">
              <w:rPr>
                <w:sz w:val="20"/>
              </w:rPr>
              <w:t xml:space="preserve"> </w:t>
            </w:r>
            <w:proofErr w:type="spellStart"/>
            <w:r w:rsidR="00A275FE">
              <w:rPr>
                <w:sz w:val="20"/>
              </w:rPr>
              <w:t>обн</w:t>
            </w:r>
            <w:r w:rsidR="0061226F" w:rsidRPr="000943BC">
              <w:rPr>
                <w:sz w:val="20"/>
              </w:rPr>
              <w:t>о</w:t>
            </w:r>
            <w:proofErr w:type="spellEnd"/>
            <w:r w:rsidR="00A275FE">
              <w:rPr>
                <w:sz w:val="20"/>
                <w:lang w:val="sr-Cyrl-RS"/>
              </w:rPr>
              <w:t>в</w:t>
            </w:r>
            <w:proofErr w:type="spellStart"/>
            <w:r w:rsidR="0061226F" w:rsidRPr="000943BC">
              <w:rPr>
                <w:sz w:val="20"/>
              </w:rPr>
              <w:t>ити</w:t>
            </w:r>
            <w:proofErr w:type="spellEnd"/>
            <w:r w:rsidR="0061226F" w:rsidRPr="000943BC">
              <w:rPr>
                <w:sz w:val="20"/>
              </w:rPr>
              <w:t xml:space="preserve"> </w:t>
            </w:r>
            <w:proofErr w:type="spellStart"/>
            <w:r w:rsidR="0061226F" w:rsidRPr="000943BC">
              <w:rPr>
                <w:sz w:val="20"/>
              </w:rPr>
              <w:t>иницјативу</w:t>
            </w:r>
            <w:proofErr w:type="spellEnd"/>
            <w:r w:rsidR="0061226F" w:rsidRPr="000943BC">
              <w:rPr>
                <w:sz w:val="20"/>
              </w:rPr>
              <w:t xml:space="preserve"> </w:t>
            </w:r>
            <w:proofErr w:type="spellStart"/>
            <w:r w:rsidR="0061226F" w:rsidRPr="000943BC">
              <w:rPr>
                <w:sz w:val="20"/>
              </w:rPr>
              <w:t>Савеза</w:t>
            </w:r>
            <w:proofErr w:type="spellEnd"/>
            <w:r w:rsidR="0061226F" w:rsidRPr="000943BC">
              <w:rPr>
                <w:sz w:val="20"/>
              </w:rPr>
              <w:t xml:space="preserve"> </w:t>
            </w:r>
            <w:proofErr w:type="spellStart"/>
            <w:r w:rsidR="0061226F" w:rsidRPr="000943BC">
              <w:rPr>
                <w:sz w:val="20"/>
              </w:rPr>
              <w:t>општина</w:t>
            </w:r>
            <w:proofErr w:type="spellEnd"/>
            <w:r w:rsidR="0061226F" w:rsidRPr="000943BC">
              <w:rPr>
                <w:sz w:val="20"/>
              </w:rPr>
              <w:t xml:space="preserve"> и </w:t>
            </w:r>
            <w:proofErr w:type="spellStart"/>
            <w:r w:rsidR="0061226F" w:rsidRPr="000943BC">
              <w:rPr>
                <w:sz w:val="20"/>
              </w:rPr>
              <w:t>градова</w:t>
            </w:r>
            <w:proofErr w:type="spellEnd"/>
            <w:r w:rsidR="0061226F" w:rsidRPr="000943BC">
              <w:rPr>
                <w:sz w:val="20"/>
              </w:rPr>
              <w:t xml:space="preserve">, </w:t>
            </w:r>
            <w:proofErr w:type="spellStart"/>
            <w:r w:rsidR="0061226F" w:rsidRPr="000943BC">
              <w:rPr>
                <w:sz w:val="20"/>
              </w:rPr>
              <w:t>да</w:t>
            </w:r>
            <w:proofErr w:type="spellEnd"/>
            <w:r w:rsidR="0061226F" w:rsidRPr="000943BC">
              <w:rPr>
                <w:sz w:val="20"/>
              </w:rPr>
              <w:t xml:space="preserve"> </w:t>
            </w:r>
            <w:proofErr w:type="spellStart"/>
            <w:r w:rsidR="0061226F" w:rsidRPr="000943BC">
              <w:rPr>
                <w:sz w:val="20"/>
              </w:rPr>
              <w:t>се</w:t>
            </w:r>
            <w:proofErr w:type="spellEnd"/>
            <w:r w:rsidR="0061226F" w:rsidRPr="000943BC">
              <w:rPr>
                <w:sz w:val="20"/>
              </w:rPr>
              <w:t xml:space="preserve"> </w:t>
            </w:r>
            <w:proofErr w:type="spellStart"/>
            <w:r w:rsidR="0061226F" w:rsidRPr="000943BC">
              <w:rPr>
                <w:sz w:val="20"/>
              </w:rPr>
              <w:t>олакшају</w:t>
            </w:r>
            <w:proofErr w:type="spellEnd"/>
            <w:r w:rsidR="0061226F" w:rsidRPr="000943BC">
              <w:rPr>
                <w:sz w:val="20"/>
              </w:rPr>
              <w:t xml:space="preserve"> </w:t>
            </w:r>
            <w:proofErr w:type="spellStart"/>
            <w:r w:rsidR="0061226F" w:rsidRPr="000943BC">
              <w:rPr>
                <w:sz w:val="20"/>
              </w:rPr>
              <w:t>лимити</w:t>
            </w:r>
            <w:proofErr w:type="spellEnd"/>
            <w:r w:rsidR="0061226F" w:rsidRPr="000943BC">
              <w:rPr>
                <w:sz w:val="20"/>
              </w:rPr>
              <w:t xml:space="preserve"> </w:t>
            </w:r>
            <w:proofErr w:type="spellStart"/>
            <w:r w:rsidR="0061226F" w:rsidRPr="000943BC">
              <w:rPr>
                <w:sz w:val="20"/>
              </w:rPr>
              <w:t>за</w:t>
            </w:r>
            <w:proofErr w:type="spellEnd"/>
            <w:r w:rsidR="0061226F" w:rsidRPr="000943BC">
              <w:rPr>
                <w:sz w:val="20"/>
              </w:rPr>
              <w:t xml:space="preserve"> </w:t>
            </w:r>
            <w:proofErr w:type="spellStart"/>
            <w:r w:rsidR="0061226F" w:rsidRPr="000943BC">
              <w:rPr>
                <w:sz w:val="20"/>
              </w:rPr>
              <w:t>задуживање</w:t>
            </w:r>
            <w:proofErr w:type="spellEnd"/>
            <w:r w:rsidR="0061226F" w:rsidRPr="000943BC">
              <w:rPr>
                <w:sz w:val="20"/>
              </w:rPr>
              <w:t xml:space="preserve">  ЈЛС.</w:t>
            </w:r>
          </w:p>
          <w:p w14:paraId="17B493FB" w14:textId="77777777" w:rsidR="00BA3123" w:rsidRPr="00BA3123" w:rsidRDefault="00BA3123" w:rsidP="00BA3123">
            <w:pPr>
              <w:rPr>
                <w:sz w:val="20"/>
                <w:lang w:val="sr-Cyrl-RS"/>
              </w:rPr>
            </w:pPr>
            <w:r>
              <w:rPr>
                <w:sz w:val="20"/>
                <w:lang w:val="sr-Cyrl-RS"/>
              </w:rPr>
              <w:t xml:space="preserve">4. Једна ЈЛС је уговорила репрограм по основу неплаћених пореза и доприноса.  </w:t>
            </w:r>
          </w:p>
        </w:tc>
      </w:tr>
      <w:tr w:rsidR="00661087" w14:paraId="58EE2F79" w14:textId="77777777" w:rsidTr="00146C5F">
        <w:trPr>
          <w:trHeight w:val="2023"/>
        </w:trPr>
        <w:tc>
          <w:tcPr>
            <w:tcW w:w="4397" w:type="dxa"/>
            <w:tcBorders>
              <w:top w:val="nil"/>
              <w:left w:val="single" w:sz="4" w:space="0" w:color="auto"/>
              <w:bottom w:val="single" w:sz="4" w:space="0" w:color="auto"/>
              <w:right w:val="single" w:sz="4" w:space="0" w:color="auto"/>
            </w:tcBorders>
            <w:shd w:val="clear" w:color="auto" w:fill="auto"/>
            <w:vAlign w:val="center"/>
            <w:hideMark/>
          </w:tcPr>
          <w:p w14:paraId="0F0BBB07" w14:textId="77777777" w:rsidR="002367EC" w:rsidRDefault="002367EC" w:rsidP="00532E7F">
            <w:pPr>
              <w:rPr>
                <w:color w:val="000000"/>
                <w:sz w:val="20"/>
                <w:szCs w:val="22"/>
              </w:rPr>
            </w:pPr>
            <w:r>
              <w:rPr>
                <w:color w:val="000000"/>
                <w:sz w:val="20"/>
                <w:szCs w:val="22"/>
              </w:rPr>
              <w:lastRenderedPageBreak/>
              <w:t xml:space="preserve">          II</w:t>
            </w:r>
          </w:p>
          <w:p w14:paraId="5012A74D" w14:textId="77777777" w:rsidR="00302BF6" w:rsidRDefault="00532E7F" w:rsidP="00532E7F">
            <w:pPr>
              <w:rPr>
                <w:color w:val="000000"/>
                <w:sz w:val="20"/>
                <w:szCs w:val="22"/>
              </w:rPr>
            </w:pPr>
            <w:proofErr w:type="spellStart"/>
            <w:r>
              <w:rPr>
                <w:color w:val="000000"/>
                <w:sz w:val="20"/>
                <w:szCs w:val="22"/>
              </w:rPr>
              <w:t>Да</w:t>
            </w:r>
            <w:proofErr w:type="spellEnd"/>
            <w:r>
              <w:rPr>
                <w:color w:val="000000"/>
                <w:sz w:val="20"/>
                <w:szCs w:val="22"/>
              </w:rPr>
              <w:t xml:space="preserve"> </w:t>
            </w:r>
            <w:proofErr w:type="spellStart"/>
            <w:r>
              <w:rPr>
                <w:color w:val="000000"/>
                <w:sz w:val="20"/>
                <w:szCs w:val="22"/>
              </w:rPr>
              <w:t>ли</w:t>
            </w:r>
            <w:proofErr w:type="spellEnd"/>
            <w:r>
              <w:rPr>
                <w:color w:val="000000"/>
                <w:sz w:val="20"/>
                <w:szCs w:val="22"/>
              </w:rPr>
              <w:t xml:space="preserve"> </w:t>
            </w:r>
            <w:proofErr w:type="spellStart"/>
            <w:r>
              <w:rPr>
                <w:color w:val="000000"/>
                <w:sz w:val="20"/>
                <w:szCs w:val="22"/>
              </w:rPr>
              <w:t>се</w:t>
            </w:r>
            <w:proofErr w:type="spellEnd"/>
            <w:r>
              <w:rPr>
                <w:color w:val="000000"/>
                <w:sz w:val="20"/>
                <w:szCs w:val="22"/>
              </w:rPr>
              <w:t xml:space="preserve"> </w:t>
            </w:r>
            <w:r w:rsidR="00661087" w:rsidRPr="006E109A">
              <w:rPr>
                <w:color w:val="000000"/>
                <w:sz w:val="20"/>
                <w:szCs w:val="22"/>
              </w:rPr>
              <w:t xml:space="preserve">ЈЛС </w:t>
            </w:r>
            <w:proofErr w:type="spellStart"/>
            <w:r w:rsidR="00661087" w:rsidRPr="006E109A">
              <w:rPr>
                <w:color w:val="000000"/>
                <w:sz w:val="20"/>
                <w:szCs w:val="22"/>
              </w:rPr>
              <w:t>додатно</w:t>
            </w:r>
            <w:proofErr w:type="spellEnd"/>
            <w:r w:rsidR="00661087" w:rsidRPr="006E109A">
              <w:rPr>
                <w:color w:val="000000"/>
                <w:sz w:val="20"/>
                <w:szCs w:val="22"/>
              </w:rPr>
              <w:t xml:space="preserve"> </w:t>
            </w:r>
            <w:proofErr w:type="spellStart"/>
            <w:r w:rsidR="00661087" w:rsidRPr="006E109A">
              <w:rPr>
                <w:color w:val="000000"/>
                <w:sz w:val="20"/>
                <w:szCs w:val="22"/>
              </w:rPr>
              <w:t>задуживала</w:t>
            </w:r>
            <w:proofErr w:type="spellEnd"/>
            <w:r w:rsidR="00661087" w:rsidRPr="006E109A">
              <w:rPr>
                <w:color w:val="000000"/>
                <w:sz w:val="20"/>
                <w:szCs w:val="22"/>
              </w:rPr>
              <w:t xml:space="preserve">, </w:t>
            </w:r>
            <w:proofErr w:type="spellStart"/>
            <w:r w:rsidR="00661087" w:rsidRPr="006E109A">
              <w:rPr>
                <w:color w:val="000000"/>
                <w:sz w:val="20"/>
                <w:szCs w:val="22"/>
              </w:rPr>
              <w:t>због</w:t>
            </w:r>
            <w:proofErr w:type="spellEnd"/>
            <w:r w:rsidR="00661087" w:rsidRPr="006E109A">
              <w:rPr>
                <w:color w:val="000000"/>
                <w:sz w:val="20"/>
                <w:szCs w:val="22"/>
              </w:rPr>
              <w:t xml:space="preserve"> </w:t>
            </w:r>
            <w:proofErr w:type="spellStart"/>
            <w:r w:rsidR="00661087" w:rsidRPr="006E109A">
              <w:rPr>
                <w:color w:val="000000"/>
                <w:sz w:val="20"/>
                <w:szCs w:val="22"/>
              </w:rPr>
              <w:t>дјеловања</w:t>
            </w:r>
            <w:proofErr w:type="spellEnd"/>
            <w:r w:rsidR="00661087" w:rsidRPr="006E109A">
              <w:rPr>
                <w:color w:val="000000"/>
                <w:sz w:val="20"/>
                <w:szCs w:val="22"/>
              </w:rPr>
              <w:t xml:space="preserve"> COVID-19?</w:t>
            </w:r>
          </w:p>
          <w:p w14:paraId="76A911CE" w14:textId="77777777" w:rsidR="00661087" w:rsidRPr="006E109A" w:rsidRDefault="00661087" w:rsidP="00532E7F">
            <w:pPr>
              <w:rPr>
                <w:color w:val="000000"/>
                <w:sz w:val="20"/>
                <w:szCs w:val="22"/>
              </w:rPr>
            </w:pPr>
            <w:r w:rsidRPr="006E109A">
              <w:rPr>
                <w:color w:val="000000"/>
                <w:sz w:val="20"/>
                <w:szCs w:val="22"/>
              </w:rPr>
              <w:br/>
            </w:r>
            <w:proofErr w:type="spellStart"/>
            <w:r w:rsidRPr="006E109A">
              <w:rPr>
                <w:color w:val="000000"/>
                <w:sz w:val="20"/>
                <w:szCs w:val="22"/>
              </w:rPr>
              <w:t>Навести</w:t>
            </w:r>
            <w:proofErr w:type="spellEnd"/>
            <w:r w:rsidRPr="006E109A">
              <w:rPr>
                <w:color w:val="000000"/>
                <w:sz w:val="20"/>
                <w:szCs w:val="22"/>
              </w:rPr>
              <w:t xml:space="preserve"> </w:t>
            </w:r>
            <w:proofErr w:type="spellStart"/>
            <w:r w:rsidRPr="006E109A">
              <w:rPr>
                <w:color w:val="000000"/>
                <w:sz w:val="20"/>
                <w:szCs w:val="22"/>
              </w:rPr>
              <w:t>износ</w:t>
            </w:r>
            <w:proofErr w:type="spellEnd"/>
            <w:r w:rsidRPr="006E109A">
              <w:rPr>
                <w:color w:val="000000"/>
                <w:sz w:val="20"/>
                <w:szCs w:val="22"/>
              </w:rPr>
              <w:t xml:space="preserve"> и </w:t>
            </w:r>
            <w:proofErr w:type="spellStart"/>
            <w:r w:rsidRPr="006E109A">
              <w:rPr>
                <w:color w:val="000000"/>
                <w:sz w:val="20"/>
                <w:szCs w:val="22"/>
              </w:rPr>
              <w:t>намјену</w:t>
            </w:r>
            <w:proofErr w:type="spellEnd"/>
            <w:r w:rsidRPr="006E109A">
              <w:rPr>
                <w:color w:val="000000"/>
                <w:sz w:val="20"/>
                <w:szCs w:val="22"/>
              </w:rPr>
              <w:t xml:space="preserve"> </w:t>
            </w:r>
            <w:proofErr w:type="spellStart"/>
            <w:r w:rsidRPr="006E109A">
              <w:rPr>
                <w:color w:val="000000"/>
                <w:sz w:val="20"/>
                <w:szCs w:val="22"/>
              </w:rPr>
              <w:t>кредита</w:t>
            </w:r>
            <w:proofErr w:type="spellEnd"/>
            <w:r w:rsidRPr="006E109A">
              <w:rPr>
                <w:color w:val="000000"/>
                <w:sz w:val="20"/>
                <w:szCs w:val="22"/>
              </w:rPr>
              <w:t xml:space="preserve"> </w:t>
            </w:r>
            <w:proofErr w:type="spellStart"/>
            <w:r w:rsidRPr="006E109A">
              <w:rPr>
                <w:color w:val="000000"/>
                <w:sz w:val="20"/>
                <w:szCs w:val="22"/>
              </w:rPr>
              <w:t>или</w:t>
            </w:r>
            <w:proofErr w:type="spellEnd"/>
            <w:r w:rsidRPr="006E109A">
              <w:rPr>
                <w:color w:val="000000"/>
                <w:sz w:val="20"/>
                <w:szCs w:val="22"/>
              </w:rPr>
              <w:t xml:space="preserve"> </w:t>
            </w:r>
            <w:proofErr w:type="spellStart"/>
            <w:r w:rsidRPr="006E109A">
              <w:rPr>
                <w:color w:val="000000"/>
                <w:sz w:val="20"/>
                <w:szCs w:val="22"/>
              </w:rPr>
              <w:t>другог</w:t>
            </w:r>
            <w:proofErr w:type="spellEnd"/>
            <w:r w:rsidRPr="006E109A">
              <w:rPr>
                <w:color w:val="000000"/>
                <w:sz w:val="20"/>
                <w:szCs w:val="22"/>
              </w:rPr>
              <w:t xml:space="preserve"> </w:t>
            </w:r>
            <w:proofErr w:type="spellStart"/>
            <w:r w:rsidRPr="006E109A">
              <w:rPr>
                <w:color w:val="000000"/>
                <w:sz w:val="20"/>
                <w:szCs w:val="22"/>
              </w:rPr>
              <w:t>облика</w:t>
            </w:r>
            <w:proofErr w:type="spellEnd"/>
            <w:r w:rsidRPr="006E109A">
              <w:rPr>
                <w:color w:val="000000"/>
                <w:sz w:val="20"/>
                <w:szCs w:val="22"/>
              </w:rPr>
              <w:t xml:space="preserve"> </w:t>
            </w:r>
            <w:proofErr w:type="spellStart"/>
            <w:r w:rsidRPr="006E109A">
              <w:rPr>
                <w:color w:val="000000"/>
                <w:sz w:val="20"/>
                <w:szCs w:val="22"/>
              </w:rPr>
              <w:t>задужења</w:t>
            </w:r>
            <w:proofErr w:type="spellEnd"/>
            <w:r w:rsidRPr="006E109A">
              <w:rPr>
                <w:color w:val="000000"/>
                <w:sz w:val="20"/>
                <w:szCs w:val="22"/>
              </w:rPr>
              <w:t xml:space="preserve"> (</w:t>
            </w:r>
            <w:proofErr w:type="spellStart"/>
            <w:r w:rsidRPr="006E109A">
              <w:rPr>
                <w:color w:val="000000"/>
                <w:sz w:val="20"/>
                <w:szCs w:val="22"/>
              </w:rPr>
              <w:t>обвезнице</w:t>
            </w:r>
            <w:proofErr w:type="spellEnd"/>
            <w:r w:rsidRPr="006E109A">
              <w:rPr>
                <w:color w:val="000000"/>
                <w:sz w:val="20"/>
                <w:szCs w:val="22"/>
              </w:rPr>
              <w:t xml:space="preserve"> и </w:t>
            </w:r>
            <w:proofErr w:type="spellStart"/>
            <w:r w:rsidRPr="006E109A">
              <w:rPr>
                <w:color w:val="000000"/>
                <w:sz w:val="20"/>
                <w:szCs w:val="22"/>
              </w:rPr>
              <w:t>сл</w:t>
            </w:r>
            <w:proofErr w:type="spellEnd"/>
            <w:r w:rsidRPr="006E109A">
              <w:rPr>
                <w:color w:val="000000"/>
                <w:sz w:val="20"/>
                <w:szCs w:val="22"/>
              </w:rPr>
              <w:t>.).</w:t>
            </w:r>
          </w:p>
        </w:tc>
        <w:tc>
          <w:tcPr>
            <w:tcW w:w="5525" w:type="dxa"/>
            <w:tcBorders>
              <w:top w:val="nil"/>
              <w:left w:val="nil"/>
              <w:bottom w:val="single" w:sz="4" w:space="0" w:color="auto"/>
              <w:right w:val="single" w:sz="4" w:space="0" w:color="auto"/>
            </w:tcBorders>
            <w:shd w:val="clear" w:color="auto" w:fill="FFFFFF" w:themeFill="background1"/>
            <w:vAlign w:val="center"/>
            <w:hideMark/>
          </w:tcPr>
          <w:p w14:paraId="4F1D0E10" w14:textId="77777777" w:rsidR="00532E7F" w:rsidRDefault="00532E7F" w:rsidP="00532E7F">
            <w:pPr>
              <w:rPr>
                <w:sz w:val="20"/>
              </w:rPr>
            </w:pPr>
            <w:r>
              <w:rPr>
                <w:sz w:val="20"/>
                <w:lang w:val="sr-Cyrl-RS"/>
              </w:rPr>
              <w:t xml:space="preserve">1. </w:t>
            </w:r>
            <w:proofErr w:type="spellStart"/>
            <w:r>
              <w:rPr>
                <w:sz w:val="20"/>
              </w:rPr>
              <w:t>Све</w:t>
            </w:r>
            <w:proofErr w:type="spellEnd"/>
            <w:r>
              <w:rPr>
                <w:sz w:val="20"/>
              </w:rPr>
              <w:t xml:space="preserve"> </w:t>
            </w:r>
            <w:proofErr w:type="spellStart"/>
            <w:r>
              <w:rPr>
                <w:sz w:val="20"/>
              </w:rPr>
              <w:t>анкетиране</w:t>
            </w:r>
            <w:proofErr w:type="spellEnd"/>
            <w:r>
              <w:rPr>
                <w:sz w:val="20"/>
              </w:rPr>
              <w:t xml:space="preserve"> ЈЛС </w:t>
            </w:r>
            <w:proofErr w:type="spellStart"/>
            <w:r>
              <w:rPr>
                <w:sz w:val="20"/>
              </w:rPr>
              <w:t>су</w:t>
            </w:r>
            <w:proofErr w:type="spellEnd"/>
            <w:r>
              <w:rPr>
                <w:sz w:val="20"/>
              </w:rPr>
              <w:t xml:space="preserve"> </w:t>
            </w:r>
            <w:proofErr w:type="spellStart"/>
            <w:r>
              <w:rPr>
                <w:sz w:val="20"/>
              </w:rPr>
              <w:t>се</w:t>
            </w:r>
            <w:proofErr w:type="spellEnd"/>
            <w:r>
              <w:rPr>
                <w:sz w:val="20"/>
              </w:rPr>
              <w:t xml:space="preserve"> </w:t>
            </w:r>
            <w:proofErr w:type="spellStart"/>
            <w:r>
              <w:rPr>
                <w:sz w:val="20"/>
              </w:rPr>
              <w:t>дод</w:t>
            </w:r>
            <w:r w:rsidR="00A275FE" w:rsidRPr="008C60D7">
              <w:rPr>
                <w:sz w:val="20"/>
              </w:rPr>
              <w:t>а</w:t>
            </w:r>
            <w:proofErr w:type="spellEnd"/>
            <w:r>
              <w:rPr>
                <w:sz w:val="20"/>
                <w:lang w:val="sr-Cyrl-RS"/>
              </w:rPr>
              <w:t>т</w:t>
            </w:r>
            <w:proofErr w:type="spellStart"/>
            <w:r w:rsidR="00A275FE" w:rsidRPr="008C60D7">
              <w:rPr>
                <w:sz w:val="20"/>
              </w:rPr>
              <w:t>но</w:t>
            </w:r>
            <w:proofErr w:type="spellEnd"/>
            <w:r w:rsidR="00A275FE" w:rsidRPr="008C60D7">
              <w:rPr>
                <w:sz w:val="20"/>
              </w:rPr>
              <w:t xml:space="preserve"> </w:t>
            </w:r>
            <w:proofErr w:type="spellStart"/>
            <w:r w:rsidR="00A275FE" w:rsidRPr="008C60D7">
              <w:rPr>
                <w:sz w:val="20"/>
              </w:rPr>
              <w:t>задужил</w:t>
            </w:r>
            <w:r>
              <w:rPr>
                <w:sz w:val="20"/>
              </w:rPr>
              <w:t>е</w:t>
            </w:r>
            <w:proofErr w:type="spellEnd"/>
            <w:r>
              <w:rPr>
                <w:sz w:val="20"/>
              </w:rPr>
              <w:t xml:space="preserve"> у 2020. </w:t>
            </w:r>
            <w:proofErr w:type="spellStart"/>
            <w:r>
              <w:rPr>
                <w:sz w:val="20"/>
              </w:rPr>
              <w:t>години</w:t>
            </w:r>
            <w:proofErr w:type="spellEnd"/>
            <w:r>
              <w:rPr>
                <w:sz w:val="20"/>
              </w:rPr>
              <w:t xml:space="preserve"> (</w:t>
            </w:r>
            <w:proofErr w:type="spellStart"/>
            <w:r>
              <w:rPr>
                <w:sz w:val="20"/>
              </w:rPr>
              <w:t>осим</w:t>
            </w:r>
            <w:proofErr w:type="spellEnd"/>
            <w:r>
              <w:rPr>
                <w:sz w:val="20"/>
              </w:rPr>
              <w:t xml:space="preserve"> </w:t>
            </w:r>
            <w:proofErr w:type="spellStart"/>
            <w:r>
              <w:rPr>
                <w:sz w:val="20"/>
              </w:rPr>
              <w:t>једне</w:t>
            </w:r>
            <w:proofErr w:type="spellEnd"/>
            <w:r w:rsidR="00A275FE" w:rsidRPr="008C60D7">
              <w:rPr>
                <w:sz w:val="20"/>
              </w:rPr>
              <w:t>)</w:t>
            </w:r>
            <w:r w:rsidR="00BA3123">
              <w:rPr>
                <w:sz w:val="20"/>
                <w:lang w:val="sr-Cyrl-RS"/>
              </w:rPr>
              <w:t>, дугорочно и/или краткорочно</w:t>
            </w:r>
            <w:r w:rsidR="00A275FE" w:rsidRPr="008C60D7">
              <w:rPr>
                <w:sz w:val="20"/>
              </w:rPr>
              <w:t xml:space="preserve">. </w:t>
            </w:r>
          </w:p>
          <w:p w14:paraId="28B149F7" w14:textId="77777777" w:rsidR="000F6B31" w:rsidRPr="003E757C" w:rsidRDefault="00532E7F" w:rsidP="00532E7F">
            <w:pPr>
              <w:rPr>
                <w:sz w:val="20"/>
                <w:lang w:val="sr-Latn-RS"/>
              </w:rPr>
            </w:pPr>
            <w:r>
              <w:rPr>
                <w:sz w:val="20"/>
                <w:lang w:val="sr-Cyrl-RS"/>
              </w:rPr>
              <w:t>2.</w:t>
            </w:r>
            <w:r w:rsidR="000F6B31">
              <w:rPr>
                <w:sz w:val="20"/>
                <w:lang w:val="sr-Latn-RS"/>
              </w:rPr>
              <w:t xml:space="preserve"> </w:t>
            </w:r>
            <w:r w:rsidR="000F6B31">
              <w:rPr>
                <w:sz w:val="20"/>
                <w:lang w:val="sr-Cyrl-RS"/>
              </w:rPr>
              <w:t>Н</w:t>
            </w:r>
            <w:proofErr w:type="spellStart"/>
            <w:r w:rsidR="000F6B31">
              <w:rPr>
                <w:sz w:val="20"/>
              </w:rPr>
              <w:t>амјене</w:t>
            </w:r>
            <w:proofErr w:type="spellEnd"/>
            <w:r w:rsidR="000F6B31">
              <w:rPr>
                <w:sz w:val="20"/>
              </w:rPr>
              <w:t xml:space="preserve"> </w:t>
            </w:r>
            <w:proofErr w:type="spellStart"/>
            <w:r w:rsidR="000F6B31">
              <w:rPr>
                <w:sz w:val="20"/>
              </w:rPr>
              <w:t>дугорочног</w:t>
            </w:r>
            <w:proofErr w:type="spellEnd"/>
            <w:r w:rsidR="000F6B31">
              <w:rPr>
                <w:sz w:val="20"/>
              </w:rPr>
              <w:t xml:space="preserve"> </w:t>
            </w:r>
            <w:proofErr w:type="spellStart"/>
            <w:r w:rsidR="000F6B31">
              <w:rPr>
                <w:sz w:val="20"/>
              </w:rPr>
              <w:t>задуживања</w:t>
            </w:r>
            <w:proofErr w:type="spellEnd"/>
            <w:r w:rsidR="00A275FE" w:rsidRPr="008C60D7">
              <w:rPr>
                <w:sz w:val="20"/>
              </w:rPr>
              <w:t xml:space="preserve"> </w:t>
            </w:r>
            <w:r w:rsidR="000F6B31">
              <w:rPr>
                <w:sz w:val="20"/>
                <w:lang w:val="sr-Cyrl-RS"/>
              </w:rPr>
              <w:t xml:space="preserve">су </w:t>
            </w:r>
            <w:proofErr w:type="spellStart"/>
            <w:r w:rsidR="00A275FE" w:rsidRPr="008C60D7">
              <w:rPr>
                <w:sz w:val="20"/>
              </w:rPr>
              <w:t>за</w:t>
            </w:r>
            <w:proofErr w:type="spellEnd"/>
            <w:r w:rsidR="00A275FE" w:rsidRPr="008C60D7">
              <w:rPr>
                <w:sz w:val="20"/>
              </w:rPr>
              <w:t xml:space="preserve"> </w:t>
            </w:r>
            <w:proofErr w:type="spellStart"/>
            <w:r w:rsidR="00A275FE" w:rsidRPr="008C60D7">
              <w:rPr>
                <w:sz w:val="20"/>
              </w:rPr>
              <w:t>финансирање</w:t>
            </w:r>
            <w:proofErr w:type="spellEnd"/>
            <w:r w:rsidR="00A275FE" w:rsidRPr="008C60D7">
              <w:rPr>
                <w:sz w:val="20"/>
              </w:rPr>
              <w:t xml:space="preserve"> </w:t>
            </w:r>
            <w:proofErr w:type="spellStart"/>
            <w:r w:rsidR="00A275FE" w:rsidRPr="008C60D7">
              <w:rPr>
                <w:sz w:val="20"/>
              </w:rPr>
              <w:t>капиталн</w:t>
            </w:r>
            <w:r w:rsidR="00212D2E">
              <w:rPr>
                <w:sz w:val="20"/>
              </w:rPr>
              <w:t>их</w:t>
            </w:r>
            <w:proofErr w:type="spellEnd"/>
            <w:r w:rsidR="00212D2E">
              <w:rPr>
                <w:sz w:val="20"/>
              </w:rPr>
              <w:t xml:space="preserve"> </w:t>
            </w:r>
            <w:proofErr w:type="spellStart"/>
            <w:r w:rsidR="00212D2E">
              <w:rPr>
                <w:sz w:val="20"/>
              </w:rPr>
              <w:t>инвестиција</w:t>
            </w:r>
            <w:proofErr w:type="spellEnd"/>
            <w:r w:rsidR="00212D2E">
              <w:rPr>
                <w:sz w:val="20"/>
              </w:rPr>
              <w:t xml:space="preserve"> и </w:t>
            </w:r>
            <w:proofErr w:type="spellStart"/>
            <w:r w:rsidR="00212D2E">
              <w:rPr>
                <w:sz w:val="20"/>
              </w:rPr>
              <w:t>рефинансирање</w:t>
            </w:r>
            <w:proofErr w:type="spellEnd"/>
            <w:r w:rsidR="00212D2E">
              <w:rPr>
                <w:sz w:val="20"/>
              </w:rPr>
              <w:t xml:space="preserve"> </w:t>
            </w:r>
            <w:proofErr w:type="spellStart"/>
            <w:r w:rsidR="00212D2E">
              <w:rPr>
                <w:sz w:val="20"/>
              </w:rPr>
              <w:t>постојећих</w:t>
            </w:r>
            <w:proofErr w:type="spellEnd"/>
            <w:r w:rsidR="00212D2E">
              <w:rPr>
                <w:sz w:val="20"/>
              </w:rPr>
              <w:t xml:space="preserve"> </w:t>
            </w:r>
            <w:proofErr w:type="spellStart"/>
            <w:r w:rsidR="00212D2E">
              <w:rPr>
                <w:sz w:val="20"/>
              </w:rPr>
              <w:t>кредита</w:t>
            </w:r>
            <w:proofErr w:type="spellEnd"/>
            <w:r w:rsidR="00212D2E">
              <w:rPr>
                <w:sz w:val="20"/>
              </w:rPr>
              <w:t>.</w:t>
            </w:r>
          </w:p>
          <w:p w14:paraId="346F4D84" w14:textId="77777777" w:rsidR="000F6B31" w:rsidRDefault="000F6B31" w:rsidP="00532E7F">
            <w:pPr>
              <w:rPr>
                <w:sz w:val="20"/>
              </w:rPr>
            </w:pPr>
            <w:r>
              <w:rPr>
                <w:sz w:val="20"/>
              </w:rPr>
              <w:t xml:space="preserve">3. </w:t>
            </w:r>
            <w:proofErr w:type="spellStart"/>
            <w:r w:rsidR="00A275FE" w:rsidRPr="008C60D7">
              <w:rPr>
                <w:sz w:val="20"/>
              </w:rPr>
              <w:t>Краткорочно</w:t>
            </w:r>
            <w:proofErr w:type="spellEnd"/>
            <w:r w:rsidR="00A275FE" w:rsidRPr="008C60D7">
              <w:rPr>
                <w:sz w:val="20"/>
              </w:rPr>
              <w:t xml:space="preserve"> </w:t>
            </w:r>
            <w:proofErr w:type="spellStart"/>
            <w:r w:rsidR="00A275FE" w:rsidRPr="008C60D7">
              <w:rPr>
                <w:sz w:val="20"/>
              </w:rPr>
              <w:t>задуживање</w:t>
            </w:r>
            <w:proofErr w:type="spellEnd"/>
            <w:r w:rsidR="00A275FE" w:rsidRPr="008C60D7">
              <w:rPr>
                <w:sz w:val="20"/>
              </w:rPr>
              <w:t xml:space="preserve"> </w:t>
            </w:r>
            <w:r w:rsidR="00A275FE">
              <w:rPr>
                <w:sz w:val="20"/>
                <w:lang w:val="sr-Cyrl-RS"/>
              </w:rPr>
              <w:t xml:space="preserve">је било </w:t>
            </w:r>
            <w:proofErr w:type="spellStart"/>
            <w:r w:rsidR="00A275FE" w:rsidRPr="008C60D7">
              <w:rPr>
                <w:sz w:val="20"/>
              </w:rPr>
              <w:t>за</w:t>
            </w:r>
            <w:proofErr w:type="spellEnd"/>
            <w:r w:rsidR="00A275FE" w:rsidRPr="008C60D7">
              <w:rPr>
                <w:sz w:val="20"/>
              </w:rPr>
              <w:t xml:space="preserve"> </w:t>
            </w:r>
            <w:proofErr w:type="spellStart"/>
            <w:r w:rsidR="00A275FE" w:rsidRPr="008C60D7">
              <w:rPr>
                <w:sz w:val="20"/>
              </w:rPr>
              <w:t>финансирање</w:t>
            </w:r>
            <w:proofErr w:type="spellEnd"/>
            <w:r w:rsidR="00A275FE" w:rsidRPr="008C60D7">
              <w:rPr>
                <w:sz w:val="20"/>
              </w:rPr>
              <w:t xml:space="preserve"> </w:t>
            </w:r>
            <w:proofErr w:type="spellStart"/>
            <w:r w:rsidR="00A275FE" w:rsidRPr="008C60D7">
              <w:rPr>
                <w:sz w:val="20"/>
              </w:rPr>
              <w:t>дефицита</w:t>
            </w:r>
            <w:proofErr w:type="spellEnd"/>
            <w:r w:rsidR="00A275FE" w:rsidRPr="008C60D7">
              <w:rPr>
                <w:sz w:val="20"/>
              </w:rPr>
              <w:t xml:space="preserve"> </w:t>
            </w:r>
            <w:proofErr w:type="spellStart"/>
            <w:r w:rsidR="00A275FE" w:rsidRPr="008C60D7">
              <w:rPr>
                <w:sz w:val="20"/>
              </w:rPr>
              <w:t>произашлог</w:t>
            </w:r>
            <w:proofErr w:type="spellEnd"/>
            <w:r w:rsidR="00A275FE" w:rsidRPr="008C60D7">
              <w:rPr>
                <w:sz w:val="20"/>
              </w:rPr>
              <w:t xml:space="preserve"> </w:t>
            </w:r>
            <w:proofErr w:type="spellStart"/>
            <w:r w:rsidR="00A275FE" w:rsidRPr="008C60D7">
              <w:rPr>
                <w:sz w:val="20"/>
              </w:rPr>
              <w:t>из</w:t>
            </w:r>
            <w:proofErr w:type="spellEnd"/>
            <w:r w:rsidR="00A275FE" w:rsidRPr="008C60D7">
              <w:rPr>
                <w:sz w:val="20"/>
              </w:rPr>
              <w:t xml:space="preserve"> </w:t>
            </w:r>
            <w:proofErr w:type="spellStart"/>
            <w:r w:rsidR="00A275FE" w:rsidRPr="008C60D7">
              <w:rPr>
                <w:sz w:val="20"/>
              </w:rPr>
              <w:t>готовинског</w:t>
            </w:r>
            <w:proofErr w:type="spellEnd"/>
            <w:r w:rsidR="00A275FE" w:rsidRPr="008C60D7">
              <w:rPr>
                <w:sz w:val="20"/>
              </w:rPr>
              <w:t xml:space="preserve"> </w:t>
            </w:r>
            <w:proofErr w:type="spellStart"/>
            <w:r w:rsidR="00A275FE" w:rsidRPr="008C60D7">
              <w:rPr>
                <w:sz w:val="20"/>
              </w:rPr>
              <w:t>тока</w:t>
            </w:r>
            <w:proofErr w:type="spellEnd"/>
            <w:r w:rsidR="00A275FE" w:rsidRPr="008C60D7">
              <w:rPr>
                <w:sz w:val="20"/>
              </w:rPr>
              <w:t xml:space="preserve">. </w:t>
            </w:r>
          </w:p>
          <w:p w14:paraId="2CFD910E" w14:textId="77777777" w:rsidR="00A275FE" w:rsidRPr="008C60D7" w:rsidRDefault="000F6B31" w:rsidP="00532E7F">
            <w:pPr>
              <w:rPr>
                <w:sz w:val="20"/>
              </w:rPr>
            </w:pPr>
            <w:r>
              <w:rPr>
                <w:sz w:val="20"/>
                <w:lang w:val="sr-Cyrl-RS"/>
              </w:rPr>
              <w:t>4.</w:t>
            </w:r>
            <w:proofErr w:type="spellStart"/>
            <w:r w:rsidR="00A275FE" w:rsidRPr="008C60D7">
              <w:rPr>
                <w:sz w:val="20"/>
              </w:rPr>
              <w:t>Двије</w:t>
            </w:r>
            <w:proofErr w:type="spellEnd"/>
            <w:r w:rsidR="00A275FE" w:rsidRPr="008C60D7">
              <w:rPr>
                <w:sz w:val="20"/>
              </w:rPr>
              <w:t xml:space="preserve"> ЈЛС </w:t>
            </w:r>
            <w:proofErr w:type="spellStart"/>
            <w:r w:rsidR="00A275FE" w:rsidRPr="008C60D7">
              <w:rPr>
                <w:sz w:val="20"/>
              </w:rPr>
              <w:t>су</w:t>
            </w:r>
            <w:proofErr w:type="spellEnd"/>
            <w:r w:rsidR="00A275FE" w:rsidRPr="008C60D7">
              <w:rPr>
                <w:sz w:val="20"/>
              </w:rPr>
              <w:t xml:space="preserve"> </w:t>
            </w:r>
            <w:proofErr w:type="spellStart"/>
            <w:r w:rsidR="00A275FE" w:rsidRPr="008C60D7">
              <w:rPr>
                <w:sz w:val="20"/>
              </w:rPr>
              <w:t>се</w:t>
            </w:r>
            <w:proofErr w:type="spellEnd"/>
            <w:r w:rsidR="00A275FE" w:rsidRPr="008C60D7">
              <w:rPr>
                <w:sz w:val="20"/>
              </w:rPr>
              <w:t xml:space="preserve"> </w:t>
            </w:r>
            <w:proofErr w:type="spellStart"/>
            <w:r w:rsidR="00A275FE" w:rsidRPr="008C60D7">
              <w:rPr>
                <w:sz w:val="20"/>
              </w:rPr>
              <w:t>задужиле</w:t>
            </w:r>
            <w:proofErr w:type="spellEnd"/>
            <w:r w:rsidR="00A275FE" w:rsidRPr="008C60D7">
              <w:rPr>
                <w:sz w:val="20"/>
              </w:rPr>
              <w:t xml:space="preserve"> </w:t>
            </w:r>
            <w:proofErr w:type="spellStart"/>
            <w:r w:rsidR="00A275FE" w:rsidRPr="008C60D7">
              <w:rPr>
                <w:sz w:val="20"/>
              </w:rPr>
              <w:t>емисијом</w:t>
            </w:r>
            <w:proofErr w:type="spellEnd"/>
            <w:r w:rsidR="00A275FE" w:rsidRPr="008C60D7">
              <w:rPr>
                <w:sz w:val="20"/>
              </w:rPr>
              <w:t xml:space="preserve"> </w:t>
            </w:r>
            <w:proofErr w:type="spellStart"/>
            <w:r w:rsidR="00A275FE" w:rsidRPr="008C60D7">
              <w:rPr>
                <w:sz w:val="20"/>
              </w:rPr>
              <w:t>обвезница</w:t>
            </w:r>
            <w:proofErr w:type="spellEnd"/>
            <w:r w:rsidR="00A275FE" w:rsidRPr="008C60D7">
              <w:rPr>
                <w:sz w:val="20"/>
              </w:rPr>
              <w:t xml:space="preserve"> (</w:t>
            </w:r>
            <w:proofErr w:type="spellStart"/>
            <w:r w:rsidR="00A275FE" w:rsidRPr="008C60D7">
              <w:rPr>
                <w:sz w:val="20"/>
              </w:rPr>
              <w:t>Бања</w:t>
            </w:r>
            <w:proofErr w:type="spellEnd"/>
            <w:r w:rsidR="00A275FE" w:rsidRPr="008C60D7">
              <w:rPr>
                <w:sz w:val="20"/>
              </w:rPr>
              <w:t xml:space="preserve"> </w:t>
            </w:r>
            <w:proofErr w:type="spellStart"/>
            <w:r w:rsidR="00A275FE" w:rsidRPr="008C60D7">
              <w:rPr>
                <w:sz w:val="20"/>
              </w:rPr>
              <w:t>Лука</w:t>
            </w:r>
            <w:proofErr w:type="spellEnd"/>
            <w:r w:rsidR="00A275FE" w:rsidRPr="008C60D7">
              <w:rPr>
                <w:sz w:val="20"/>
              </w:rPr>
              <w:t xml:space="preserve">, </w:t>
            </w:r>
            <w:proofErr w:type="spellStart"/>
            <w:r w:rsidR="00A275FE" w:rsidRPr="008C60D7">
              <w:rPr>
                <w:sz w:val="20"/>
              </w:rPr>
              <w:t>Фоча</w:t>
            </w:r>
            <w:proofErr w:type="spellEnd"/>
            <w:r w:rsidR="00A275FE" w:rsidRPr="008C60D7">
              <w:rPr>
                <w:sz w:val="20"/>
              </w:rPr>
              <w:t xml:space="preserve">). </w:t>
            </w:r>
            <w:proofErr w:type="spellStart"/>
            <w:r>
              <w:rPr>
                <w:sz w:val="20"/>
              </w:rPr>
              <w:t>Иначе</w:t>
            </w:r>
            <w:proofErr w:type="spellEnd"/>
            <w:r>
              <w:rPr>
                <w:sz w:val="20"/>
              </w:rPr>
              <w:t xml:space="preserve">, </w:t>
            </w:r>
            <w:r w:rsidR="00A275FE" w:rsidRPr="008C60D7">
              <w:rPr>
                <w:sz w:val="20"/>
              </w:rPr>
              <w:t xml:space="preserve"> ЈЛС </w:t>
            </w:r>
            <w:proofErr w:type="spellStart"/>
            <w:r w:rsidR="00A275FE" w:rsidRPr="008C60D7">
              <w:rPr>
                <w:sz w:val="20"/>
              </w:rPr>
              <w:t>се</w:t>
            </w:r>
            <w:proofErr w:type="spellEnd"/>
            <w:r w:rsidR="00A275FE" w:rsidRPr="008C60D7">
              <w:rPr>
                <w:sz w:val="20"/>
              </w:rPr>
              <w:t xml:space="preserve"> </w:t>
            </w:r>
            <w:proofErr w:type="spellStart"/>
            <w:r w:rsidR="00A275FE" w:rsidRPr="008C60D7">
              <w:rPr>
                <w:sz w:val="20"/>
              </w:rPr>
              <w:t>ријеђе</w:t>
            </w:r>
            <w:proofErr w:type="spellEnd"/>
            <w:r w:rsidR="00A275FE" w:rsidRPr="008C60D7">
              <w:rPr>
                <w:sz w:val="20"/>
              </w:rPr>
              <w:t xml:space="preserve"> </w:t>
            </w:r>
            <w:proofErr w:type="spellStart"/>
            <w:r w:rsidR="00A275FE" w:rsidRPr="008C60D7">
              <w:rPr>
                <w:sz w:val="20"/>
              </w:rPr>
              <w:t>задужују</w:t>
            </w:r>
            <w:proofErr w:type="spellEnd"/>
            <w:r w:rsidR="00A275FE" w:rsidRPr="008C60D7">
              <w:rPr>
                <w:sz w:val="20"/>
              </w:rPr>
              <w:t xml:space="preserve"> </w:t>
            </w:r>
            <w:proofErr w:type="spellStart"/>
            <w:r w:rsidR="00A275FE" w:rsidRPr="008C60D7">
              <w:rPr>
                <w:sz w:val="20"/>
              </w:rPr>
              <w:t>путем</w:t>
            </w:r>
            <w:proofErr w:type="spellEnd"/>
            <w:r w:rsidR="00A275FE" w:rsidRPr="008C60D7">
              <w:rPr>
                <w:sz w:val="20"/>
              </w:rPr>
              <w:t xml:space="preserve"> </w:t>
            </w:r>
            <w:proofErr w:type="spellStart"/>
            <w:r w:rsidR="00A275FE" w:rsidRPr="008C60D7">
              <w:rPr>
                <w:sz w:val="20"/>
              </w:rPr>
              <w:t>емисије</w:t>
            </w:r>
            <w:proofErr w:type="spellEnd"/>
            <w:r w:rsidR="00A275FE" w:rsidRPr="008C60D7">
              <w:rPr>
                <w:sz w:val="20"/>
              </w:rPr>
              <w:t xml:space="preserve"> </w:t>
            </w:r>
            <w:proofErr w:type="spellStart"/>
            <w:r w:rsidR="00A275FE" w:rsidRPr="008C60D7">
              <w:rPr>
                <w:sz w:val="20"/>
              </w:rPr>
              <w:t>обвезница</w:t>
            </w:r>
            <w:proofErr w:type="spellEnd"/>
            <w:r w:rsidR="00A275FE" w:rsidRPr="008C60D7">
              <w:rPr>
                <w:sz w:val="20"/>
              </w:rPr>
              <w:t xml:space="preserve">, </w:t>
            </w:r>
            <w:proofErr w:type="spellStart"/>
            <w:r w:rsidR="00A275FE" w:rsidRPr="008C60D7">
              <w:rPr>
                <w:sz w:val="20"/>
              </w:rPr>
              <w:t>иако</w:t>
            </w:r>
            <w:proofErr w:type="spellEnd"/>
            <w:r w:rsidR="00A275FE" w:rsidRPr="008C60D7">
              <w:rPr>
                <w:sz w:val="20"/>
              </w:rPr>
              <w:t xml:space="preserve"> </w:t>
            </w:r>
            <w:proofErr w:type="spellStart"/>
            <w:r w:rsidR="00A275FE" w:rsidRPr="008C60D7">
              <w:rPr>
                <w:sz w:val="20"/>
              </w:rPr>
              <w:t>се</w:t>
            </w:r>
            <w:proofErr w:type="spellEnd"/>
            <w:r w:rsidR="00A275FE" w:rsidRPr="008C60D7">
              <w:rPr>
                <w:sz w:val="20"/>
              </w:rPr>
              <w:t xml:space="preserve"> </w:t>
            </w:r>
            <w:proofErr w:type="spellStart"/>
            <w:r w:rsidR="00A275FE" w:rsidRPr="008C60D7">
              <w:rPr>
                <w:sz w:val="20"/>
              </w:rPr>
              <w:t>ради</w:t>
            </w:r>
            <w:proofErr w:type="spellEnd"/>
            <w:r w:rsidR="00A275FE" w:rsidRPr="008C60D7">
              <w:rPr>
                <w:sz w:val="20"/>
              </w:rPr>
              <w:t xml:space="preserve"> о </w:t>
            </w:r>
            <w:proofErr w:type="spellStart"/>
            <w:r w:rsidR="00A275FE" w:rsidRPr="008C60D7">
              <w:rPr>
                <w:sz w:val="20"/>
              </w:rPr>
              <w:t>поступку</w:t>
            </w:r>
            <w:proofErr w:type="spellEnd"/>
            <w:r w:rsidR="00A275FE" w:rsidRPr="008C60D7">
              <w:rPr>
                <w:sz w:val="20"/>
              </w:rPr>
              <w:t xml:space="preserve"> </w:t>
            </w:r>
            <w:proofErr w:type="spellStart"/>
            <w:r w:rsidR="00A275FE" w:rsidRPr="008C60D7">
              <w:rPr>
                <w:sz w:val="20"/>
              </w:rPr>
              <w:t>задуживања</w:t>
            </w:r>
            <w:proofErr w:type="spellEnd"/>
            <w:r w:rsidR="00A275FE" w:rsidRPr="008C60D7">
              <w:rPr>
                <w:sz w:val="20"/>
              </w:rPr>
              <w:t xml:space="preserve">, </w:t>
            </w:r>
            <w:proofErr w:type="spellStart"/>
            <w:r w:rsidR="00A275FE" w:rsidRPr="008C60D7">
              <w:rPr>
                <w:sz w:val="20"/>
              </w:rPr>
              <w:t>који</w:t>
            </w:r>
            <w:proofErr w:type="spellEnd"/>
            <w:r w:rsidR="00A275FE" w:rsidRPr="008C60D7">
              <w:rPr>
                <w:sz w:val="20"/>
              </w:rPr>
              <w:t xml:space="preserve"> </w:t>
            </w:r>
            <w:proofErr w:type="spellStart"/>
            <w:r w:rsidR="00A275FE" w:rsidRPr="008C60D7">
              <w:rPr>
                <w:sz w:val="20"/>
              </w:rPr>
              <w:t>об</w:t>
            </w:r>
            <w:r w:rsidR="002367EC">
              <w:rPr>
                <w:sz w:val="20"/>
              </w:rPr>
              <w:t>езбјеђује</w:t>
            </w:r>
            <w:proofErr w:type="spellEnd"/>
            <w:r w:rsidR="002367EC">
              <w:rPr>
                <w:sz w:val="20"/>
              </w:rPr>
              <w:t xml:space="preserve"> </w:t>
            </w:r>
            <w:proofErr w:type="spellStart"/>
            <w:r w:rsidR="002367EC">
              <w:rPr>
                <w:sz w:val="20"/>
              </w:rPr>
              <w:t>већи</w:t>
            </w:r>
            <w:proofErr w:type="spellEnd"/>
            <w:r w:rsidR="002367EC">
              <w:rPr>
                <w:sz w:val="20"/>
              </w:rPr>
              <w:t xml:space="preserve"> </w:t>
            </w:r>
            <w:proofErr w:type="spellStart"/>
            <w:r w:rsidR="002367EC">
              <w:rPr>
                <w:sz w:val="20"/>
              </w:rPr>
              <w:t>број</w:t>
            </w:r>
            <w:proofErr w:type="spellEnd"/>
            <w:r w:rsidR="002367EC">
              <w:rPr>
                <w:sz w:val="20"/>
              </w:rPr>
              <w:t xml:space="preserve"> </w:t>
            </w:r>
            <w:proofErr w:type="spellStart"/>
            <w:r w:rsidR="002367EC">
              <w:rPr>
                <w:sz w:val="20"/>
              </w:rPr>
              <w:t>инвеститора</w:t>
            </w:r>
            <w:proofErr w:type="spellEnd"/>
            <w:r w:rsidR="002367EC">
              <w:rPr>
                <w:sz w:val="20"/>
              </w:rPr>
              <w:t xml:space="preserve"> и </w:t>
            </w:r>
            <w:proofErr w:type="spellStart"/>
            <w:r w:rsidR="002367EC">
              <w:rPr>
                <w:sz w:val="20"/>
              </w:rPr>
              <w:t>често</w:t>
            </w:r>
            <w:proofErr w:type="spellEnd"/>
            <w:r w:rsidR="002367EC">
              <w:rPr>
                <w:sz w:val="20"/>
              </w:rPr>
              <w:t xml:space="preserve"> </w:t>
            </w:r>
            <w:proofErr w:type="spellStart"/>
            <w:r w:rsidR="002367EC">
              <w:rPr>
                <w:sz w:val="20"/>
              </w:rPr>
              <w:t>нуди</w:t>
            </w:r>
            <w:proofErr w:type="spellEnd"/>
            <w:r w:rsidR="002367EC">
              <w:rPr>
                <w:sz w:val="20"/>
              </w:rPr>
              <w:t xml:space="preserve"> </w:t>
            </w:r>
            <w:proofErr w:type="spellStart"/>
            <w:r w:rsidR="002367EC">
              <w:rPr>
                <w:sz w:val="20"/>
              </w:rPr>
              <w:t>повољније</w:t>
            </w:r>
            <w:proofErr w:type="spellEnd"/>
            <w:r w:rsidR="002367EC">
              <w:rPr>
                <w:sz w:val="20"/>
              </w:rPr>
              <w:t xml:space="preserve"> </w:t>
            </w:r>
            <w:proofErr w:type="spellStart"/>
            <w:r w:rsidR="002367EC">
              <w:rPr>
                <w:sz w:val="20"/>
              </w:rPr>
              <w:t>каматне</w:t>
            </w:r>
            <w:proofErr w:type="spellEnd"/>
            <w:r w:rsidR="002367EC">
              <w:rPr>
                <w:sz w:val="20"/>
              </w:rPr>
              <w:t xml:space="preserve"> </w:t>
            </w:r>
            <w:proofErr w:type="spellStart"/>
            <w:r w:rsidR="002367EC">
              <w:rPr>
                <w:sz w:val="20"/>
              </w:rPr>
              <w:t>стопе</w:t>
            </w:r>
            <w:proofErr w:type="spellEnd"/>
            <w:r w:rsidR="002367EC">
              <w:rPr>
                <w:sz w:val="20"/>
              </w:rPr>
              <w:t>.</w:t>
            </w:r>
          </w:p>
          <w:p w14:paraId="16B2803C" w14:textId="77777777" w:rsidR="005D5859" w:rsidRPr="00A275FE" w:rsidRDefault="002367EC" w:rsidP="00532E7F">
            <w:pPr>
              <w:rPr>
                <w:sz w:val="20"/>
              </w:rPr>
            </w:pPr>
            <w:r>
              <w:rPr>
                <w:sz w:val="20"/>
                <w:lang w:val="sr-Cyrl-RS"/>
              </w:rPr>
              <w:t xml:space="preserve">5. </w:t>
            </w:r>
            <w:proofErr w:type="spellStart"/>
            <w:r w:rsidR="00A275FE" w:rsidRPr="008C60D7">
              <w:rPr>
                <w:sz w:val="20"/>
              </w:rPr>
              <w:t>Очигледно</w:t>
            </w:r>
            <w:proofErr w:type="spellEnd"/>
            <w:r w:rsidR="00A275FE" w:rsidRPr="008C60D7">
              <w:rPr>
                <w:sz w:val="20"/>
              </w:rPr>
              <w:t xml:space="preserve"> </w:t>
            </w:r>
            <w:proofErr w:type="spellStart"/>
            <w:r w:rsidR="00A275FE" w:rsidRPr="008C60D7">
              <w:rPr>
                <w:sz w:val="20"/>
              </w:rPr>
              <w:t>је</w:t>
            </w:r>
            <w:proofErr w:type="spellEnd"/>
            <w:r w:rsidR="00A275FE" w:rsidRPr="008C60D7">
              <w:rPr>
                <w:sz w:val="20"/>
              </w:rPr>
              <w:t xml:space="preserve"> </w:t>
            </w:r>
            <w:proofErr w:type="spellStart"/>
            <w:r w:rsidR="00A275FE" w:rsidRPr="008C60D7">
              <w:rPr>
                <w:sz w:val="20"/>
              </w:rPr>
              <w:t>да</w:t>
            </w:r>
            <w:proofErr w:type="spellEnd"/>
            <w:r w:rsidR="00A275FE" w:rsidRPr="008C60D7">
              <w:rPr>
                <w:sz w:val="20"/>
              </w:rPr>
              <w:t xml:space="preserve"> </w:t>
            </w:r>
            <w:proofErr w:type="spellStart"/>
            <w:r w:rsidR="00A275FE" w:rsidRPr="008C60D7">
              <w:rPr>
                <w:sz w:val="20"/>
              </w:rPr>
              <w:t>је</w:t>
            </w:r>
            <w:proofErr w:type="spellEnd"/>
            <w:r w:rsidR="00A275FE" w:rsidRPr="008C60D7">
              <w:rPr>
                <w:sz w:val="20"/>
              </w:rPr>
              <w:t xml:space="preserve"> </w:t>
            </w:r>
            <w:proofErr w:type="spellStart"/>
            <w:r w:rsidR="00A275FE" w:rsidRPr="008C60D7">
              <w:rPr>
                <w:sz w:val="20"/>
              </w:rPr>
              <w:t>криза</w:t>
            </w:r>
            <w:proofErr w:type="spellEnd"/>
            <w:r w:rsidR="00A275FE" w:rsidRPr="008C60D7">
              <w:rPr>
                <w:sz w:val="20"/>
              </w:rPr>
              <w:t xml:space="preserve"> </w:t>
            </w:r>
            <w:proofErr w:type="spellStart"/>
            <w:r w:rsidR="00A275FE" w:rsidRPr="008C60D7">
              <w:rPr>
                <w:sz w:val="20"/>
              </w:rPr>
              <w:t>довела</w:t>
            </w:r>
            <w:proofErr w:type="spellEnd"/>
            <w:r w:rsidR="00A275FE" w:rsidRPr="008C60D7">
              <w:rPr>
                <w:sz w:val="20"/>
              </w:rPr>
              <w:t xml:space="preserve"> </w:t>
            </w:r>
            <w:proofErr w:type="spellStart"/>
            <w:r w:rsidR="00A275FE" w:rsidRPr="008C60D7">
              <w:rPr>
                <w:sz w:val="20"/>
              </w:rPr>
              <w:t>до</w:t>
            </w:r>
            <w:proofErr w:type="spellEnd"/>
            <w:r w:rsidR="00A275FE" w:rsidRPr="008C60D7">
              <w:rPr>
                <w:sz w:val="20"/>
              </w:rPr>
              <w:t xml:space="preserve"> </w:t>
            </w:r>
            <w:proofErr w:type="spellStart"/>
            <w:r w:rsidR="00A275FE" w:rsidRPr="008C60D7">
              <w:rPr>
                <w:sz w:val="20"/>
              </w:rPr>
              <w:t>дотаног</w:t>
            </w:r>
            <w:proofErr w:type="spellEnd"/>
            <w:r w:rsidR="00A275FE" w:rsidRPr="008C60D7">
              <w:rPr>
                <w:sz w:val="20"/>
              </w:rPr>
              <w:t xml:space="preserve"> </w:t>
            </w:r>
            <w:proofErr w:type="spellStart"/>
            <w:r w:rsidR="00A275FE" w:rsidRPr="008C60D7">
              <w:rPr>
                <w:sz w:val="20"/>
              </w:rPr>
              <w:t>задуживања</w:t>
            </w:r>
            <w:proofErr w:type="spellEnd"/>
            <w:r w:rsidR="00A275FE" w:rsidRPr="008C60D7">
              <w:rPr>
                <w:sz w:val="20"/>
              </w:rPr>
              <w:t xml:space="preserve">, и </w:t>
            </w:r>
            <w:proofErr w:type="spellStart"/>
            <w:r w:rsidR="00A275FE" w:rsidRPr="008C60D7">
              <w:rPr>
                <w:sz w:val="20"/>
              </w:rPr>
              <w:t>да</w:t>
            </w:r>
            <w:proofErr w:type="spellEnd"/>
            <w:r w:rsidR="00A275FE" w:rsidRPr="008C60D7">
              <w:rPr>
                <w:sz w:val="20"/>
              </w:rPr>
              <w:t xml:space="preserve"> </w:t>
            </w:r>
            <w:proofErr w:type="spellStart"/>
            <w:r w:rsidR="00A275FE" w:rsidRPr="008C60D7">
              <w:rPr>
                <w:sz w:val="20"/>
              </w:rPr>
              <w:t>се</w:t>
            </w:r>
            <w:proofErr w:type="spellEnd"/>
            <w:r w:rsidR="00A275FE" w:rsidRPr="008C60D7">
              <w:rPr>
                <w:sz w:val="20"/>
              </w:rPr>
              <w:t xml:space="preserve"> </w:t>
            </w:r>
            <w:proofErr w:type="spellStart"/>
            <w:r w:rsidR="00A275FE" w:rsidRPr="008C60D7">
              <w:rPr>
                <w:sz w:val="20"/>
              </w:rPr>
              <w:t>због</w:t>
            </w:r>
            <w:proofErr w:type="spellEnd"/>
            <w:r w:rsidR="00A275FE" w:rsidRPr="008C60D7">
              <w:rPr>
                <w:sz w:val="20"/>
              </w:rPr>
              <w:t xml:space="preserve"> </w:t>
            </w:r>
            <w:proofErr w:type="spellStart"/>
            <w:r w:rsidR="00A275FE" w:rsidRPr="008C60D7">
              <w:rPr>
                <w:sz w:val="20"/>
              </w:rPr>
              <w:t>пада</w:t>
            </w:r>
            <w:proofErr w:type="spellEnd"/>
            <w:r w:rsidR="00A275FE" w:rsidRPr="008C60D7">
              <w:rPr>
                <w:sz w:val="20"/>
              </w:rPr>
              <w:t xml:space="preserve"> </w:t>
            </w:r>
            <w:proofErr w:type="spellStart"/>
            <w:r w:rsidR="00A275FE" w:rsidRPr="008C60D7">
              <w:rPr>
                <w:sz w:val="20"/>
              </w:rPr>
              <w:t>прихода</w:t>
            </w:r>
            <w:proofErr w:type="spellEnd"/>
            <w:r w:rsidR="00A275FE" w:rsidRPr="008C60D7">
              <w:rPr>
                <w:sz w:val="20"/>
              </w:rPr>
              <w:t xml:space="preserve"> </w:t>
            </w:r>
            <w:proofErr w:type="spellStart"/>
            <w:r w:rsidR="00A275FE" w:rsidRPr="008C60D7">
              <w:rPr>
                <w:sz w:val="20"/>
              </w:rPr>
              <w:t>није</w:t>
            </w:r>
            <w:proofErr w:type="spellEnd"/>
            <w:r w:rsidR="00A275FE" w:rsidRPr="008C60D7">
              <w:rPr>
                <w:sz w:val="20"/>
              </w:rPr>
              <w:t xml:space="preserve"> </w:t>
            </w:r>
            <w:proofErr w:type="spellStart"/>
            <w:r w:rsidR="00A275FE" w:rsidRPr="008C60D7">
              <w:rPr>
                <w:sz w:val="20"/>
              </w:rPr>
              <w:t>могло</w:t>
            </w:r>
            <w:proofErr w:type="spellEnd"/>
            <w:r w:rsidR="00A275FE" w:rsidRPr="008C60D7">
              <w:rPr>
                <w:sz w:val="20"/>
              </w:rPr>
              <w:t xml:space="preserve"> </w:t>
            </w:r>
            <w:proofErr w:type="spellStart"/>
            <w:r w:rsidR="00A275FE" w:rsidRPr="008C60D7">
              <w:rPr>
                <w:sz w:val="20"/>
              </w:rPr>
              <w:t>избјећи</w:t>
            </w:r>
            <w:proofErr w:type="spellEnd"/>
            <w:r w:rsidR="00A275FE" w:rsidRPr="008C60D7">
              <w:rPr>
                <w:sz w:val="20"/>
              </w:rPr>
              <w:t xml:space="preserve"> </w:t>
            </w:r>
            <w:proofErr w:type="spellStart"/>
            <w:r w:rsidR="00A275FE" w:rsidRPr="008C60D7">
              <w:rPr>
                <w:sz w:val="20"/>
              </w:rPr>
              <w:t>додатно</w:t>
            </w:r>
            <w:proofErr w:type="spellEnd"/>
            <w:r w:rsidR="00A275FE" w:rsidRPr="008C60D7">
              <w:rPr>
                <w:sz w:val="20"/>
              </w:rPr>
              <w:t xml:space="preserve"> </w:t>
            </w:r>
            <w:proofErr w:type="spellStart"/>
            <w:r w:rsidR="00A275FE" w:rsidRPr="008C60D7">
              <w:rPr>
                <w:sz w:val="20"/>
              </w:rPr>
              <w:t>задуживање</w:t>
            </w:r>
            <w:proofErr w:type="spellEnd"/>
            <w:r w:rsidR="00A275FE" w:rsidRPr="008C60D7">
              <w:rPr>
                <w:sz w:val="20"/>
              </w:rPr>
              <w:t xml:space="preserve"> ЈЛС.</w:t>
            </w:r>
          </w:p>
        </w:tc>
      </w:tr>
      <w:tr w:rsidR="00661087" w14:paraId="5394C885" w14:textId="77777777" w:rsidTr="00146C5F">
        <w:trPr>
          <w:trHeight w:val="1262"/>
        </w:trPr>
        <w:tc>
          <w:tcPr>
            <w:tcW w:w="4397" w:type="dxa"/>
            <w:tcBorders>
              <w:top w:val="nil"/>
              <w:left w:val="single" w:sz="4" w:space="0" w:color="auto"/>
              <w:bottom w:val="single" w:sz="4" w:space="0" w:color="auto"/>
              <w:right w:val="single" w:sz="4" w:space="0" w:color="auto"/>
            </w:tcBorders>
            <w:shd w:val="clear" w:color="auto" w:fill="auto"/>
            <w:vAlign w:val="center"/>
            <w:hideMark/>
          </w:tcPr>
          <w:p w14:paraId="44A01F35" w14:textId="77777777" w:rsidR="002367EC" w:rsidRDefault="002367EC" w:rsidP="002367EC">
            <w:pPr>
              <w:rPr>
                <w:color w:val="000000"/>
                <w:sz w:val="20"/>
                <w:szCs w:val="22"/>
              </w:rPr>
            </w:pPr>
            <w:r>
              <w:rPr>
                <w:color w:val="000000"/>
                <w:sz w:val="20"/>
                <w:szCs w:val="22"/>
              </w:rPr>
              <w:t xml:space="preserve">        III</w:t>
            </w:r>
          </w:p>
          <w:p w14:paraId="4DD9FD75" w14:textId="77777777" w:rsidR="002367EC" w:rsidRDefault="00661087" w:rsidP="002367EC">
            <w:pPr>
              <w:rPr>
                <w:color w:val="000000"/>
                <w:sz w:val="20"/>
                <w:szCs w:val="22"/>
              </w:rPr>
            </w:pPr>
            <w:proofErr w:type="spellStart"/>
            <w:r w:rsidRPr="006E109A">
              <w:rPr>
                <w:color w:val="000000"/>
                <w:sz w:val="20"/>
                <w:szCs w:val="22"/>
              </w:rPr>
              <w:t>Да</w:t>
            </w:r>
            <w:proofErr w:type="spellEnd"/>
            <w:r w:rsidRPr="006E109A">
              <w:rPr>
                <w:color w:val="000000"/>
                <w:sz w:val="20"/>
                <w:szCs w:val="22"/>
              </w:rPr>
              <w:t xml:space="preserve"> </w:t>
            </w:r>
            <w:proofErr w:type="spellStart"/>
            <w:r w:rsidRPr="006E109A">
              <w:rPr>
                <w:color w:val="000000"/>
                <w:sz w:val="20"/>
                <w:szCs w:val="22"/>
              </w:rPr>
              <w:t>ли</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ваша</w:t>
            </w:r>
            <w:proofErr w:type="spellEnd"/>
            <w:r w:rsidRPr="006E109A">
              <w:rPr>
                <w:color w:val="000000"/>
                <w:sz w:val="20"/>
                <w:szCs w:val="22"/>
              </w:rPr>
              <w:t xml:space="preserve"> ЈЛС </w:t>
            </w:r>
            <w:proofErr w:type="spellStart"/>
            <w:r w:rsidRPr="006E109A">
              <w:rPr>
                <w:color w:val="000000"/>
                <w:sz w:val="20"/>
                <w:szCs w:val="22"/>
              </w:rPr>
              <w:t>добила</w:t>
            </w:r>
            <w:proofErr w:type="spellEnd"/>
            <w:r w:rsidRPr="006E109A">
              <w:rPr>
                <w:color w:val="000000"/>
                <w:sz w:val="20"/>
                <w:szCs w:val="22"/>
              </w:rPr>
              <w:t xml:space="preserve"> </w:t>
            </w:r>
            <w:proofErr w:type="spellStart"/>
            <w:r w:rsidRPr="006E109A">
              <w:rPr>
                <w:color w:val="000000"/>
                <w:sz w:val="20"/>
                <w:szCs w:val="22"/>
              </w:rPr>
              <w:t>средства</w:t>
            </w:r>
            <w:proofErr w:type="spellEnd"/>
            <w:r w:rsidRPr="006E109A">
              <w:rPr>
                <w:color w:val="000000"/>
                <w:sz w:val="20"/>
                <w:szCs w:val="22"/>
              </w:rPr>
              <w:t xml:space="preserve"> </w:t>
            </w:r>
            <w:proofErr w:type="spellStart"/>
            <w:r w:rsidRPr="006E109A">
              <w:rPr>
                <w:color w:val="000000"/>
                <w:sz w:val="20"/>
                <w:szCs w:val="22"/>
              </w:rPr>
              <w:t>тра</w:t>
            </w:r>
            <w:proofErr w:type="spellEnd"/>
            <w:r w:rsidR="002367EC">
              <w:rPr>
                <w:color w:val="000000"/>
                <w:sz w:val="20"/>
                <w:szCs w:val="22"/>
                <w:lang w:val="sr-Cyrl-RS"/>
              </w:rPr>
              <w:t>н</w:t>
            </w:r>
            <w:proofErr w:type="spellStart"/>
            <w:r w:rsidRPr="006E109A">
              <w:rPr>
                <w:color w:val="000000"/>
                <w:sz w:val="20"/>
                <w:szCs w:val="22"/>
              </w:rPr>
              <w:t>сфера</w:t>
            </w:r>
            <w:proofErr w:type="spellEnd"/>
            <w:r w:rsidRPr="006E109A">
              <w:rPr>
                <w:color w:val="000000"/>
                <w:sz w:val="20"/>
                <w:szCs w:val="22"/>
              </w:rPr>
              <w:t xml:space="preserve"> </w:t>
            </w:r>
            <w:proofErr w:type="spellStart"/>
            <w:r w:rsidRPr="006E109A">
              <w:rPr>
                <w:color w:val="000000"/>
                <w:sz w:val="20"/>
                <w:szCs w:val="22"/>
              </w:rPr>
              <w:t>Владе</w:t>
            </w:r>
            <w:proofErr w:type="spellEnd"/>
            <w:r w:rsidRPr="006E109A">
              <w:rPr>
                <w:color w:val="000000"/>
                <w:sz w:val="20"/>
                <w:szCs w:val="22"/>
              </w:rPr>
              <w:t xml:space="preserve"> РС (</w:t>
            </w:r>
            <w:proofErr w:type="spellStart"/>
            <w:r w:rsidRPr="006E109A">
              <w:rPr>
                <w:color w:val="000000"/>
                <w:sz w:val="20"/>
                <w:szCs w:val="22"/>
              </w:rPr>
              <w:t>из</w:t>
            </w:r>
            <w:proofErr w:type="spellEnd"/>
            <w:r w:rsidRPr="006E109A">
              <w:rPr>
                <w:color w:val="000000"/>
                <w:sz w:val="20"/>
                <w:szCs w:val="22"/>
              </w:rPr>
              <w:t xml:space="preserve"> </w:t>
            </w:r>
            <w:proofErr w:type="spellStart"/>
            <w:r w:rsidRPr="006E109A">
              <w:rPr>
                <w:color w:val="000000"/>
                <w:sz w:val="20"/>
                <w:szCs w:val="22"/>
              </w:rPr>
              <w:t>Фонда</w:t>
            </w:r>
            <w:proofErr w:type="spellEnd"/>
            <w:r w:rsidRPr="006E109A">
              <w:rPr>
                <w:color w:val="000000"/>
                <w:sz w:val="20"/>
                <w:szCs w:val="22"/>
              </w:rPr>
              <w:t xml:space="preserve"> </w:t>
            </w:r>
            <w:proofErr w:type="spellStart"/>
            <w:r w:rsidRPr="006E109A">
              <w:rPr>
                <w:color w:val="000000"/>
                <w:sz w:val="20"/>
                <w:szCs w:val="22"/>
              </w:rPr>
              <w:t>солидарности</w:t>
            </w:r>
            <w:proofErr w:type="spellEnd"/>
            <w:r w:rsidRPr="006E109A">
              <w:rPr>
                <w:color w:val="000000"/>
                <w:sz w:val="20"/>
                <w:szCs w:val="22"/>
              </w:rPr>
              <w:t xml:space="preserve"> </w:t>
            </w:r>
            <w:proofErr w:type="spellStart"/>
            <w:r w:rsidRPr="006E109A">
              <w:rPr>
                <w:color w:val="000000"/>
                <w:sz w:val="20"/>
                <w:szCs w:val="22"/>
              </w:rPr>
              <w:t>за</w:t>
            </w:r>
            <w:proofErr w:type="spellEnd"/>
            <w:r w:rsidRPr="006E109A">
              <w:rPr>
                <w:color w:val="000000"/>
                <w:sz w:val="20"/>
                <w:szCs w:val="22"/>
              </w:rPr>
              <w:t xml:space="preserve"> </w:t>
            </w:r>
            <w:proofErr w:type="spellStart"/>
            <w:r w:rsidRPr="006E109A">
              <w:rPr>
                <w:color w:val="000000"/>
                <w:sz w:val="20"/>
                <w:szCs w:val="22"/>
              </w:rPr>
              <w:t>обнову</w:t>
            </w:r>
            <w:proofErr w:type="spellEnd"/>
            <w:r w:rsidRPr="006E109A">
              <w:rPr>
                <w:color w:val="000000"/>
                <w:sz w:val="20"/>
                <w:szCs w:val="22"/>
              </w:rPr>
              <w:t xml:space="preserve"> ЈЛС), </w:t>
            </w:r>
            <w:proofErr w:type="spellStart"/>
            <w:r w:rsidRPr="006E109A">
              <w:rPr>
                <w:color w:val="000000"/>
                <w:sz w:val="20"/>
                <w:szCs w:val="22"/>
              </w:rPr>
              <w:t>као</w:t>
            </w:r>
            <w:proofErr w:type="spellEnd"/>
            <w:r w:rsidRPr="006E109A">
              <w:rPr>
                <w:color w:val="000000"/>
                <w:sz w:val="20"/>
                <w:szCs w:val="22"/>
              </w:rPr>
              <w:t xml:space="preserve"> </w:t>
            </w:r>
            <w:proofErr w:type="spellStart"/>
            <w:r w:rsidRPr="006E109A">
              <w:rPr>
                <w:color w:val="000000"/>
                <w:sz w:val="20"/>
                <w:szCs w:val="22"/>
              </w:rPr>
              <w:t>помоћ</w:t>
            </w:r>
            <w:proofErr w:type="spellEnd"/>
            <w:r w:rsidRPr="006E109A">
              <w:rPr>
                <w:color w:val="000000"/>
                <w:sz w:val="20"/>
                <w:szCs w:val="22"/>
              </w:rPr>
              <w:t xml:space="preserve"> у </w:t>
            </w:r>
            <w:proofErr w:type="spellStart"/>
            <w:r w:rsidRPr="006E109A">
              <w:rPr>
                <w:color w:val="000000"/>
                <w:sz w:val="20"/>
                <w:szCs w:val="22"/>
              </w:rPr>
              <w:t>превазилажењ</w:t>
            </w:r>
            <w:r w:rsidR="00302BF6">
              <w:rPr>
                <w:color w:val="000000"/>
                <w:sz w:val="20"/>
                <w:szCs w:val="22"/>
              </w:rPr>
              <w:t>у</w:t>
            </w:r>
            <w:proofErr w:type="spellEnd"/>
            <w:r w:rsidR="00302BF6">
              <w:rPr>
                <w:color w:val="000000"/>
                <w:sz w:val="20"/>
                <w:szCs w:val="22"/>
              </w:rPr>
              <w:t xml:space="preserve"> </w:t>
            </w:r>
            <w:proofErr w:type="spellStart"/>
            <w:r w:rsidR="00302BF6">
              <w:rPr>
                <w:color w:val="000000"/>
                <w:sz w:val="20"/>
                <w:szCs w:val="22"/>
              </w:rPr>
              <w:t>посљедица</w:t>
            </w:r>
            <w:proofErr w:type="spellEnd"/>
            <w:r w:rsidR="00302BF6">
              <w:rPr>
                <w:color w:val="000000"/>
                <w:sz w:val="20"/>
                <w:szCs w:val="22"/>
              </w:rPr>
              <w:t xml:space="preserve"> </w:t>
            </w:r>
          </w:p>
          <w:p w14:paraId="3EDD5D1A" w14:textId="77777777" w:rsidR="00302BF6" w:rsidRDefault="00302BF6" w:rsidP="002367EC">
            <w:pPr>
              <w:rPr>
                <w:color w:val="000000"/>
                <w:sz w:val="20"/>
                <w:szCs w:val="22"/>
              </w:rPr>
            </w:pPr>
            <w:r>
              <w:rPr>
                <w:color w:val="000000"/>
                <w:sz w:val="20"/>
                <w:szCs w:val="22"/>
              </w:rPr>
              <w:t xml:space="preserve">COVID-19, и у </w:t>
            </w:r>
            <w:proofErr w:type="spellStart"/>
            <w:r>
              <w:rPr>
                <w:color w:val="000000"/>
                <w:sz w:val="20"/>
                <w:szCs w:val="22"/>
              </w:rPr>
              <w:t>којем</w:t>
            </w:r>
            <w:proofErr w:type="spellEnd"/>
            <w:r>
              <w:rPr>
                <w:color w:val="000000"/>
                <w:sz w:val="20"/>
                <w:szCs w:val="22"/>
              </w:rPr>
              <w:t xml:space="preserve"> </w:t>
            </w:r>
            <w:proofErr w:type="spellStart"/>
            <w:r w:rsidR="00661087" w:rsidRPr="006E109A">
              <w:rPr>
                <w:color w:val="000000"/>
                <w:sz w:val="20"/>
                <w:szCs w:val="22"/>
              </w:rPr>
              <w:t>износу</w:t>
            </w:r>
            <w:proofErr w:type="spellEnd"/>
            <w:r w:rsidR="00661087" w:rsidRPr="006E109A">
              <w:rPr>
                <w:color w:val="000000"/>
                <w:sz w:val="20"/>
                <w:szCs w:val="22"/>
              </w:rPr>
              <w:t>?</w:t>
            </w:r>
          </w:p>
          <w:p w14:paraId="4D4981FD" w14:textId="77777777" w:rsidR="00302BF6" w:rsidRDefault="00302BF6" w:rsidP="002367EC">
            <w:pPr>
              <w:rPr>
                <w:color w:val="000000"/>
                <w:sz w:val="20"/>
                <w:szCs w:val="22"/>
              </w:rPr>
            </w:pPr>
          </w:p>
          <w:p w14:paraId="180CB50F" w14:textId="77777777" w:rsidR="00661087" w:rsidRPr="006E109A" w:rsidRDefault="002367EC" w:rsidP="002367EC">
            <w:pPr>
              <w:rPr>
                <w:color w:val="000000"/>
                <w:sz w:val="20"/>
                <w:szCs w:val="22"/>
              </w:rPr>
            </w:pPr>
            <w:proofErr w:type="spellStart"/>
            <w:r>
              <w:rPr>
                <w:color w:val="000000"/>
                <w:sz w:val="20"/>
                <w:szCs w:val="22"/>
              </w:rPr>
              <w:t>Да</w:t>
            </w:r>
            <w:proofErr w:type="spellEnd"/>
            <w:r>
              <w:rPr>
                <w:color w:val="000000"/>
                <w:sz w:val="20"/>
                <w:szCs w:val="22"/>
              </w:rPr>
              <w:t xml:space="preserve"> </w:t>
            </w:r>
            <w:proofErr w:type="spellStart"/>
            <w:r>
              <w:rPr>
                <w:color w:val="000000"/>
                <w:sz w:val="20"/>
                <w:szCs w:val="22"/>
              </w:rPr>
              <w:t>ли</w:t>
            </w:r>
            <w:proofErr w:type="spellEnd"/>
            <w:r>
              <w:rPr>
                <w:color w:val="000000"/>
                <w:sz w:val="20"/>
                <w:szCs w:val="22"/>
              </w:rPr>
              <w:t xml:space="preserve"> </w:t>
            </w:r>
            <w:proofErr w:type="spellStart"/>
            <w:r>
              <w:rPr>
                <w:color w:val="000000"/>
                <w:sz w:val="20"/>
                <w:szCs w:val="22"/>
              </w:rPr>
              <w:t>је</w:t>
            </w:r>
            <w:proofErr w:type="spellEnd"/>
            <w:r w:rsidR="00661087" w:rsidRPr="006E109A">
              <w:rPr>
                <w:color w:val="000000"/>
                <w:sz w:val="20"/>
                <w:szCs w:val="22"/>
              </w:rPr>
              <w:t xml:space="preserve"> ЈЛС </w:t>
            </w:r>
            <w:proofErr w:type="spellStart"/>
            <w:r w:rsidR="00661087" w:rsidRPr="006E109A">
              <w:rPr>
                <w:color w:val="000000"/>
                <w:sz w:val="20"/>
                <w:szCs w:val="22"/>
              </w:rPr>
              <w:t>добила</w:t>
            </w:r>
            <w:proofErr w:type="spellEnd"/>
            <w:r w:rsidR="00661087" w:rsidRPr="006E109A">
              <w:rPr>
                <w:color w:val="000000"/>
                <w:sz w:val="20"/>
                <w:szCs w:val="22"/>
              </w:rPr>
              <w:t xml:space="preserve"> </w:t>
            </w:r>
            <w:proofErr w:type="spellStart"/>
            <w:r w:rsidR="00661087" w:rsidRPr="006E109A">
              <w:rPr>
                <w:color w:val="000000"/>
                <w:sz w:val="20"/>
                <w:szCs w:val="22"/>
              </w:rPr>
              <w:t>другу</w:t>
            </w:r>
            <w:proofErr w:type="spellEnd"/>
            <w:r w:rsidR="00661087" w:rsidRPr="006E109A">
              <w:rPr>
                <w:color w:val="000000"/>
                <w:sz w:val="20"/>
                <w:szCs w:val="22"/>
              </w:rPr>
              <w:t xml:space="preserve"> </w:t>
            </w:r>
            <w:proofErr w:type="spellStart"/>
            <w:r w:rsidR="00661087" w:rsidRPr="006E109A">
              <w:rPr>
                <w:color w:val="000000"/>
                <w:sz w:val="20"/>
                <w:szCs w:val="22"/>
              </w:rPr>
              <w:t>врсту</w:t>
            </w:r>
            <w:proofErr w:type="spellEnd"/>
            <w:r w:rsidR="00661087" w:rsidRPr="006E109A">
              <w:rPr>
                <w:color w:val="000000"/>
                <w:sz w:val="20"/>
                <w:szCs w:val="22"/>
              </w:rPr>
              <w:t xml:space="preserve"> </w:t>
            </w:r>
            <w:proofErr w:type="spellStart"/>
            <w:r w:rsidR="00661087" w:rsidRPr="006E109A">
              <w:rPr>
                <w:color w:val="000000"/>
                <w:sz w:val="20"/>
                <w:szCs w:val="22"/>
              </w:rPr>
              <w:t>помоћи</w:t>
            </w:r>
            <w:proofErr w:type="spellEnd"/>
            <w:r w:rsidR="00661087" w:rsidRPr="006E109A">
              <w:rPr>
                <w:color w:val="000000"/>
                <w:sz w:val="20"/>
                <w:szCs w:val="22"/>
              </w:rPr>
              <w:t xml:space="preserve"> </w:t>
            </w:r>
            <w:proofErr w:type="spellStart"/>
            <w:r w:rsidR="00661087" w:rsidRPr="006E109A">
              <w:rPr>
                <w:color w:val="000000"/>
                <w:sz w:val="20"/>
                <w:szCs w:val="22"/>
              </w:rPr>
              <w:t>или</w:t>
            </w:r>
            <w:proofErr w:type="spellEnd"/>
            <w:r w:rsidR="00661087" w:rsidRPr="006E109A">
              <w:rPr>
                <w:color w:val="000000"/>
                <w:sz w:val="20"/>
                <w:szCs w:val="22"/>
              </w:rPr>
              <w:t xml:space="preserve"> </w:t>
            </w:r>
            <w:proofErr w:type="spellStart"/>
            <w:r w:rsidR="00661087" w:rsidRPr="006E109A">
              <w:rPr>
                <w:color w:val="000000"/>
                <w:sz w:val="20"/>
                <w:szCs w:val="22"/>
              </w:rPr>
              <w:t>гранта</w:t>
            </w:r>
            <w:proofErr w:type="spellEnd"/>
            <w:r w:rsidR="00661087" w:rsidRPr="006E109A">
              <w:rPr>
                <w:color w:val="000000"/>
                <w:sz w:val="20"/>
                <w:szCs w:val="22"/>
              </w:rPr>
              <w:t xml:space="preserve"> </w:t>
            </w:r>
            <w:proofErr w:type="spellStart"/>
            <w:r w:rsidR="00661087" w:rsidRPr="006E109A">
              <w:rPr>
                <w:color w:val="000000"/>
                <w:sz w:val="20"/>
                <w:szCs w:val="22"/>
              </w:rPr>
              <w:t>због</w:t>
            </w:r>
            <w:proofErr w:type="spellEnd"/>
            <w:r w:rsidR="00661087" w:rsidRPr="006E109A">
              <w:rPr>
                <w:color w:val="000000"/>
                <w:sz w:val="20"/>
                <w:szCs w:val="22"/>
              </w:rPr>
              <w:t xml:space="preserve"> </w:t>
            </w:r>
            <w:proofErr w:type="spellStart"/>
            <w:r w:rsidR="00661087" w:rsidRPr="006E109A">
              <w:rPr>
                <w:color w:val="000000"/>
                <w:sz w:val="20"/>
                <w:szCs w:val="22"/>
              </w:rPr>
              <w:t>пандемије</w:t>
            </w:r>
            <w:proofErr w:type="spellEnd"/>
            <w:r w:rsidR="00661087" w:rsidRPr="006E109A">
              <w:rPr>
                <w:color w:val="000000"/>
                <w:sz w:val="20"/>
                <w:szCs w:val="22"/>
              </w:rPr>
              <w:t xml:space="preserve"> COVID-19 и у </w:t>
            </w:r>
            <w:proofErr w:type="spellStart"/>
            <w:r w:rsidR="00661087" w:rsidRPr="006E109A">
              <w:rPr>
                <w:color w:val="000000"/>
                <w:sz w:val="20"/>
                <w:szCs w:val="22"/>
              </w:rPr>
              <w:t>којем</w:t>
            </w:r>
            <w:proofErr w:type="spellEnd"/>
            <w:r w:rsidR="00661087" w:rsidRPr="006E109A">
              <w:rPr>
                <w:color w:val="000000"/>
                <w:sz w:val="20"/>
                <w:szCs w:val="22"/>
              </w:rPr>
              <w:t xml:space="preserve"> </w:t>
            </w:r>
            <w:proofErr w:type="spellStart"/>
            <w:r w:rsidR="00661087" w:rsidRPr="006E109A">
              <w:rPr>
                <w:color w:val="000000"/>
                <w:sz w:val="20"/>
                <w:szCs w:val="22"/>
              </w:rPr>
              <w:t>износу</w:t>
            </w:r>
            <w:proofErr w:type="spellEnd"/>
            <w:r w:rsidR="00661087" w:rsidRPr="006E109A">
              <w:rPr>
                <w:color w:val="000000"/>
                <w:sz w:val="20"/>
                <w:szCs w:val="22"/>
              </w:rPr>
              <w:t>?</w:t>
            </w:r>
          </w:p>
        </w:tc>
        <w:tc>
          <w:tcPr>
            <w:tcW w:w="5525" w:type="dxa"/>
            <w:tcBorders>
              <w:top w:val="nil"/>
              <w:left w:val="nil"/>
              <w:bottom w:val="single" w:sz="4" w:space="0" w:color="auto"/>
              <w:right w:val="single" w:sz="4" w:space="0" w:color="auto"/>
            </w:tcBorders>
            <w:shd w:val="clear" w:color="auto" w:fill="FFFFFF" w:themeFill="background1"/>
            <w:vAlign w:val="center"/>
            <w:hideMark/>
          </w:tcPr>
          <w:p w14:paraId="3A8AB460" w14:textId="77777777" w:rsidR="002367EC" w:rsidRDefault="002367EC" w:rsidP="002367EC">
            <w:pPr>
              <w:rPr>
                <w:sz w:val="20"/>
              </w:rPr>
            </w:pPr>
            <w:r>
              <w:rPr>
                <w:sz w:val="20"/>
                <w:lang w:val="sr-Cyrl-RS"/>
              </w:rPr>
              <w:t xml:space="preserve">1. </w:t>
            </w:r>
            <w:proofErr w:type="spellStart"/>
            <w:r w:rsidR="00A275FE" w:rsidRPr="000943BC">
              <w:rPr>
                <w:sz w:val="20"/>
              </w:rPr>
              <w:t>Све</w:t>
            </w:r>
            <w:proofErr w:type="spellEnd"/>
            <w:r w:rsidR="00A275FE" w:rsidRPr="000943BC">
              <w:rPr>
                <w:sz w:val="20"/>
              </w:rPr>
              <w:t xml:space="preserve"> </w:t>
            </w:r>
            <w:r>
              <w:rPr>
                <w:sz w:val="20"/>
                <w:lang w:val="sr-Cyrl-RS"/>
              </w:rPr>
              <w:t>ЈЛС</w:t>
            </w:r>
            <w:r w:rsidR="00A275FE">
              <w:rPr>
                <w:sz w:val="20"/>
              </w:rPr>
              <w:t xml:space="preserve">  </w:t>
            </w:r>
            <w:proofErr w:type="spellStart"/>
            <w:r w:rsidR="00A275FE">
              <w:rPr>
                <w:sz w:val="20"/>
              </w:rPr>
              <w:t>добијали</w:t>
            </w:r>
            <w:proofErr w:type="spellEnd"/>
            <w:r w:rsidR="00A275FE">
              <w:rPr>
                <w:sz w:val="20"/>
              </w:rPr>
              <w:t xml:space="preserve"> </w:t>
            </w:r>
            <w:proofErr w:type="spellStart"/>
            <w:r w:rsidR="00A275FE">
              <w:rPr>
                <w:sz w:val="20"/>
              </w:rPr>
              <w:t>су</w:t>
            </w:r>
            <w:proofErr w:type="spellEnd"/>
            <w:r w:rsidR="00A275FE">
              <w:rPr>
                <w:sz w:val="20"/>
              </w:rPr>
              <w:t xml:space="preserve"> </w:t>
            </w:r>
            <w:proofErr w:type="spellStart"/>
            <w:r w:rsidR="00A275FE">
              <w:rPr>
                <w:sz w:val="20"/>
              </w:rPr>
              <w:t>помоћ</w:t>
            </w:r>
            <w:proofErr w:type="spellEnd"/>
            <w:r w:rsidR="00A275FE">
              <w:rPr>
                <w:sz w:val="20"/>
              </w:rPr>
              <w:t>/</w:t>
            </w:r>
            <w:proofErr w:type="spellStart"/>
            <w:r w:rsidR="00A275FE" w:rsidRPr="000943BC">
              <w:rPr>
                <w:sz w:val="20"/>
              </w:rPr>
              <w:t>средства</w:t>
            </w:r>
            <w:proofErr w:type="spellEnd"/>
            <w:r w:rsidR="00A275FE" w:rsidRPr="000943BC">
              <w:rPr>
                <w:sz w:val="20"/>
              </w:rPr>
              <w:t xml:space="preserve"> </w:t>
            </w:r>
            <w:proofErr w:type="spellStart"/>
            <w:r w:rsidR="00A275FE" w:rsidRPr="000943BC">
              <w:rPr>
                <w:sz w:val="20"/>
              </w:rPr>
              <w:t>Фонда</w:t>
            </w:r>
            <w:proofErr w:type="spellEnd"/>
            <w:r w:rsidR="00A275FE" w:rsidRPr="000943BC">
              <w:rPr>
                <w:sz w:val="20"/>
              </w:rPr>
              <w:t xml:space="preserve"> </w:t>
            </w:r>
            <w:proofErr w:type="spellStart"/>
            <w:r w:rsidR="00A275FE" w:rsidRPr="000943BC">
              <w:rPr>
                <w:sz w:val="20"/>
              </w:rPr>
              <w:t>солидарности</w:t>
            </w:r>
            <w:proofErr w:type="spellEnd"/>
            <w:r w:rsidR="00A275FE" w:rsidRPr="000943BC">
              <w:rPr>
                <w:sz w:val="20"/>
              </w:rPr>
              <w:t xml:space="preserve"> </w:t>
            </w:r>
            <w:proofErr w:type="spellStart"/>
            <w:r w:rsidR="00A275FE" w:rsidRPr="000943BC">
              <w:rPr>
                <w:sz w:val="20"/>
              </w:rPr>
              <w:t>за</w:t>
            </w:r>
            <w:proofErr w:type="spellEnd"/>
            <w:r w:rsidR="00A275FE" w:rsidRPr="000943BC">
              <w:rPr>
                <w:sz w:val="20"/>
              </w:rPr>
              <w:t xml:space="preserve"> </w:t>
            </w:r>
            <w:proofErr w:type="spellStart"/>
            <w:r w:rsidR="00A275FE" w:rsidRPr="000943BC">
              <w:rPr>
                <w:sz w:val="20"/>
              </w:rPr>
              <w:t>санацију</w:t>
            </w:r>
            <w:proofErr w:type="spellEnd"/>
            <w:r w:rsidR="00A275FE" w:rsidRPr="000943BC">
              <w:rPr>
                <w:sz w:val="20"/>
              </w:rPr>
              <w:t xml:space="preserve"> </w:t>
            </w:r>
            <w:proofErr w:type="spellStart"/>
            <w:r w:rsidR="00A275FE" w:rsidRPr="000943BC">
              <w:rPr>
                <w:sz w:val="20"/>
              </w:rPr>
              <w:t>посљедица</w:t>
            </w:r>
            <w:proofErr w:type="spellEnd"/>
            <w:r w:rsidR="00A275FE" w:rsidRPr="000943BC">
              <w:rPr>
                <w:sz w:val="20"/>
              </w:rPr>
              <w:t xml:space="preserve"> и </w:t>
            </w:r>
            <w:proofErr w:type="spellStart"/>
            <w:r w:rsidR="00A275FE" w:rsidRPr="000943BC">
              <w:rPr>
                <w:sz w:val="20"/>
              </w:rPr>
              <w:t>потешкоћа</w:t>
            </w:r>
            <w:proofErr w:type="spellEnd"/>
            <w:r w:rsidR="00A275FE" w:rsidRPr="000943BC">
              <w:rPr>
                <w:sz w:val="20"/>
              </w:rPr>
              <w:t xml:space="preserve"> </w:t>
            </w:r>
            <w:proofErr w:type="spellStart"/>
            <w:r w:rsidR="00A275FE" w:rsidRPr="000943BC">
              <w:rPr>
                <w:sz w:val="20"/>
              </w:rPr>
              <w:t>насталих</w:t>
            </w:r>
            <w:proofErr w:type="spellEnd"/>
            <w:r w:rsidR="00A275FE" w:rsidRPr="000943BC">
              <w:rPr>
                <w:sz w:val="20"/>
              </w:rPr>
              <w:t xml:space="preserve"> </w:t>
            </w:r>
            <w:proofErr w:type="spellStart"/>
            <w:r w:rsidR="00A275FE" w:rsidRPr="000943BC">
              <w:rPr>
                <w:sz w:val="20"/>
              </w:rPr>
              <w:t>услијед</w:t>
            </w:r>
            <w:proofErr w:type="spellEnd"/>
            <w:r w:rsidR="00A275FE" w:rsidRPr="000943BC">
              <w:rPr>
                <w:sz w:val="20"/>
              </w:rPr>
              <w:t xml:space="preserve"> </w:t>
            </w:r>
            <w:proofErr w:type="spellStart"/>
            <w:r w:rsidR="00A275FE" w:rsidRPr="000943BC">
              <w:rPr>
                <w:sz w:val="20"/>
              </w:rPr>
              <w:t>ширења</w:t>
            </w:r>
            <w:proofErr w:type="spellEnd"/>
            <w:r w:rsidR="00A275FE" w:rsidRPr="000943BC">
              <w:rPr>
                <w:sz w:val="20"/>
              </w:rPr>
              <w:t xml:space="preserve"> </w:t>
            </w:r>
            <w:proofErr w:type="spellStart"/>
            <w:r w:rsidR="00A275FE" w:rsidRPr="000943BC">
              <w:rPr>
                <w:sz w:val="20"/>
              </w:rPr>
              <w:t>заразне</w:t>
            </w:r>
            <w:proofErr w:type="spellEnd"/>
            <w:r w:rsidR="00A275FE" w:rsidRPr="000943BC">
              <w:rPr>
                <w:sz w:val="20"/>
              </w:rPr>
              <w:t xml:space="preserve"> </w:t>
            </w:r>
            <w:proofErr w:type="spellStart"/>
            <w:r w:rsidR="00A275FE" w:rsidRPr="000943BC">
              <w:rPr>
                <w:sz w:val="20"/>
              </w:rPr>
              <w:t>болести</w:t>
            </w:r>
            <w:proofErr w:type="spellEnd"/>
            <w:r w:rsidR="00A275FE" w:rsidRPr="000943BC">
              <w:rPr>
                <w:sz w:val="20"/>
              </w:rPr>
              <w:t xml:space="preserve"> </w:t>
            </w:r>
            <w:proofErr w:type="spellStart"/>
            <w:r w:rsidR="00A275FE" w:rsidRPr="000943BC">
              <w:rPr>
                <w:sz w:val="20"/>
              </w:rPr>
              <w:t>изазване</w:t>
            </w:r>
            <w:proofErr w:type="spellEnd"/>
            <w:r w:rsidR="00A275FE" w:rsidRPr="000943BC">
              <w:rPr>
                <w:sz w:val="20"/>
              </w:rPr>
              <w:t xml:space="preserve"> </w:t>
            </w:r>
            <w:proofErr w:type="spellStart"/>
            <w:r w:rsidR="00A275FE" w:rsidRPr="000943BC">
              <w:rPr>
                <w:sz w:val="20"/>
              </w:rPr>
              <w:t>вирусом</w:t>
            </w:r>
            <w:proofErr w:type="spellEnd"/>
            <w:r w:rsidR="00A275FE" w:rsidRPr="000943BC">
              <w:rPr>
                <w:sz w:val="20"/>
              </w:rPr>
              <w:t xml:space="preserve"> COVID-19. </w:t>
            </w:r>
          </w:p>
          <w:p w14:paraId="76369BFE" w14:textId="77777777" w:rsidR="00A275FE" w:rsidRPr="000943BC" w:rsidRDefault="002367EC" w:rsidP="002367EC">
            <w:pPr>
              <w:rPr>
                <w:sz w:val="20"/>
              </w:rPr>
            </w:pPr>
            <w:r>
              <w:rPr>
                <w:sz w:val="20"/>
                <w:lang w:val="sr-Cyrl-RS"/>
              </w:rPr>
              <w:t xml:space="preserve">2. </w:t>
            </w:r>
            <w:proofErr w:type="spellStart"/>
            <w:r w:rsidR="00A275FE" w:rsidRPr="000943BC">
              <w:rPr>
                <w:sz w:val="20"/>
              </w:rPr>
              <w:t>Помоћ</w:t>
            </w:r>
            <w:proofErr w:type="spellEnd"/>
            <w:r w:rsidR="00A275FE" w:rsidRPr="000943BC">
              <w:rPr>
                <w:sz w:val="20"/>
              </w:rPr>
              <w:t xml:space="preserve"> </w:t>
            </w:r>
            <w:proofErr w:type="spellStart"/>
            <w:r w:rsidR="00A275FE" w:rsidRPr="000943BC">
              <w:rPr>
                <w:sz w:val="20"/>
              </w:rPr>
              <w:t>се</w:t>
            </w:r>
            <w:proofErr w:type="spellEnd"/>
            <w:r w:rsidR="00A275FE" w:rsidRPr="000943BC">
              <w:rPr>
                <w:sz w:val="20"/>
              </w:rPr>
              <w:t xml:space="preserve"> </w:t>
            </w:r>
            <w:proofErr w:type="spellStart"/>
            <w:r w:rsidR="00A275FE" w:rsidRPr="000943BC">
              <w:rPr>
                <w:sz w:val="20"/>
              </w:rPr>
              <w:t>кретала</w:t>
            </w:r>
            <w:proofErr w:type="spellEnd"/>
            <w:r w:rsidR="00A275FE" w:rsidRPr="000943BC">
              <w:rPr>
                <w:sz w:val="20"/>
              </w:rPr>
              <w:t xml:space="preserve"> у </w:t>
            </w:r>
            <w:proofErr w:type="spellStart"/>
            <w:r w:rsidR="00A275FE" w:rsidRPr="000943BC">
              <w:rPr>
                <w:sz w:val="20"/>
              </w:rPr>
              <w:t>распону</w:t>
            </w:r>
            <w:proofErr w:type="spellEnd"/>
            <w:r w:rsidR="00A275FE" w:rsidRPr="000943BC">
              <w:rPr>
                <w:sz w:val="20"/>
              </w:rPr>
              <w:t xml:space="preserve"> </w:t>
            </w:r>
            <w:proofErr w:type="spellStart"/>
            <w:r w:rsidR="00A275FE" w:rsidRPr="000943BC">
              <w:rPr>
                <w:sz w:val="20"/>
              </w:rPr>
              <w:t>од</w:t>
            </w:r>
            <w:proofErr w:type="spellEnd"/>
            <w:r w:rsidR="00A275FE" w:rsidRPr="000943BC">
              <w:rPr>
                <w:sz w:val="20"/>
              </w:rPr>
              <w:t xml:space="preserve"> 0,34 </w:t>
            </w:r>
            <w:proofErr w:type="spellStart"/>
            <w:r w:rsidR="00A275FE" w:rsidRPr="000943BC">
              <w:rPr>
                <w:sz w:val="20"/>
              </w:rPr>
              <w:t>милиона</w:t>
            </w:r>
            <w:proofErr w:type="spellEnd"/>
            <w:r w:rsidR="00A275FE" w:rsidRPr="000943BC">
              <w:rPr>
                <w:sz w:val="20"/>
              </w:rPr>
              <w:t xml:space="preserve"> КМ (</w:t>
            </w:r>
            <w:proofErr w:type="spellStart"/>
            <w:r w:rsidR="00A275FE" w:rsidRPr="000943BC">
              <w:rPr>
                <w:sz w:val="20"/>
              </w:rPr>
              <w:t>Вишеград</w:t>
            </w:r>
            <w:proofErr w:type="spellEnd"/>
            <w:r w:rsidR="00A275FE" w:rsidRPr="000943BC">
              <w:rPr>
                <w:sz w:val="20"/>
              </w:rPr>
              <w:t xml:space="preserve">) </w:t>
            </w:r>
            <w:proofErr w:type="spellStart"/>
            <w:r w:rsidR="00A275FE" w:rsidRPr="000943BC">
              <w:rPr>
                <w:sz w:val="20"/>
              </w:rPr>
              <w:t>до</w:t>
            </w:r>
            <w:proofErr w:type="spellEnd"/>
            <w:r w:rsidR="00A275FE" w:rsidRPr="000943BC">
              <w:rPr>
                <w:sz w:val="20"/>
              </w:rPr>
              <w:t xml:space="preserve"> 4,05 </w:t>
            </w:r>
            <w:proofErr w:type="spellStart"/>
            <w:r w:rsidR="00A275FE" w:rsidRPr="000943BC">
              <w:rPr>
                <w:sz w:val="20"/>
              </w:rPr>
              <w:t>милиона</w:t>
            </w:r>
            <w:proofErr w:type="spellEnd"/>
            <w:r w:rsidR="00A275FE" w:rsidRPr="000943BC">
              <w:rPr>
                <w:sz w:val="20"/>
              </w:rPr>
              <w:t xml:space="preserve"> КМ (</w:t>
            </w:r>
            <w:proofErr w:type="spellStart"/>
            <w:r w:rsidR="00A275FE" w:rsidRPr="000943BC">
              <w:rPr>
                <w:sz w:val="20"/>
              </w:rPr>
              <w:t>Бања</w:t>
            </w:r>
            <w:proofErr w:type="spellEnd"/>
            <w:r w:rsidR="00A275FE" w:rsidRPr="000943BC">
              <w:rPr>
                <w:sz w:val="20"/>
              </w:rPr>
              <w:t xml:space="preserve"> </w:t>
            </w:r>
            <w:proofErr w:type="spellStart"/>
            <w:r w:rsidR="00A275FE" w:rsidRPr="000943BC">
              <w:rPr>
                <w:sz w:val="20"/>
              </w:rPr>
              <w:t>Лука</w:t>
            </w:r>
            <w:proofErr w:type="spellEnd"/>
            <w:r w:rsidR="00A275FE" w:rsidRPr="000943BC">
              <w:rPr>
                <w:sz w:val="20"/>
              </w:rPr>
              <w:t xml:space="preserve">). </w:t>
            </w:r>
          </w:p>
          <w:p w14:paraId="280B464D" w14:textId="77777777" w:rsidR="00076507" w:rsidRPr="00A275FE" w:rsidRDefault="002367EC" w:rsidP="002367EC">
            <w:pPr>
              <w:rPr>
                <w:sz w:val="20"/>
              </w:rPr>
            </w:pPr>
            <w:r>
              <w:rPr>
                <w:sz w:val="20"/>
                <w:lang w:val="sr-Cyrl-RS"/>
              </w:rPr>
              <w:t xml:space="preserve">3. </w:t>
            </w:r>
            <w:proofErr w:type="spellStart"/>
            <w:r w:rsidR="00A275FE" w:rsidRPr="000943BC">
              <w:rPr>
                <w:sz w:val="20"/>
              </w:rPr>
              <w:t>Већина</w:t>
            </w:r>
            <w:proofErr w:type="spellEnd"/>
            <w:r w:rsidR="00A275FE" w:rsidRPr="000943BC">
              <w:rPr>
                <w:sz w:val="20"/>
              </w:rPr>
              <w:t xml:space="preserve"> </w:t>
            </w:r>
            <w:proofErr w:type="spellStart"/>
            <w:r w:rsidR="00A275FE" w:rsidRPr="000943BC">
              <w:rPr>
                <w:sz w:val="20"/>
              </w:rPr>
              <w:t>анкетираних</w:t>
            </w:r>
            <w:proofErr w:type="spellEnd"/>
            <w:r w:rsidR="00A275FE" w:rsidRPr="000943BC">
              <w:rPr>
                <w:sz w:val="20"/>
              </w:rPr>
              <w:t xml:space="preserve"> ЈЛС </w:t>
            </w:r>
            <w:proofErr w:type="spellStart"/>
            <w:r w:rsidR="00A275FE" w:rsidRPr="000943BC">
              <w:rPr>
                <w:sz w:val="20"/>
              </w:rPr>
              <w:t>добила</w:t>
            </w:r>
            <w:proofErr w:type="spellEnd"/>
            <w:r w:rsidR="00A275FE" w:rsidRPr="000943BC">
              <w:rPr>
                <w:sz w:val="20"/>
              </w:rPr>
              <w:t xml:space="preserve"> </w:t>
            </w:r>
            <w:proofErr w:type="spellStart"/>
            <w:r w:rsidR="00A275FE" w:rsidRPr="000943BC">
              <w:rPr>
                <w:sz w:val="20"/>
              </w:rPr>
              <w:t>је</w:t>
            </w:r>
            <w:proofErr w:type="spellEnd"/>
            <w:r w:rsidR="00A275FE" w:rsidRPr="000943BC">
              <w:rPr>
                <w:sz w:val="20"/>
              </w:rPr>
              <w:t xml:space="preserve"> </w:t>
            </w:r>
            <w:proofErr w:type="spellStart"/>
            <w:r w:rsidR="00A275FE" w:rsidRPr="000943BC">
              <w:rPr>
                <w:sz w:val="20"/>
              </w:rPr>
              <w:t>помоћ</w:t>
            </w:r>
            <w:proofErr w:type="spellEnd"/>
            <w:r w:rsidR="00A275FE" w:rsidRPr="000943BC">
              <w:rPr>
                <w:sz w:val="20"/>
              </w:rPr>
              <w:t xml:space="preserve"> у </w:t>
            </w:r>
            <w:proofErr w:type="spellStart"/>
            <w:r w:rsidR="00A275FE" w:rsidRPr="000943BC">
              <w:rPr>
                <w:sz w:val="20"/>
              </w:rPr>
              <w:t>виду</w:t>
            </w:r>
            <w:proofErr w:type="spellEnd"/>
            <w:r w:rsidR="00A275FE" w:rsidRPr="000943BC">
              <w:rPr>
                <w:sz w:val="20"/>
              </w:rPr>
              <w:t xml:space="preserve"> </w:t>
            </w:r>
            <w:proofErr w:type="spellStart"/>
            <w:r w:rsidR="00A275FE" w:rsidRPr="000943BC">
              <w:rPr>
                <w:sz w:val="20"/>
              </w:rPr>
              <w:t>личне</w:t>
            </w:r>
            <w:proofErr w:type="spellEnd"/>
            <w:r w:rsidR="00A275FE" w:rsidRPr="000943BC">
              <w:rPr>
                <w:sz w:val="20"/>
              </w:rPr>
              <w:t xml:space="preserve"> </w:t>
            </w:r>
            <w:proofErr w:type="spellStart"/>
            <w:r w:rsidR="00A275FE" w:rsidRPr="000943BC">
              <w:rPr>
                <w:sz w:val="20"/>
              </w:rPr>
              <w:t>једнократне</w:t>
            </w:r>
            <w:proofErr w:type="spellEnd"/>
            <w:r w:rsidR="00A275FE" w:rsidRPr="000943BC">
              <w:rPr>
                <w:sz w:val="20"/>
              </w:rPr>
              <w:t xml:space="preserve"> </w:t>
            </w:r>
            <w:proofErr w:type="spellStart"/>
            <w:r w:rsidR="00A275FE" w:rsidRPr="000943BC">
              <w:rPr>
                <w:sz w:val="20"/>
              </w:rPr>
              <w:t>помоћи</w:t>
            </w:r>
            <w:proofErr w:type="spellEnd"/>
            <w:r w:rsidR="00A275FE" w:rsidRPr="000943BC">
              <w:rPr>
                <w:sz w:val="20"/>
              </w:rPr>
              <w:t xml:space="preserve"> </w:t>
            </w:r>
            <w:proofErr w:type="spellStart"/>
            <w:r w:rsidR="00A275FE" w:rsidRPr="000943BC">
              <w:rPr>
                <w:sz w:val="20"/>
              </w:rPr>
              <w:t>за</w:t>
            </w:r>
            <w:proofErr w:type="spellEnd"/>
            <w:r w:rsidR="00A275FE" w:rsidRPr="000943BC">
              <w:rPr>
                <w:sz w:val="20"/>
              </w:rPr>
              <w:t xml:space="preserve"> </w:t>
            </w:r>
            <w:proofErr w:type="spellStart"/>
            <w:r w:rsidR="00A275FE" w:rsidRPr="000943BC">
              <w:rPr>
                <w:sz w:val="20"/>
              </w:rPr>
              <w:t>комуналне</w:t>
            </w:r>
            <w:proofErr w:type="spellEnd"/>
            <w:r w:rsidR="00A275FE" w:rsidRPr="000943BC">
              <w:rPr>
                <w:sz w:val="20"/>
              </w:rPr>
              <w:t xml:space="preserve"> </w:t>
            </w:r>
            <w:proofErr w:type="spellStart"/>
            <w:r w:rsidR="00A275FE" w:rsidRPr="000943BC">
              <w:rPr>
                <w:sz w:val="20"/>
              </w:rPr>
              <w:t>полицајце</w:t>
            </w:r>
            <w:proofErr w:type="spellEnd"/>
            <w:r w:rsidR="00A275FE" w:rsidRPr="000943BC">
              <w:rPr>
                <w:sz w:val="20"/>
              </w:rPr>
              <w:t xml:space="preserve">, </w:t>
            </w:r>
            <w:proofErr w:type="spellStart"/>
            <w:r w:rsidR="00A275FE" w:rsidRPr="000943BC">
              <w:rPr>
                <w:sz w:val="20"/>
              </w:rPr>
              <w:t>због</w:t>
            </w:r>
            <w:proofErr w:type="spellEnd"/>
            <w:r w:rsidR="00A275FE" w:rsidRPr="000943BC">
              <w:rPr>
                <w:sz w:val="20"/>
              </w:rPr>
              <w:t xml:space="preserve"> </w:t>
            </w:r>
            <w:proofErr w:type="spellStart"/>
            <w:r w:rsidR="00A275FE" w:rsidRPr="000943BC">
              <w:rPr>
                <w:sz w:val="20"/>
              </w:rPr>
              <w:t>њихових</w:t>
            </w:r>
            <w:proofErr w:type="spellEnd"/>
            <w:r w:rsidR="00A275FE" w:rsidRPr="000943BC">
              <w:rPr>
                <w:sz w:val="20"/>
              </w:rPr>
              <w:t xml:space="preserve"> </w:t>
            </w:r>
            <w:r>
              <w:rPr>
                <w:sz w:val="20"/>
                <w:lang w:val="sr-Cyrl-RS"/>
              </w:rPr>
              <w:t xml:space="preserve">додатних </w:t>
            </w:r>
            <w:proofErr w:type="spellStart"/>
            <w:r w:rsidR="00A275FE" w:rsidRPr="000943BC">
              <w:rPr>
                <w:sz w:val="20"/>
              </w:rPr>
              <w:t>активности</w:t>
            </w:r>
            <w:proofErr w:type="spellEnd"/>
            <w:r w:rsidR="00A275FE" w:rsidRPr="000943BC">
              <w:rPr>
                <w:sz w:val="20"/>
              </w:rPr>
              <w:t xml:space="preserve"> у </w:t>
            </w:r>
            <w:proofErr w:type="spellStart"/>
            <w:r w:rsidR="00A275FE" w:rsidRPr="000943BC">
              <w:rPr>
                <w:sz w:val="20"/>
              </w:rPr>
              <w:t>вријеме</w:t>
            </w:r>
            <w:proofErr w:type="spellEnd"/>
            <w:r w:rsidR="00A275FE" w:rsidRPr="000943BC">
              <w:rPr>
                <w:sz w:val="20"/>
              </w:rPr>
              <w:t xml:space="preserve"> </w:t>
            </w:r>
            <w:proofErr w:type="spellStart"/>
            <w:r w:rsidR="00A275FE" w:rsidRPr="000943BC">
              <w:rPr>
                <w:sz w:val="20"/>
              </w:rPr>
              <w:t>пандемије</w:t>
            </w:r>
            <w:proofErr w:type="spellEnd"/>
            <w:r w:rsidR="00A275FE" w:rsidRPr="000943BC">
              <w:rPr>
                <w:sz w:val="20"/>
              </w:rPr>
              <w:t>.</w:t>
            </w:r>
          </w:p>
        </w:tc>
      </w:tr>
      <w:tr w:rsidR="00661087" w14:paraId="2E798C42" w14:textId="77777777" w:rsidTr="00131A1D">
        <w:trPr>
          <w:trHeight w:val="557"/>
        </w:trPr>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D7A46" w14:textId="77777777" w:rsidR="002367EC" w:rsidRDefault="002367EC" w:rsidP="002367EC">
            <w:pPr>
              <w:rPr>
                <w:color w:val="000000"/>
                <w:sz w:val="20"/>
                <w:szCs w:val="22"/>
              </w:rPr>
            </w:pPr>
            <w:r>
              <w:rPr>
                <w:color w:val="000000"/>
                <w:sz w:val="20"/>
                <w:szCs w:val="22"/>
              </w:rPr>
              <w:t xml:space="preserve">        IV</w:t>
            </w:r>
          </w:p>
          <w:p w14:paraId="04A88EBF" w14:textId="77777777" w:rsidR="00302BF6" w:rsidRDefault="002367EC" w:rsidP="002367EC">
            <w:pPr>
              <w:rPr>
                <w:color w:val="000000"/>
                <w:sz w:val="20"/>
                <w:szCs w:val="22"/>
              </w:rPr>
            </w:pPr>
            <w:proofErr w:type="spellStart"/>
            <w:r>
              <w:rPr>
                <w:color w:val="000000"/>
                <w:sz w:val="20"/>
                <w:szCs w:val="22"/>
              </w:rPr>
              <w:t>Да</w:t>
            </w:r>
            <w:proofErr w:type="spellEnd"/>
            <w:r>
              <w:rPr>
                <w:color w:val="000000"/>
                <w:sz w:val="20"/>
                <w:szCs w:val="22"/>
              </w:rPr>
              <w:t xml:space="preserve"> </w:t>
            </w:r>
            <w:proofErr w:type="spellStart"/>
            <w:r>
              <w:rPr>
                <w:color w:val="000000"/>
                <w:sz w:val="20"/>
                <w:szCs w:val="22"/>
              </w:rPr>
              <w:t>ли</w:t>
            </w:r>
            <w:proofErr w:type="spellEnd"/>
            <w:r>
              <w:rPr>
                <w:color w:val="000000"/>
                <w:sz w:val="20"/>
                <w:szCs w:val="22"/>
              </w:rPr>
              <w:t xml:space="preserve"> </w:t>
            </w:r>
            <w:r w:rsidR="00661087" w:rsidRPr="006E109A">
              <w:rPr>
                <w:color w:val="000000"/>
                <w:sz w:val="20"/>
                <w:szCs w:val="22"/>
              </w:rPr>
              <w:t xml:space="preserve">ЈЛС </w:t>
            </w:r>
            <w:proofErr w:type="spellStart"/>
            <w:r w:rsidR="00661087" w:rsidRPr="006E109A">
              <w:rPr>
                <w:color w:val="000000"/>
                <w:sz w:val="20"/>
                <w:szCs w:val="22"/>
              </w:rPr>
              <w:t>усваја</w:t>
            </w:r>
            <w:proofErr w:type="spellEnd"/>
            <w:r w:rsidR="00661087" w:rsidRPr="006E109A">
              <w:rPr>
                <w:color w:val="000000"/>
                <w:sz w:val="20"/>
                <w:szCs w:val="22"/>
              </w:rPr>
              <w:t xml:space="preserve"> </w:t>
            </w:r>
            <w:proofErr w:type="spellStart"/>
            <w:r w:rsidR="00661087" w:rsidRPr="006E109A">
              <w:rPr>
                <w:color w:val="000000"/>
                <w:sz w:val="20"/>
                <w:szCs w:val="22"/>
              </w:rPr>
              <w:t>План</w:t>
            </w:r>
            <w:proofErr w:type="spellEnd"/>
            <w:r w:rsidR="00661087" w:rsidRPr="006E109A">
              <w:rPr>
                <w:color w:val="000000"/>
                <w:sz w:val="20"/>
                <w:szCs w:val="22"/>
              </w:rPr>
              <w:t xml:space="preserve"> </w:t>
            </w:r>
            <w:proofErr w:type="spellStart"/>
            <w:r w:rsidR="00661087" w:rsidRPr="006E109A">
              <w:rPr>
                <w:color w:val="000000"/>
                <w:sz w:val="20"/>
                <w:szCs w:val="22"/>
              </w:rPr>
              <w:t>капиталних</w:t>
            </w:r>
            <w:proofErr w:type="spellEnd"/>
            <w:r w:rsidR="00661087" w:rsidRPr="006E109A">
              <w:rPr>
                <w:color w:val="000000"/>
                <w:sz w:val="20"/>
                <w:szCs w:val="22"/>
              </w:rPr>
              <w:t xml:space="preserve"> </w:t>
            </w:r>
            <w:proofErr w:type="spellStart"/>
            <w:r w:rsidR="00661087" w:rsidRPr="006E109A">
              <w:rPr>
                <w:color w:val="000000"/>
                <w:sz w:val="20"/>
                <w:szCs w:val="22"/>
              </w:rPr>
              <w:t>инвестција</w:t>
            </w:r>
            <w:proofErr w:type="spellEnd"/>
            <w:r w:rsidR="00661087" w:rsidRPr="006E109A">
              <w:rPr>
                <w:color w:val="000000"/>
                <w:sz w:val="20"/>
                <w:szCs w:val="22"/>
              </w:rPr>
              <w:t xml:space="preserve"> и </w:t>
            </w:r>
            <w:proofErr w:type="spellStart"/>
            <w:r w:rsidR="00661087" w:rsidRPr="006E109A">
              <w:rPr>
                <w:color w:val="000000"/>
                <w:sz w:val="20"/>
                <w:szCs w:val="22"/>
              </w:rPr>
              <w:t>да</w:t>
            </w:r>
            <w:proofErr w:type="spellEnd"/>
            <w:r w:rsidR="00661087" w:rsidRPr="006E109A">
              <w:rPr>
                <w:color w:val="000000"/>
                <w:sz w:val="20"/>
                <w:szCs w:val="22"/>
              </w:rPr>
              <w:t xml:space="preserve"> </w:t>
            </w:r>
            <w:proofErr w:type="spellStart"/>
            <w:r w:rsidR="00661087" w:rsidRPr="006E109A">
              <w:rPr>
                <w:color w:val="000000"/>
                <w:sz w:val="20"/>
                <w:szCs w:val="22"/>
              </w:rPr>
              <w:t>ли</w:t>
            </w:r>
            <w:proofErr w:type="spellEnd"/>
            <w:r w:rsidR="00661087" w:rsidRPr="006E109A">
              <w:rPr>
                <w:color w:val="000000"/>
                <w:sz w:val="20"/>
                <w:szCs w:val="22"/>
              </w:rPr>
              <w:t xml:space="preserve"> </w:t>
            </w:r>
            <w:proofErr w:type="spellStart"/>
            <w:r w:rsidR="00661087" w:rsidRPr="006E109A">
              <w:rPr>
                <w:color w:val="000000"/>
                <w:sz w:val="20"/>
                <w:szCs w:val="22"/>
              </w:rPr>
              <w:t>је</w:t>
            </w:r>
            <w:proofErr w:type="spellEnd"/>
            <w:r w:rsidR="00661087" w:rsidRPr="006E109A">
              <w:rPr>
                <w:color w:val="000000"/>
                <w:sz w:val="20"/>
                <w:szCs w:val="22"/>
              </w:rPr>
              <w:t xml:space="preserve"> </w:t>
            </w:r>
            <w:proofErr w:type="spellStart"/>
            <w:r>
              <w:rPr>
                <w:color w:val="000000"/>
                <w:sz w:val="20"/>
                <w:szCs w:val="22"/>
              </w:rPr>
              <w:t>вршено</w:t>
            </w:r>
            <w:proofErr w:type="spellEnd"/>
            <w:r w:rsidR="00661087" w:rsidRPr="006E109A">
              <w:rPr>
                <w:color w:val="000000"/>
                <w:sz w:val="20"/>
                <w:szCs w:val="22"/>
              </w:rPr>
              <w:t xml:space="preserve"> </w:t>
            </w:r>
            <w:proofErr w:type="spellStart"/>
            <w:r w:rsidR="00661087" w:rsidRPr="006E109A">
              <w:rPr>
                <w:color w:val="000000"/>
                <w:sz w:val="20"/>
                <w:szCs w:val="22"/>
              </w:rPr>
              <w:t>ревидирање</w:t>
            </w:r>
            <w:proofErr w:type="spellEnd"/>
            <w:r w:rsidR="00661087" w:rsidRPr="006E109A">
              <w:rPr>
                <w:color w:val="000000"/>
                <w:sz w:val="20"/>
                <w:szCs w:val="22"/>
              </w:rPr>
              <w:t xml:space="preserve"> </w:t>
            </w:r>
            <w:r>
              <w:rPr>
                <w:color w:val="000000"/>
                <w:sz w:val="20"/>
                <w:szCs w:val="22"/>
                <w:lang w:val="sr-Cyrl-RS"/>
              </w:rPr>
              <w:t xml:space="preserve">ових </w:t>
            </w:r>
            <w:proofErr w:type="spellStart"/>
            <w:r w:rsidR="00661087" w:rsidRPr="006E109A">
              <w:rPr>
                <w:color w:val="000000"/>
                <w:sz w:val="20"/>
                <w:szCs w:val="22"/>
              </w:rPr>
              <w:t>планова</w:t>
            </w:r>
            <w:proofErr w:type="spellEnd"/>
            <w:r w:rsidR="00661087" w:rsidRPr="006E109A">
              <w:rPr>
                <w:color w:val="000000"/>
                <w:sz w:val="20"/>
                <w:szCs w:val="22"/>
              </w:rPr>
              <w:t xml:space="preserve"> </w:t>
            </w:r>
            <w:proofErr w:type="spellStart"/>
            <w:r w:rsidR="00661087" w:rsidRPr="006E109A">
              <w:rPr>
                <w:color w:val="000000"/>
                <w:sz w:val="20"/>
                <w:szCs w:val="22"/>
              </w:rPr>
              <w:t>или</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w:t>
            </w:r>
            <w:proofErr w:type="spellStart"/>
            <w:r w:rsidR="00661087" w:rsidRPr="006E109A">
              <w:rPr>
                <w:color w:val="000000"/>
                <w:sz w:val="20"/>
                <w:szCs w:val="22"/>
              </w:rPr>
              <w:t>ови</w:t>
            </w:r>
            <w:proofErr w:type="spellEnd"/>
            <w:r w:rsidR="00661087" w:rsidRPr="006E109A">
              <w:rPr>
                <w:color w:val="000000"/>
                <w:sz w:val="20"/>
                <w:szCs w:val="22"/>
              </w:rPr>
              <w:t xml:space="preserve"> </w:t>
            </w:r>
            <w:proofErr w:type="spellStart"/>
            <w:r w:rsidR="00661087" w:rsidRPr="006E109A">
              <w:rPr>
                <w:color w:val="000000"/>
                <w:sz w:val="20"/>
                <w:szCs w:val="22"/>
              </w:rPr>
              <w:t>износи</w:t>
            </w:r>
            <w:proofErr w:type="spellEnd"/>
            <w:r w:rsidR="00661087" w:rsidRPr="006E109A">
              <w:rPr>
                <w:color w:val="000000"/>
                <w:sz w:val="20"/>
                <w:szCs w:val="22"/>
              </w:rPr>
              <w:t xml:space="preserve"> </w:t>
            </w:r>
            <w:proofErr w:type="spellStart"/>
            <w:r w:rsidR="00661087" w:rsidRPr="006E109A">
              <w:rPr>
                <w:color w:val="000000"/>
                <w:sz w:val="20"/>
                <w:szCs w:val="22"/>
              </w:rPr>
              <w:t>смањени</w:t>
            </w:r>
            <w:proofErr w:type="spellEnd"/>
            <w:r w:rsidR="00661087" w:rsidRPr="006E109A">
              <w:rPr>
                <w:color w:val="000000"/>
                <w:sz w:val="20"/>
                <w:szCs w:val="22"/>
              </w:rPr>
              <w:t xml:space="preserve"> </w:t>
            </w:r>
            <w:proofErr w:type="spellStart"/>
            <w:r w:rsidR="00661087" w:rsidRPr="006E109A">
              <w:rPr>
                <w:color w:val="000000"/>
                <w:sz w:val="20"/>
                <w:szCs w:val="22"/>
              </w:rPr>
              <w:t>кроз</w:t>
            </w:r>
            <w:proofErr w:type="spellEnd"/>
            <w:r w:rsidR="00661087" w:rsidRPr="006E109A">
              <w:rPr>
                <w:color w:val="000000"/>
                <w:sz w:val="20"/>
                <w:szCs w:val="22"/>
              </w:rPr>
              <w:t xml:space="preserve"> </w:t>
            </w:r>
            <w:proofErr w:type="spellStart"/>
            <w:r w:rsidR="00661087" w:rsidRPr="006E109A">
              <w:rPr>
                <w:color w:val="000000"/>
                <w:sz w:val="20"/>
                <w:szCs w:val="22"/>
              </w:rPr>
              <w:t>ребаланс</w:t>
            </w:r>
            <w:proofErr w:type="spellEnd"/>
            <w:r w:rsidR="00661087" w:rsidRPr="006E109A">
              <w:rPr>
                <w:color w:val="000000"/>
                <w:sz w:val="20"/>
                <w:szCs w:val="22"/>
              </w:rPr>
              <w:t xml:space="preserve"> </w:t>
            </w:r>
            <w:proofErr w:type="spellStart"/>
            <w:r w:rsidR="00661087" w:rsidRPr="006E109A">
              <w:rPr>
                <w:color w:val="000000"/>
                <w:sz w:val="20"/>
                <w:szCs w:val="22"/>
              </w:rPr>
              <w:t>буџета</w:t>
            </w:r>
            <w:proofErr w:type="spellEnd"/>
            <w:r w:rsidR="00661087" w:rsidRPr="006E109A">
              <w:rPr>
                <w:color w:val="000000"/>
                <w:sz w:val="20"/>
                <w:szCs w:val="22"/>
              </w:rPr>
              <w:t xml:space="preserve"> у </w:t>
            </w:r>
            <w:proofErr w:type="spellStart"/>
            <w:r w:rsidR="00661087" w:rsidRPr="006E109A">
              <w:rPr>
                <w:color w:val="000000"/>
                <w:sz w:val="20"/>
                <w:szCs w:val="22"/>
              </w:rPr>
              <w:t>току</w:t>
            </w:r>
            <w:proofErr w:type="spellEnd"/>
            <w:r w:rsidR="00661087" w:rsidRPr="006E109A">
              <w:rPr>
                <w:color w:val="000000"/>
                <w:sz w:val="20"/>
                <w:szCs w:val="22"/>
              </w:rPr>
              <w:t xml:space="preserve"> 2020. г</w:t>
            </w:r>
            <w:r>
              <w:rPr>
                <w:color w:val="000000"/>
                <w:sz w:val="20"/>
                <w:szCs w:val="22"/>
                <w:lang w:val="sr-Cyrl-RS"/>
              </w:rPr>
              <w:t>одине</w:t>
            </w:r>
            <w:r w:rsidR="00661087" w:rsidRPr="006E109A">
              <w:rPr>
                <w:color w:val="000000"/>
                <w:sz w:val="20"/>
                <w:szCs w:val="22"/>
              </w:rPr>
              <w:t>?</w:t>
            </w:r>
          </w:p>
          <w:p w14:paraId="5178FB85" w14:textId="77777777" w:rsidR="00302BF6" w:rsidRDefault="00661087" w:rsidP="002367EC">
            <w:pPr>
              <w:rPr>
                <w:color w:val="000000"/>
                <w:sz w:val="20"/>
                <w:szCs w:val="22"/>
              </w:rPr>
            </w:pPr>
            <w:r w:rsidRPr="006E109A">
              <w:rPr>
                <w:color w:val="000000"/>
                <w:sz w:val="20"/>
                <w:szCs w:val="22"/>
              </w:rPr>
              <w:br/>
            </w:r>
            <w:proofErr w:type="spellStart"/>
            <w:r w:rsidRPr="006E109A">
              <w:rPr>
                <w:color w:val="000000"/>
                <w:sz w:val="20"/>
                <w:szCs w:val="22"/>
              </w:rPr>
              <w:t>За</w:t>
            </w:r>
            <w:proofErr w:type="spellEnd"/>
            <w:r w:rsidRPr="006E109A">
              <w:rPr>
                <w:color w:val="000000"/>
                <w:sz w:val="20"/>
                <w:szCs w:val="22"/>
              </w:rPr>
              <w:t xml:space="preserve"> </w:t>
            </w:r>
            <w:proofErr w:type="spellStart"/>
            <w:r w:rsidRPr="006E109A">
              <w:rPr>
                <w:color w:val="000000"/>
                <w:sz w:val="20"/>
                <w:szCs w:val="22"/>
              </w:rPr>
              <w:t>колико</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извршено</w:t>
            </w:r>
            <w:proofErr w:type="spellEnd"/>
            <w:r w:rsidRPr="006E109A">
              <w:rPr>
                <w:color w:val="000000"/>
                <w:sz w:val="20"/>
                <w:szCs w:val="22"/>
              </w:rPr>
              <w:t xml:space="preserve"> </w:t>
            </w:r>
            <w:proofErr w:type="spellStart"/>
            <w:r w:rsidRPr="006E109A">
              <w:rPr>
                <w:color w:val="000000"/>
                <w:sz w:val="20"/>
                <w:szCs w:val="22"/>
              </w:rPr>
              <w:t>смањење</w:t>
            </w:r>
            <w:proofErr w:type="spellEnd"/>
            <w:r w:rsidRPr="006E109A">
              <w:rPr>
                <w:color w:val="000000"/>
                <w:sz w:val="20"/>
                <w:szCs w:val="22"/>
              </w:rPr>
              <w:t xml:space="preserve"> </w:t>
            </w:r>
            <w:proofErr w:type="spellStart"/>
            <w:r w:rsidRPr="006E109A">
              <w:rPr>
                <w:color w:val="000000"/>
                <w:sz w:val="20"/>
                <w:szCs w:val="22"/>
              </w:rPr>
              <w:t>средстава</w:t>
            </w:r>
            <w:proofErr w:type="spellEnd"/>
            <w:r w:rsidRPr="006E109A">
              <w:rPr>
                <w:color w:val="000000"/>
                <w:sz w:val="20"/>
                <w:szCs w:val="22"/>
              </w:rPr>
              <w:t xml:space="preserve"> </w:t>
            </w:r>
            <w:proofErr w:type="spellStart"/>
            <w:r w:rsidRPr="006E109A">
              <w:rPr>
                <w:color w:val="000000"/>
                <w:sz w:val="20"/>
                <w:szCs w:val="22"/>
              </w:rPr>
              <w:t>нам</w:t>
            </w:r>
            <w:proofErr w:type="spellEnd"/>
            <w:r w:rsidR="002367EC">
              <w:rPr>
                <w:color w:val="000000"/>
                <w:sz w:val="20"/>
                <w:szCs w:val="22"/>
                <w:lang w:val="sr-Cyrl-RS"/>
              </w:rPr>
              <w:t>и</w:t>
            </w:r>
            <w:proofErr w:type="spellStart"/>
            <w:r w:rsidRPr="006E109A">
              <w:rPr>
                <w:color w:val="000000"/>
                <w:sz w:val="20"/>
                <w:szCs w:val="22"/>
              </w:rPr>
              <w:t>јењ</w:t>
            </w:r>
            <w:r w:rsidR="00302BF6">
              <w:rPr>
                <w:color w:val="000000"/>
                <w:sz w:val="20"/>
                <w:szCs w:val="22"/>
              </w:rPr>
              <w:t>ених</w:t>
            </w:r>
            <w:proofErr w:type="spellEnd"/>
            <w:r w:rsidR="00302BF6">
              <w:rPr>
                <w:color w:val="000000"/>
                <w:sz w:val="20"/>
                <w:szCs w:val="22"/>
              </w:rPr>
              <w:t xml:space="preserve"> </w:t>
            </w:r>
            <w:proofErr w:type="spellStart"/>
            <w:r w:rsidR="00302BF6">
              <w:rPr>
                <w:color w:val="000000"/>
                <w:sz w:val="20"/>
                <w:szCs w:val="22"/>
              </w:rPr>
              <w:t>капиталнимн</w:t>
            </w:r>
            <w:proofErr w:type="spellEnd"/>
            <w:r w:rsidR="00302BF6">
              <w:rPr>
                <w:color w:val="000000"/>
                <w:sz w:val="20"/>
                <w:szCs w:val="22"/>
              </w:rPr>
              <w:t xml:space="preserve"> </w:t>
            </w:r>
            <w:proofErr w:type="spellStart"/>
            <w:r w:rsidR="00302BF6">
              <w:rPr>
                <w:color w:val="000000"/>
                <w:sz w:val="20"/>
                <w:szCs w:val="22"/>
              </w:rPr>
              <w:t>инвестицијама</w:t>
            </w:r>
            <w:proofErr w:type="spellEnd"/>
            <w:r w:rsidR="00302BF6">
              <w:rPr>
                <w:color w:val="000000"/>
                <w:sz w:val="20"/>
                <w:szCs w:val="22"/>
              </w:rPr>
              <w:t>?</w:t>
            </w:r>
          </w:p>
          <w:p w14:paraId="2955F7C2" w14:textId="77777777" w:rsidR="00302BF6" w:rsidRDefault="00302BF6" w:rsidP="002367EC">
            <w:pPr>
              <w:rPr>
                <w:color w:val="000000"/>
                <w:sz w:val="20"/>
                <w:szCs w:val="22"/>
              </w:rPr>
            </w:pPr>
          </w:p>
          <w:p w14:paraId="620E8A2B" w14:textId="77777777" w:rsidR="00661087" w:rsidRPr="006E109A" w:rsidRDefault="00661087" w:rsidP="002367EC">
            <w:pPr>
              <w:rPr>
                <w:color w:val="000000"/>
                <w:sz w:val="20"/>
                <w:szCs w:val="22"/>
              </w:rPr>
            </w:pPr>
            <w:proofErr w:type="spellStart"/>
            <w:r w:rsidRPr="006E109A">
              <w:rPr>
                <w:color w:val="000000"/>
                <w:sz w:val="20"/>
                <w:szCs w:val="22"/>
              </w:rPr>
              <w:t>Навести</w:t>
            </w:r>
            <w:proofErr w:type="spellEnd"/>
            <w:r w:rsidRPr="006E109A">
              <w:rPr>
                <w:color w:val="000000"/>
                <w:sz w:val="20"/>
                <w:szCs w:val="22"/>
              </w:rPr>
              <w:t xml:space="preserve"> </w:t>
            </w:r>
            <w:proofErr w:type="spellStart"/>
            <w:r w:rsidRPr="006E109A">
              <w:rPr>
                <w:color w:val="000000"/>
                <w:sz w:val="20"/>
                <w:szCs w:val="22"/>
              </w:rPr>
              <w:t>почетни</w:t>
            </w:r>
            <w:proofErr w:type="spellEnd"/>
            <w:r w:rsidRPr="006E109A">
              <w:rPr>
                <w:color w:val="000000"/>
                <w:sz w:val="20"/>
                <w:szCs w:val="22"/>
              </w:rPr>
              <w:t xml:space="preserve"> </w:t>
            </w:r>
            <w:proofErr w:type="spellStart"/>
            <w:r w:rsidRPr="006E109A">
              <w:rPr>
                <w:color w:val="000000"/>
                <w:sz w:val="20"/>
                <w:szCs w:val="22"/>
              </w:rPr>
              <w:t>план</w:t>
            </w:r>
            <w:proofErr w:type="spellEnd"/>
            <w:r w:rsidRPr="006E109A">
              <w:rPr>
                <w:color w:val="000000"/>
                <w:sz w:val="20"/>
                <w:szCs w:val="22"/>
              </w:rPr>
              <w:t xml:space="preserve"> и </w:t>
            </w:r>
            <w:proofErr w:type="spellStart"/>
            <w:r w:rsidRPr="006E109A">
              <w:rPr>
                <w:color w:val="000000"/>
                <w:sz w:val="20"/>
                <w:szCs w:val="22"/>
              </w:rPr>
              <w:t>тренутно</w:t>
            </w:r>
            <w:proofErr w:type="spellEnd"/>
            <w:r w:rsidRPr="006E109A">
              <w:rPr>
                <w:color w:val="000000"/>
                <w:sz w:val="20"/>
                <w:szCs w:val="22"/>
              </w:rPr>
              <w:t xml:space="preserve"> </w:t>
            </w:r>
            <w:proofErr w:type="spellStart"/>
            <w:r w:rsidRPr="006E109A">
              <w:rPr>
                <w:color w:val="000000"/>
                <w:sz w:val="20"/>
                <w:szCs w:val="22"/>
              </w:rPr>
              <w:t>планиран</w:t>
            </w:r>
            <w:proofErr w:type="spellEnd"/>
            <w:r w:rsidRPr="006E109A">
              <w:rPr>
                <w:color w:val="000000"/>
                <w:sz w:val="20"/>
                <w:szCs w:val="22"/>
              </w:rPr>
              <w:t xml:space="preserve"> </w:t>
            </w:r>
            <w:proofErr w:type="spellStart"/>
            <w:r w:rsidRPr="006E109A">
              <w:rPr>
                <w:color w:val="000000"/>
                <w:sz w:val="20"/>
                <w:szCs w:val="22"/>
              </w:rPr>
              <w:t>износ</w:t>
            </w:r>
            <w:proofErr w:type="spellEnd"/>
            <w:r w:rsidRPr="006E109A">
              <w:rPr>
                <w:color w:val="000000"/>
                <w:sz w:val="20"/>
                <w:szCs w:val="22"/>
              </w:rPr>
              <w:t>.</w:t>
            </w:r>
          </w:p>
        </w:tc>
        <w:tc>
          <w:tcPr>
            <w:tcW w:w="5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77267" w14:textId="77777777" w:rsidR="002367EC" w:rsidRDefault="002367EC" w:rsidP="002367EC">
            <w:pPr>
              <w:rPr>
                <w:sz w:val="20"/>
              </w:rPr>
            </w:pPr>
            <w:r>
              <w:rPr>
                <w:sz w:val="20"/>
                <w:lang w:val="sr-Cyrl-RS"/>
              </w:rPr>
              <w:t xml:space="preserve">1. </w:t>
            </w:r>
            <w:proofErr w:type="spellStart"/>
            <w:r w:rsidR="00A275FE" w:rsidRPr="008C60D7">
              <w:rPr>
                <w:sz w:val="20"/>
              </w:rPr>
              <w:t>Све</w:t>
            </w:r>
            <w:proofErr w:type="spellEnd"/>
            <w:r w:rsidR="00A275FE" w:rsidRPr="008C60D7">
              <w:rPr>
                <w:sz w:val="20"/>
              </w:rPr>
              <w:t xml:space="preserve"> </w:t>
            </w:r>
            <w:proofErr w:type="spellStart"/>
            <w:r w:rsidR="00A275FE" w:rsidRPr="008C60D7">
              <w:rPr>
                <w:sz w:val="20"/>
              </w:rPr>
              <w:t>анкетиране</w:t>
            </w:r>
            <w:proofErr w:type="spellEnd"/>
            <w:r w:rsidR="00A275FE" w:rsidRPr="008C60D7">
              <w:rPr>
                <w:sz w:val="20"/>
              </w:rPr>
              <w:t xml:space="preserve"> ЈЛС </w:t>
            </w:r>
            <w:proofErr w:type="spellStart"/>
            <w:r w:rsidR="00A275FE" w:rsidRPr="008C60D7">
              <w:rPr>
                <w:sz w:val="20"/>
              </w:rPr>
              <w:t>су</w:t>
            </w:r>
            <w:proofErr w:type="spellEnd"/>
            <w:r w:rsidR="00A275FE" w:rsidRPr="008C60D7">
              <w:rPr>
                <w:sz w:val="20"/>
              </w:rPr>
              <w:t xml:space="preserve"> </w:t>
            </w:r>
            <w:proofErr w:type="spellStart"/>
            <w:r w:rsidR="00A275FE" w:rsidRPr="008C60D7">
              <w:rPr>
                <w:sz w:val="20"/>
              </w:rPr>
              <w:t>се</w:t>
            </w:r>
            <w:proofErr w:type="spellEnd"/>
            <w:r w:rsidR="00A275FE" w:rsidRPr="008C60D7">
              <w:rPr>
                <w:sz w:val="20"/>
              </w:rPr>
              <w:t xml:space="preserve"> </w:t>
            </w:r>
            <w:proofErr w:type="spellStart"/>
            <w:r w:rsidR="00A275FE" w:rsidRPr="008C60D7">
              <w:rPr>
                <w:sz w:val="20"/>
              </w:rPr>
              <w:t>изјасниле</w:t>
            </w:r>
            <w:proofErr w:type="spellEnd"/>
            <w:r w:rsidR="00A275FE" w:rsidRPr="008C60D7">
              <w:rPr>
                <w:sz w:val="20"/>
              </w:rPr>
              <w:t xml:space="preserve"> </w:t>
            </w:r>
            <w:proofErr w:type="spellStart"/>
            <w:r w:rsidR="00A275FE" w:rsidRPr="008C60D7">
              <w:rPr>
                <w:sz w:val="20"/>
              </w:rPr>
              <w:t>да</w:t>
            </w:r>
            <w:proofErr w:type="spellEnd"/>
            <w:r w:rsidR="00A275FE" w:rsidRPr="008C60D7">
              <w:rPr>
                <w:sz w:val="20"/>
              </w:rPr>
              <w:t xml:space="preserve"> </w:t>
            </w:r>
            <w:proofErr w:type="spellStart"/>
            <w:r w:rsidR="00A275FE" w:rsidRPr="008C60D7">
              <w:rPr>
                <w:sz w:val="20"/>
              </w:rPr>
              <w:t>доносе</w:t>
            </w:r>
            <w:proofErr w:type="spellEnd"/>
            <w:r w:rsidR="00A275FE" w:rsidRPr="008C60D7">
              <w:rPr>
                <w:sz w:val="20"/>
              </w:rPr>
              <w:t xml:space="preserve"> ПКИ</w:t>
            </w:r>
            <w:r w:rsidR="003E757C">
              <w:rPr>
                <w:sz w:val="20"/>
              </w:rPr>
              <w:t xml:space="preserve"> (</w:t>
            </w:r>
            <w:r w:rsidR="003E757C">
              <w:rPr>
                <w:sz w:val="20"/>
                <w:lang w:val="sr-Cyrl-RS"/>
              </w:rPr>
              <w:t>у различитим облицима, као посебан документ или у оквиру стратегије развоја),</w:t>
            </w:r>
            <w:r w:rsidR="00A275FE" w:rsidRPr="008C60D7">
              <w:rPr>
                <w:sz w:val="20"/>
              </w:rPr>
              <w:t xml:space="preserve"> </w:t>
            </w:r>
            <w:proofErr w:type="spellStart"/>
            <w:r w:rsidR="00A275FE" w:rsidRPr="008C60D7">
              <w:rPr>
                <w:sz w:val="20"/>
              </w:rPr>
              <w:t>што</w:t>
            </w:r>
            <w:proofErr w:type="spellEnd"/>
            <w:r w:rsidR="00A275FE" w:rsidRPr="008C60D7">
              <w:rPr>
                <w:sz w:val="20"/>
              </w:rPr>
              <w:t xml:space="preserve"> </w:t>
            </w:r>
            <w:proofErr w:type="spellStart"/>
            <w:r w:rsidR="00A275FE" w:rsidRPr="008C60D7">
              <w:rPr>
                <w:sz w:val="20"/>
              </w:rPr>
              <w:t>је</w:t>
            </w:r>
            <w:proofErr w:type="spellEnd"/>
            <w:r w:rsidR="00A275FE" w:rsidRPr="008C60D7">
              <w:rPr>
                <w:sz w:val="20"/>
              </w:rPr>
              <w:t xml:space="preserve"> </w:t>
            </w:r>
            <w:proofErr w:type="spellStart"/>
            <w:r w:rsidR="00A275FE" w:rsidRPr="008C60D7">
              <w:rPr>
                <w:sz w:val="20"/>
              </w:rPr>
              <w:t>позитивно</w:t>
            </w:r>
            <w:proofErr w:type="spellEnd"/>
            <w:r w:rsidR="00A275FE" w:rsidRPr="008C60D7">
              <w:rPr>
                <w:sz w:val="20"/>
              </w:rPr>
              <w:t xml:space="preserve">. </w:t>
            </w:r>
            <w:proofErr w:type="spellStart"/>
            <w:r w:rsidR="00A275FE" w:rsidRPr="008C60D7">
              <w:rPr>
                <w:sz w:val="20"/>
              </w:rPr>
              <w:t>Овакав</w:t>
            </w:r>
            <w:proofErr w:type="spellEnd"/>
            <w:r w:rsidR="00A275FE" w:rsidRPr="008C60D7">
              <w:rPr>
                <w:sz w:val="20"/>
              </w:rPr>
              <w:t xml:space="preserve"> </w:t>
            </w:r>
            <w:r w:rsidR="003E757C">
              <w:rPr>
                <w:sz w:val="20"/>
                <w:lang w:val="sr-Cyrl-RS"/>
              </w:rPr>
              <w:t>приступ</w:t>
            </w:r>
            <w:r w:rsidR="00A275FE" w:rsidRPr="008C60D7">
              <w:rPr>
                <w:sz w:val="20"/>
              </w:rPr>
              <w:t xml:space="preserve"> </w:t>
            </w:r>
            <w:proofErr w:type="spellStart"/>
            <w:r w:rsidR="00A275FE" w:rsidRPr="008C60D7">
              <w:rPr>
                <w:sz w:val="20"/>
              </w:rPr>
              <w:t>олакшава</w:t>
            </w:r>
            <w:proofErr w:type="spellEnd"/>
            <w:r w:rsidR="00A275FE" w:rsidRPr="008C60D7">
              <w:rPr>
                <w:sz w:val="20"/>
              </w:rPr>
              <w:t xml:space="preserve"> </w:t>
            </w:r>
            <w:proofErr w:type="spellStart"/>
            <w:r w:rsidR="00A275FE" w:rsidRPr="008C60D7">
              <w:rPr>
                <w:sz w:val="20"/>
              </w:rPr>
              <w:t>годишње</w:t>
            </w:r>
            <w:proofErr w:type="spellEnd"/>
            <w:r w:rsidR="00A275FE" w:rsidRPr="008C60D7">
              <w:rPr>
                <w:sz w:val="20"/>
              </w:rPr>
              <w:t xml:space="preserve"> </w:t>
            </w:r>
            <w:proofErr w:type="spellStart"/>
            <w:r w:rsidR="00A275FE" w:rsidRPr="008C60D7">
              <w:rPr>
                <w:sz w:val="20"/>
              </w:rPr>
              <w:t>буџетирање</w:t>
            </w:r>
            <w:proofErr w:type="spellEnd"/>
            <w:r w:rsidR="00A275FE" w:rsidRPr="008C60D7">
              <w:rPr>
                <w:sz w:val="20"/>
              </w:rPr>
              <w:t xml:space="preserve"> и </w:t>
            </w:r>
            <w:proofErr w:type="spellStart"/>
            <w:r w:rsidR="00A275FE" w:rsidRPr="008C60D7">
              <w:rPr>
                <w:sz w:val="20"/>
              </w:rPr>
              <w:t>значај</w:t>
            </w:r>
            <w:proofErr w:type="spellEnd"/>
            <w:r w:rsidR="003E757C">
              <w:rPr>
                <w:sz w:val="20"/>
                <w:lang w:val="sr-Cyrl-RS"/>
              </w:rPr>
              <w:t>а</w:t>
            </w:r>
            <w:r w:rsidR="003E757C">
              <w:rPr>
                <w:sz w:val="20"/>
              </w:rPr>
              <w:t>н</w:t>
            </w:r>
            <w:r w:rsidR="00A275FE" w:rsidRPr="008C60D7">
              <w:rPr>
                <w:sz w:val="20"/>
              </w:rPr>
              <w:t xml:space="preserve"> </w:t>
            </w:r>
            <w:proofErr w:type="spellStart"/>
            <w:r w:rsidR="00A275FE" w:rsidRPr="008C60D7">
              <w:rPr>
                <w:sz w:val="20"/>
              </w:rPr>
              <w:t>је</w:t>
            </w:r>
            <w:proofErr w:type="spellEnd"/>
            <w:r w:rsidR="00A275FE" w:rsidRPr="008C60D7">
              <w:rPr>
                <w:sz w:val="20"/>
              </w:rPr>
              <w:t xml:space="preserve"> </w:t>
            </w:r>
            <w:proofErr w:type="spellStart"/>
            <w:r w:rsidR="00A275FE" w:rsidRPr="008C60D7">
              <w:rPr>
                <w:sz w:val="20"/>
              </w:rPr>
              <w:t>инструмент</w:t>
            </w:r>
            <w:proofErr w:type="spellEnd"/>
            <w:r w:rsidR="00A275FE" w:rsidRPr="008C60D7">
              <w:rPr>
                <w:sz w:val="20"/>
              </w:rPr>
              <w:t xml:space="preserve">, </w:t>
            </w:r>
            <w:proofErr w:type="spellStart"/>
            <w:r w:rsidR="00A275FE" w:rsidRPr="008C60D7">
              <w:rPr>
                <w:sz w:val="20"/>
              </w:rPr>
              <w:t>који</w:t>
            </w:r>
            <w:proofErr w:type="spellEnd"/>
            <w:r w:rsidR="00A275FE" w:rsidRPr="008C60D7">
              <w:rPr>
                <w:sz w:val="20"/>
              </w:rPr>
              <w:t xml:space="preserve"> </w:t>
            </w:r>
            <w:proofErr w:type="spellStart"/>
            <w:r w:rsidR="00A275FE" w:rsidRPr="008C60D7">
              <w:rPr>
                <w:sz w:val="20"/>
              </w:rPr>
              <w:t>повећава</w:t>
            </w:r>
            <w:proofErr w:type="spellEnd"/>
            <w:r w:rsidR="00A275FE" w:rsidRPr="008C60D7">
              <w:rPr>
                <w:sz w:val="20"/>
              </w:rPr>
              <w:t xml:space="preserve"> </w:t>
            </w:r>
            <w:proofErr w:type="spellStart"/>
            <w:r w:rsidR="00A275FE" w:rsidRPr="008C60D7">
              <w:rPr>
                <w:sz w:val="20"/>
              </w:rPr>
              <w:t>ефикаснос</w:t>
            </w:r>
            <w:r w:rsidR="003E757C">
              <w:rPr>
                <w:sz w:val="20"/>
              </w:rPr>
              <w:t>т</w:t>
            </w:r>
            <w:proofErr w:type="spellEnd"/>
            <w:r w:rsidR="003E757C">
              <w:rPr>
                <w:sz w:val="20"/>
              </w:rPr>
              <w:t xml:space="preserve"> </w:t>
            </w:r>
            <w:proofErr w:type="spellStart"/>
            <w:r w:rsidR="003E757C">
              <w:rPr>
                <w:sz w:val="20"/>
              </w:rPr>
              <w:t>инвестиционих</w:t>
            </w:r>
            <w:proofErr w:type="spellEnd"/>
            <w:r w:rsidR="003E757C">
              <w:rPr>
                <w:sz w:val="20"/>
              </w:rPr>
              <w:t xml:space="preserve"> </w:t>
            </w:r>
            <w:proofErr w:type="spellStart"/>
            <w:r w:rsidR="003E757C">
              <w:rPr>
                <w:sz w:val="20"/>
              </w:rPr>
              <w:t>улагања</w:t>
            </w:r>
            <w:proofErr w:type="spellEnd"/>
            <w:r w:rsidR="003E757C">
              <w:rPr>
                <w:sz w:val="20"/>
              </w:rPr>
              <w:t xml:space="preserve"> </w:t>
            </w:r>
            <w:proofErr w:type="spellStart"/>
            <w:r w:rsidR="003E757C">
              <w:rPr>
                <w:sz w:val="20"/>
              </w:rPr>
              <w:t>на</w:t>
            </w:r>
            <w:proofErr w:type="spellEnd"/>
            <w:r w:rsidR="003E757C">
              <w:rPr>
                <w:sz w:val="20"/>
              </w:rPr>
              <w:t xml:space="preserve"> </w:t>
            </w:r>
            <w:proofErr w:type="spellStart"/>
            <w:r w:rsidR="003E757C">
              <w:rPr>
                <w:sz w:val="20"/>
              </w:rPr>
              <w:t>локал</w:t>
            </w:r>
            <w:r w:rsidR="00A275FE" w:rsidRPr="008C60D7">
              <w:rPr>
                <w:sz w:val="20"/>
              </w:rPr>
              <w:t>ном</w:t>
            </w:r>
            <w:proofErr w:type="spellEnd"/>
            <w:r w:rsidR="00A275FE" w:rsidRPr="008C60D7">
              <w:rPr>
                <w:sz w:val="20"/>
              </w:rPr>
              <w:t xml:space="preserve"> </w:t>
            </w:r>
            <w:proofErr w:type="spellStart"/>
            <w:r w:rsidR="00A275FE" w:rsidRPr="008C60D7">
              <w:rPr>
                <w:sz w:val="20"/>
              </w:rPr>
              <w:t>нивоу</w:t>
            </w:r>
            <w:proofErr w:type="spellEnd"/>
            <w:r w:rsidR="00A275FE" w:rsidRPr="008C60D7">
              <w:rPr>
                <w:sz w:val="20"/>
              </w:rPr>
              <w:t xml:space="preserve">. </w:t>
            </w:r>
          </w:p>
          <w:p w14:paraId="7E4CD100" w14:textId="77777777" w:rsidR="002367EC" w:rsidRPr="002367EC" w:rsidRDefault="002367EC" w:rsidP="002367EC">
            <w:pPr>
              <w:rPr>
                <w:sz w:val="20"/>
                <w:lang w:val="sr-Cyrl-RS"/>
              </w:rPr>
            </w:pPr>
            <w:r>
              <w:rPr>
                <w:sz w:val="20"/>
                <w:lang w:val="sr-Cyrl-RS"/>
              </w:rPr>
              <w:t xml:space="preserve">2. </w:t>
            </w:r>
            <w:r w:rsidR="003E757C">
              <w:rPr>
                <w:sz w:val="20"/>
                <w:lang w:val="sr-Cyrl-RS"/>
              </w:rPr>
              <w:t>Код већине анкетираних ЈЛС, до септембра, з</w:t>
            </w:r>
            <w:proofErr w:type="spellStart"/>
            <w:r w:rsidR="00A275FE" w:rsidRPr="008C60D7">
              <w:rPr>
                <w:sz w:val="20"/>
              </w:rPr>
              <w:t>бог</w:t>
            </w:r>
            <w:proofErr w:type="spellEnd"/>
            <w:r w:rsidR="00A275FE" w:rsidRPr="008C60D7">
              <w:rPr>
                <w:sz w:val="20"/>
              </w:rPr>
              <w:t xml:space="preserve"> </w:t>
            </w:r>
            <w:proofErr w:type="spellStart"/>
            <w:r w:rsidR="00A275FE" w:rsidRPr="008C60D7">
              <w:rPr>
                <w:sz w:val="20"/>
              </w:rPr>
              <w:t>пандемије</w:t>
            </w:r>
            <w:proofErr w:type="spellEnd"/>
            <w:r w:rsidR="00A275FE" w:rsidRPr="008C60D7">
              <w:rPr>
                <w:sz w:val="20"/>
              </w:rPr>
              <w:t xml:space="preserve"> </w:t>
            </w:r>
            <w:proofErr w:type="spellStart"/>
            <w:r w:rsidR="00A275FE" w:rsidRPr="008C60D7">
              <w:rPr>
                <w:sz w:val="20"/>
              </w:rPr>
              <w:t>није</w:t>
            </w:r>
            <w:proofErr w:type="spellEnd"/>
            <w:r w:rsidR="00A275FE" w:rsidRPr="008C60D7">
              <w:rPr>
                <w:sz w:val="20"/>
              </w:rPr>
              <w:t xml:space="preserve"> </w:t>
            </w:r>
            <w:proofErr w:type="spellStart"/>
            <w:r w:rsidR="00A275FE" w:rsidRPr="008C60D7">
              <w:rPr>
                <w:sz w:val="20"/>
              </w:rPr>
              <w:t>вршено</w:t>
            </w:r>
            <w:proofErr w:type="spellEnd"/>
            <w:r w:rsidR="00A275FE" w:rsidRPr="008C60D7">
              <w:rPr>
                <w:sz w:val="20"/>
              </w:rPr>
              <w:t xml:space="preserve"> </w:t>
            </w:r>
            <w:proofErr w:type="spellStart"/>
            <w:r w:rsidR="00A275FE" w:rsidRPr="008C60D7">
              <w:rPr>
                <w:sz w:val="20"/>
              </w:rPr>
              <w:t>ревидирање</w:t>
            </w:r>
            <w:proofErr w:type="spellEnd"/>
            <w:r w:rsidR="00A275FE" w:rsidRPr="008C60D7">
              <w:rPr>
                <w:sz w:val="20"/>
              </w:rPr>
              <w:t xml:space="preserve"> ПКИ, а </w:t>
            </w:r>
            <w:proofErr w:type="spellStart"/>
            <w:r w:rsidR="00A275FE" w:rsidRPr="008C60D7">
              <w:rPr>
                <w:sz w:val="20"/>
              </w:rPr>
              <w:t>к</w:t>
            </w:r>
            <w:r>
              <w:rPr>
                <w:sz w:val="20"/>
              </w:rPr>
              <w:t>апиталне</w:t>
            </w:r>
            <w:proofErr w:type="spellEnd"/>
            <w:r>
              <w:rPr>
                <w:sz w:val="20"/>
              </w:rPr>
              <w:t xml:space="preserve"> </w:t>
            </w:r>
            <w:proofErr w:type="spellStart"/>
            <w:r>
              <w:rPr>
                <w:sz w:val="20"/>
              </w:rPr>
              <w:t>инвестиције</w:t>
            </w:r>
            <w:proofErr w:type="spellEnd"/>
            <w:r>
              <w:rPr>
                <w:sz w:val="20"/>
              </w:rPr>
              <w:t xml:space="preserve"> </w:t>
            </w:r>
            <w:proofErr w:type="spellStart"/>
            <w:r>
              <w:rPr>
                <w:sz w:val="20"/>
              </w:rPr>
              <w:t>за</w:t>
            </w:r>
            <w:proofErr w:type="spellEnd"/>
            <w:r>
              <w:rPr>
                <w:sz w:val="20"/>
              </w:rPr>
              <w:t xml:space="preserve"> 2020. </w:t>
            </w:r>
            <w:proofErr w:type="spellStart"/>
            <w:r>
              <w:rPr>
                <w:sz w:val="20"/>
              </w:rPr>
              <w:t>годину</w:t>
            </w:r>
            <w:proofErr w:type="spellEnd"/>
            <w:r w:rsidR="00A275FE" w:rsidRPr="008C60D7">
              <w:rPr>
                <w:sz w:val="20"/>
              </w:rPr>
              <w:t xml:space="preserve"> </w:t>
            </w:r>
            <w:proofErr w:type="spellStart"/>
            <w:r w:rsidR="00A275FE" w:rsidRPr="008C60D7">
              <w:rPr>
                <w:sz w:val="20"/>
              </w:rPr>
              <w:t>су</w:t>
            </w:r>
            <w:proofErr w:type="spellEnd"/>
            <w:r w:rsidR="00A275FE" w:rsidRPr="008C60D7">
              <w:rPr>
                <w:sz w:val="20"/>
              </w:rPr>
              <w:t xml:space="preserve"> </w:t>
            </w:r>
            <w:proofErr w:type="spellStart"/>
            <w:r w:rsidR="00A275FE" w:rsidRPr="008C60D7">
              <w:rPr>
                <w:sz w:val="20"/>
              </w:rPr>
              <w:t>мијењале</w:t>
            </w:r>
            <w:proofErr w:type="spellEnd"/>
            <w:r w:rsidR="00A275FE" w:rsidRPr="008C60D7">
              <w:rPr>
                <w:sz w:val="20"/>
              </w:rPr>
              <w:t xml:space="preserve"> </w:t>
            </w:r>
            <w:proofErr w:type="spellStart"/>
            <w:r w:rsidR="00A275FE" w:rsidRPr="008C60D7">
              <w:rPr>
                <w:sz w:val="20"/>
              </w:rPr>
              <w:t>свој</w:t>
            </w:r>
            <w:proofErr w:type="spellEnd"/>
            <w:r w:rsidR="00A275FE" w:rsidRPr="008C60D7">
              <w:rPr>
                <w:sz w:val="20"/>
              </w:rPr>
              <w:t xml:space="preserve"> </w:t>
            </w:r>
            <w:proofErr w:type="spellStart"/>
            <w:r w:rsidR="00A275FE" w:rsidRPr="008C60D7">
              <w:rPr>
                <w:sz w:val="20"/>
              </w:rPr>
              <w:t>уку</w:t>
            </w:r>
            <w:r>
              <w:rPr>
                <w:sz w:val="20"/>
              </w:rPr>
              <w:t>пан</w:t>
            </w:r>
            <w:proofErr w:type="spellEnd"/>
            <w:r>
              <w:rPr>
                <w:sz w:val="20"/>
              </w:rPr>
              <w:t xml:space="preserve"> </w:t>
            </w:r>
            <w:proofErr w:type="spellStart"/>
            <w:r>
              <w:rPr>
                <w:sz w:val="20"/>
              </w:rPr>
              <w:t>износ</w:t>
            </w:r>
            <w:proofErr w:type="spellEnd"/>
            <w:r>
              <w:rPr>
                <w:sz w:val="20"/>
              </w:rPr>
              <w:t xml:space="preserve"> </w:t>
            </w:r>
            <w:proofErr w:type="spellStart"/>
            <w:r>
              <w:rPr>
                <w:sz w:val="20"/>
              </w:rPr>
              <w:t>кроз</w:t>
            </w:r>
            <w:proofErr w:type="spellEnd"/>
            <w:r>
              <w:rPr>
                <w:sz w:val="20"/>
              </w:rPr>
              <w:t xml:space="preserve"> </w:t>
            </w:r>
            <w:proofErr w:type="spellStart"/>
            <w:r>
              <w:rPr>
                <w:sz w:val="20"/>
              </w:rPr>
              <w:t>ребаланс</w:t>
            </w:r>
            <w:proofErr w:type="spellEnd"/>
            <w:r>
              <w:rPr>
                <w:sz w:val="20"/>
              </w:rPr>
              <w:t xml:space="preserve"> </w:t>
            </w:r>
            <w:proofErr w:type="spellStart"/>
            <w:r>
              <w:rPr>
                <w:sz w:val="20"/>
              </w:rPr>
              <w:t>буџета</w:t>
            </w:r>
            <w:proofErr w:type="spellEnd"/>
            <w:r>
              <w:rPr>
                <w:sz w:val="20"/>
              </w:rPr>
              <w:t>.</w:t>
            </w:r>
          </w:p>
          <w:p w14:paraId="63FAE94E" w14:textId="77777777" w:rsidR="002367EC" w:rsidRPr="002367EC" w:rsidRDefault="002367EC" w:rsidP="002367EC">
            <w:pPr>
              <w:rPr>
                <w:sz w:val="20"/>
                <w:lang w:val="sr-Cyrl-RS"/>
              </w:rPr>
            </w:pPr>
            <w:r>
              <w:rPr>
                <w:sz w:val="20"/>
                <w:lang w:val="sr-Cyrl-RS"/>
              </w:rPr>
              <w:t>3</w:t>
            </w:r>
            <w:r w:rsidRPr="00146C5F">
              <w:rPr>
                <w:sz w:val="20"/>
                <w:lang w:val="sr-Cyrl-RS"/>
              </w:rPr>
              <w:t>. Само једна ЈЛС доставила је податке о износима капиталних улагања кроз први план и кроз ребаланс.</w:t>
            </w:r>
          </w:p>
          <w:p w14:paraId="2BD53C5D" w14:textId="77777777" w:rsidR="00076507" w:rsidRPr="00A275FE" w:rsidRDefault="002367EC" w:rsidP="002367EC">
            <w:pPr>
              <w:rPr>
                <w:sz w:val="20"/>
              </w:rPr>
            </w:pPr>
            <w:r>
              <w:rPr>
                <w:sz w:val="20"/>
                <w:lang w:val="sr-Cyrl-RS"/>
              </w:rPr>
              <w:t>4.</w:t>
            </w:r>
            <w:r w:rsidR="00495770">
              <w:rPr>
                <w:sz w:val="20"/>
                <w:lang w:val="sr-Cyrl-RS"/>
              </w:rPr>
              <w:t xml:space="preserve"> </w:t>
            </w:r>
            <w:r>
              <w:rPr>
                <w:sz w:val="20"/>
                <w:lang w:val="sr-Cyrl-RS"/>
              </w:rPr>
              <w:t>К</w:t>
            </w:r>
            <w:proofErr w:type="spellStart"/>
            <w:r w:rsidR="00A275FE" w:rsidRPr="008C60D7">
              <w:rPr>
                <w:sz w:val="20"/>
              </w:rPr>
              <w:t>од</w:t>
            </w:r>
            <w:proofErr w:type="spellEnd"/>
            <w:r w:rsidR="00A275FE" w:rsidRPr="008C60D7">
              <w:rPr>
                <w:sz w:val="20"/>
              </w:rPr>
              <w:t xml:space="preserve"> </w:t>
            </w:r>
            <w:proofErr w:type="spellStart"/>
            <w:r w:rsidR="00A275FE" w:rsidRPr="008C60D7">
              <w:rPr>
                <w:sz w:val="20"/>
              </w:rPr>
              <w:t>двије</w:t>
            </w:r>
            <w:proofErr w:type="spellEnd"/>
            <w:r w:rsidR="00A275FE" w:rsidRPr="008C60D7">
              <w:rPr>
                <w:sz w:val="20"/>
              </w:rPr>
              <w:t xml:space="preserve"> ЈЛС</w:t>
            </w:r>
            <w:r w:rsidR="00A275FE">
              <w:rPr>
                <w:sz w:val="20"/>
                <w:lang w:val="sr-Cyrl-RS"/>
              </w:rPr>
              <w:t>,</w:t>
            </w:r>
            <w:r w:rsidR="00A275FE" w:rsidRPr="008C60D7">
              <w:rPr>
                <w:sz w:val="20"/>
              </w:rPr>
              <w:t xml:space="preserve"> </w:t>
            </w:r>
            <w:proofErr w:type="spellStart"/>
            <w:r w:rsidR="00A275FE" w:rsidRPr="008C60D7">
              <w:rPr>
                <w:sz w:val="20"/>
              </w:rPr>
              <w:t>упркос</w:t>
            </w:r>
            <w:proofErr w:type="spellEnd"/>
            <w:r w:rsidR="00A275FE" w:rsidRPr="008C60D7">
              <w:rPr>
                <w:sz w:val="20"/>
              </w:rPr>
              <w:t xml:space="preserve"> </w:t>
            </w:r>
            <w:proofErr w:type="spellStart"/>
            <w:r w:rsidR="00A275FE" w:rsidRPr="008C60D7">
              <w:rPr>
                <w:sz w:val="20"/>
              </w:rPr>
              <w:t>паду</w:t>
            </w:r>
            <w:proofErr w:type="spellEnd"/>
            <w:r w:rsidR="00A275FE" w:rsidRPr="008C60D7">
              <w:rPr>
                <w:sz w:val="20"/>
              </w:rPr>
              <w:t xml:space="preserve"> </w:t>
            </w:r>
            <w:proofErr w:type="spellStart"/>
            <w:r w:rsidR="00A275FE" w:rsidRPr="008C60D7">
              <w:rPr>
                <w:sz w:val="20"/>
              </w:rPr>
              <w:t>прихода</w:t>
            </w:r>
            <w:proofErr w:type="spellEnd"/>
            <w:r w:rsidR="00A275FE" w:rsidRPr="008C60D7">
              <w:rPr>
                <w:sz w:val="20"/>
              </w:rPr>
              <w:t xml:space="preserve">, </w:t>
            </w:r>
            <w:r w:rsidR="00A275FE">
              <w:rPr>
                <w:sz w:val="20"/>
                <w:lang w:val="sr-Cyrl-RS"/>
              </w:rPr>
              <w:t xml:space="preserve">износ за </w:t>
            </w:r>
            <w:proofErr w:type="spellStart"/>
            <w:r w:rsidR="00A275FE">
              <w:rPr>
                <w:sz w:val="20"/>
              </w:rPr>
              <w:t>капиталне</w:t>
            </w:r>
            <w:proofErr w:type="spellEnd"/>
            <w:r w:rsidR="00A275FE">
              <w:rPr>
                <w:sz w:val="20"/>
              </w:rPr>
              <w:t xml:space="preserve"> </w:t>
            </w:r>
            <w:proofErr w:type="spellStart"/>
            <w:r w:rsidR="00A275FE">
              <w:rPr>
                <w:sz w:val="20"/>
              </w:rPr>
              <w:t>инвестиције</w:t>
            </w:r>
            <w:proofErr w:type="spellEnd"/>
            <w:r w:rsidR="00A275FE" w:rsidRPr="008C60D7">
              <w:rPr>
                <w:sz w:val="20"/>
              </w:rPr>
              <w:t xml:space="preserve"> </w:t>
            </w:r>
            <w:proofErr w:type="spellStart"/>
            <w:r w:rsidR="00A275FE" w:rsidRPr="008C60D7">
              <w:rPr>
                <w:sz w:val="20"/>
              </w:rPr>
              <w:t>повећан</w:t>
            </w:r>
            <w:proofErr w:type="spellEnd"/>
            <w:r w:rsidR="00A275FE" w:rsidRPr="008C60D7">
              <w:rPr>
                <w:sz w:val="20"/>
              </w:rPr>
              <w:t xml:space="preserve"> </w:t>
            </w:r>
            <w:r w:rsidR="00A275FE">
              <w:rPr>
                <w:sz w:val="20"/>
                <w:lang w:val="sr-Cyrl-RS"/>
              </w:rPr>
              <w:t>је</w:t>
            </w:r>
            <w:r>
              <w:rPr>
                <w:sz w:val="20"/>
                <w:lang w:val="sr-Cyrl-RS"/>
              </w:rPr>
              <w:t xml:space="preserve"> кроз ребаланс буџета</w:t>
            </w:r>
            <w:r w:rsidR="00A275FE">
              <w:rPr>
                <w:sz w:val="20"/>
                <w:lang w:val="sr-Cyrl-RS"/>
              </w:rPr>
              <w:t xml:space="preserve"> </w:t>
            </w:r>
            <w:proofErr w:type="spellStart"/>
            <w:r w:rsidR="00A275FE" w:rsidRPr="008C60D7">
              <w:rPr>
                <w:sz w:val="20"/>
              </w:rPr>
              <w:t>за</w:t>
            </w:r>
            <w:proofErr w:type="spellEnd"/>
            <w:r w:rsidR="00A275FE" w:rsidRPr="008C60D7">
              <w:rPr>
                <w:sz w:val="20"/>
              </w:rPr>
              <w:t xml:space="preserve"> 2020. г</w:t>
            </w:r>
            <w:r w:rsidR="003E757C">
              <w:rPr>
                <w:sz w:val="20"/>
                <w:lang w:val="sr-Cyrl-RS"/>
              </w:rPr>
              <w:t>одине (према подацима до септембра)</w:t>
            </w:r>
            <w:r w:rsidR="00A275FE" w:rsidRPr="008C60D7">
              <w:rPr>
                <w:sz w:val="20"/>
              </w:rPr>
              <w:t>.</w:t>
            </w:r>
          </w:p>
        </w:tc>
      </w:tr>
      <w:tr w:rsidR="00661087" w14:paraId="50A21B33" w14:textId="77777777" w:rsidTr="00146C5F">
        <w:trPr>
          <w:trHeight w:val="2491"/>
        </w:trPr>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69CF7" w14:textId="77777777" w:rsidR="002367EC" w:rsidRDefault="002367EC" w:rsidP="00651996">
            <w:pPr>
              <w:rPr>
                <w:color w:val="000000"/>
                <w:sz w:val="20"/>
                <w:szCs w:val="22"/>
              </w:rPr>
            </w:pPr>
            <w:r>
              <w:rPr>
                <w:color w:val="000000"/>
                <w:sz w:val="20"/>
                <w:szCs w:val="22"/>
              </w:rPr>
              <w:t xml:space="preserve">        V</w:t>
            </w:r>
          </w:p>
          <w:p w14:paraId="00C0732C" w14:textId="77777777" w:rsidR="006C507F" w:rsidRDefault="00661087" w:rsidP="00651996">
            <w:pPr>
              <w:rPr>
                <w:color w:val="000000"/>
                <w:sz w:val="20"/>
                <w:szCs w:val="22"/>
              </w:rPr>
            </w:pP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који</w:t>
            </w:r>
            <w:proofErr w:type="spellEnd"/>
            <w:r w:rsidRPr="006E109A">
              <w:rPr>
                <w:color w:val="000000"/>
                <w:sz w:val="20"/>
                <w:szCs w:val="22"/>
              </w:rPr>
              <w:t xml:space="preserve"> </w:t>
            </w:r>
            <w:proofErr w:type="spellStart"/>
            <w:r w:rsidRPr="006E109A">
              <w:rPr>
                <w:color w:val="000000"/>
                <w:sz w:val="20"/>
                <w:szCs w:val="22"/>
              </w:rPr>
              <w:t>начин</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извршена</w:t>
            </w:r>
            <w:proofErr w:type="spellEnd"/>
            <w:r w:rsidRPr="006E109A">
              <w:rPr>
                <w:color w:val="000000"/>
                <w:sz w:val="20"/>
                <w:szCs w:val="22"/>
              </w:rPr>
              <w:t xml:space="preserve"> </w:t>
            </w:r>
            <w:proofErr w:type="spellStart"/>
            <w:r w:rsidRPr="006E109A">
              <w:rPr>
                <w:color w:val="000000"/>
                <w:sz w:val="20"/>
                <w:szCs w:val="22"/>
              </w:rPr>
              <w:t>редукција</w:t>
            </w:r>
            <w:proofErr w:type="spellEnd"/>
            <w:r w:rsidRPr="006E109A">
              <w:rPr>
                <w:color w:val="000000"/>
                <w:sz w:val="20"/>
                <w:szCs w:val="22"/>
              </w:rPr>
              <w:t xml:space="preserve"> </w:t>
            </w:r>
            <w:proofErr w:type="spellStart"/>
            <w:r w:rsidRPr="006E109A">
              <w:rPr>
                <w:color w:val="000000"/>
                <w:sz w:val="20"/>
                <w:szCs w:val="22"/>
              </w:rPr>
              <w:t>трошкова</w:t>
            </w:r>
            <w:proofErr w:type="spellEnd"/>
            <w:r w:rsidRPr="006E109A">
              <w:rPr>
                <w:color w:val="000000"/>
                <w:sz w:val="20"/>
                <w:szCs w:val="22"/>
              </w:rPr>
              <w:t>/</w:t>
            </w:r>
            <w:proofErr w:type="spellStart"/>
            <w:r w:rsidRPr="006E109A">
              <w:rPr>
                <w:color w:val="000000"/>
                <w:sz w:val="20"/>
                <w:szCs w:val="22"/>
              </w:rPr>
              <w:t>утврђивање</w:t>
            </w:r>
            <w:proofErr w:type="spellEnd"/>
            <w:r w:rsidRPr="006E109A">
              <w:rPr>
                <w:color w:val="000000"/>
                <w:sz w:val="20"/>
                <w:szCs w:val="22"/>
              </w:rPr>
              <w:t xml:space="preserve"> </w:t>
            </w:r>
            <w:proofErr w:type="spellStart"/>
            <w:r w:rsidRPr="006E109A">
              <w:rPr>
                <w:color w:val="000000"/>
                <w:sz w:val="20"/>
                <w:szCs w:val="22"/>
              </w:rPr>
              <w:t>приоритета</w:t>
            </w:r>
            <w:proofErr w:type="spellEnd"/>
            <w:r w:rsidRPr="006E109A">
              <w:rPr>
                <w:color w:val="000000"/>
                <w:sz w:val="20"/>
                <w:szCs w:val="22"/>
              </w:rPr>
              <w:t xml:space="preserve">, </w:t>
            </w:r>
            <w:proofErr w:type="spellStart"/>
            <w:r w:rsidRPr="006E109A">
              <w:rPr>
                <w:color w:val="000000"/>
                <w:sz w:val="20"/>
                <w:szCs w:val="22"/>
              </w:rPr>
              <w:t>због</w:t>
            </w:r>
            <w:proofErr w:type="spellEnd"/>
            <w:r w:rsidRPr="006E109A">
              <w:rPr>
                <w:color w:val="000000"/>
                <w:sz w:val="20"/>
                <w:szCs w:val="22"/>
              </w:rPr>
              <w:t xml:space="preserve"> </w:t>
            </w:r>
            <w:proofErr w:type="spellStart"/>
            <w:r w:rsidRPr="006E109A">
              <w:rPr>
                <w:color w:val="000000"/>
                <w:sz w:val="20"/>
                <w:szCs w:val="22"/>
              </w:rPr>
              <w:t>пада</w:t>
            </w:r>
            <w:proofErr w:type="spellEnd"/>
            <w:r w:rsidRPr="006E109A">
              <w:rPr>
                <w:color w:val="000000"/>
                <w:sz w:val="20"/>
                <w:szCs w:val="22"/>
              </w:rPr>
              <w:t xml:space="preserve"> </w:t>
            </w:r>
            <w:proofErr w:type="spellStart"/>
            <w:r w:rsidRPr="006E109A">
              <w:rPr>
                <w:color w:val="000000"/>
                <w:sz w:val="20"/>
                <w:szCs w:val="22"/>
              </w:rPr>
              <w:t>прихода</w:t>
            </w:r>
            <w:proofErr w:type="spellEnd"/>
            <w:r w:rsidRPr="006E109A">
              <w:rPr>
                <w:color w:val="000000"/>
                <w:sz w:val="20"/>
                <w:szCs w:val="22"/>
              </w:rPr>
              <w:t xml:space="preserve"> </w:t>
            </w:r>
            <w:proofErr w:type="spellStart"/>
            <w:r w:rsidRPr="006E109A">
              <w:rPr>
                <w:color w:val="000000"/>
                <w:sz w:val="20"/>
                <w:szCs w:val="22"/>
              </w:rPr>
              <w:t>изазваних</w:t>
            </w:r>
            <w:proofErr w:type="spellEnd"/>
            <w:r w:rsidRPr="006E109A">
              <w:rPr>
                <w:color w:val="000000"/>
                <w:sz w:val="20"/>
                <w:szCs w:val="22"/>
              </w:rPr>
              <w:t xml:space="preserve"> </w:t>
            </w:r>
            <w:proofErr w:type="spellStart"/>
            <w:r w:rsidRPr="006E109A">
              <w:rPr>
                <w:color w:val="000000"/>
                <w:sz w:val="20"/>
                <w:szCs w:val="22"/>
              </w:rPr>
              <w:t>дјеловањем</w:t>
            </w:r>
            <w:proofErr w:type="spellEnd"/>
            <w:r w:rsidRPr="006E109A">
              <w:rPr>
                <w:color w:val="000000"/>
                <w:sz w:val="20"/>
                <w:szCs w:val="22"/>
              </w:rPr>
              <w:t xml:space="preserve"> COVID-19?</w:t>
            </w:r>
            <w:r w:rsidR="006C507F">
              <w:rPr>
                <w:color w:val="000000"/>
                <w:sz w:val="20"/>
                <w:szCs w:val="22"/>
                <w:lang w:val="sr-Cyrl-RS"/>
              </w:rPr>
              <w:t xml:space="preserve"> </w:t>
            </w:r>
            <w:r w:rsidRPr="006E109A">
              <w:rPr>
                <w:color w:val="000000"/>
                <w:sz w:val="20"/>
                <w:szCs w:val="22"/>
              </w:rPr>
              <w:t xml:space="preserve"> </w:t>
            </w:r>
            <w:r w:rsidRPr="006E109A">
              <w:rPr>
                <w:color w:val="000000"/>
                <w:sz w:val="20"/>
                <w:szCs w:val="22"/>
              </w:rPr>
              <w:br/>
            </w:r>
            <w:proofErr w:type="spellStart"/>
            <w:r w:rsidRPr="006E109A">
              <w:rPr>
                <w:color w:val="000000"/>
                <w:sz w:val="20"/>
                <w:szCs w:val="22"/>
              </w:rPr>
              <w:t>Путем</w:t>
            </w:r>
            <w:proofErr w:type="spellEnd"/>
            <w:r w:rsidRPr="006E109A">
              <w:rPr>
                <w:color w:val="000000"/>
                <w:sz w:val="20"/>
                <w:szCs w:val="22"/>
              </w:rPr>
              <w:t xml:space="preserve"> </w:t>
            </w:r>
            <w:proofErr w:type="spellStart"/>
            <w:r w:rsidRPr="006E109A">
              <w:rPr>
                <w:color w:val="000000"/>
                <w:sz w:val="20"/>
                <w:szCs w:val="22"/>
              </w:rPr>
              <w:t>посебних</w:t>
            </w:r>
            <w:proofErr w:type="spellEnd"/>
            <w:r w:rsidRPr="006E109A">
              <w:rPr>
                <w:color w:val="000000"/>
                <w:sz w:val="20"/>
                <w:szCs w:val="22"/>
              </w:rPr>
              <w:t xml:space="preserve"> </w:t>
            </w:r>
            <w:proofErr w:type="spellStart"/>
            <w:r w:rsidRPr="006E109A">
              <w:rPr>
                <w:color w:val="000000"/>
                <w:sz w:val="20"/>
                <w:szCs w:val="22"/>
              </w:rPr>
              <w:t>инструкција</w:t>
            </w:r>
            <w:proofErr w:type="spellEnd"/>
            <w:r w:rsidRPr="006E109A">
              <w:rPr>
                <w:color w:val="000000"/>
                <w:sz w:val="20"/>
                <w:szCs w:val="22"/>
              </w:rPr>
              <w:t xml:space="preserve"> </w:t>
            </w:r>
            <w:proofErr w:type="spellStart"/>
            <w:r w:rsidRPr="006E109A">
              <w:rPr>
                <w:color w:val="000000"/>
                <w:sz w:val="20"/>
                <w:szCs w:val="22"/>
              </w:rPr>
              <w:t>начелника</w:t>
            </w:r>
            <w:proofErr w:type="spellEnd"/>
            <w:r w:rsidRPr="006E109A">
              <w:rPr>
                <w:color w:val="000000"/>
                <w:sz w:val="20"/>
                <w:szCs w:val="22"/>
              </w:rPr>
              <w:t xml:space="preserve">/ </w:t>
            </w:r>
            <w:proofErr w:type="spellStart"/>
            <w:r w:rsidRPr="006E109A">
              <w:rPr>
                <w:color w:val="000000"/>
                <w:sz w:val="20"/>
                <w:szCs w:val="22"/>
              </w:rPr>
              <w:t>градоначелника</w:t>
            </w:r>
            <w:proofErr w:type="spellEnd"/>
            <w:r w:rsidRPr="006E109A">
              <w:rPr>
                <w:color w:val="000000"/>
                <w:sz w:val="20"/>
                <w:szCs w:val="22"/>
              </w:rPr>
              <w:t xml:space="preserve">, </w:t>
            </w:r>
            <w:proofErr w:type="spellStart"/>
            <w:r w:rsidRPr="006E109A">
              <w:rPr>
                <w:color w:val="000000"/>
                <w:sz w:val="20"/>
                <w:szCs w:val="22"/>
              </w:rPr>
              <w:t>или</w:t>
            </w:r>
            <w:proofErr w:type="spellEnd"/>
            <w:r w:rsidRPr="006E109A">
              <w:rPr>
                <w:color w:val="000000"/>
                <w:sz w:val="20"/>
                <w:szCs w:val="22"/>
              </w:rPr>
              <w:t xml:space="preserve"> </w:t>
            </w:r>
            <w:proofErr w:type="spellStart"/>
            <w:r w:rsidRPr="006E109A">
              <w:rPr>
                <w:color w:val="000000"/>
                <w:sz w:val="20"/>
                <w:szCs w:val="22"/>
              </w:rPr>
              <w:t>само</w:t>
            </w:r>
            <w:proofErr w:type="spellEnd"/>
            <w:r w:rsidRPr="006E109A">
              <w:rPr>
                <w:color w:val="000000"/>
                <w:sz w:val="20"/>
                <w:szCs w:val="22"/>
              </w:rPr>
              <w:t xml:space="preserve"> </w:t>
            </w:r>
            <w:proofErr w:type="spellStart"/>
            <w:r w:rsidRPr="006E109A">
              <w:rPr>
                <w:color w:val="000000"/>
                <w:sz w:val="20"/>
                <w:szCs w:val="22"/>
              </w:rPr>
              <w:t>кроз</w:t>
            </w:r>
            <w:proofErr w:type="spellEnd"/>
            <w:r w:rsidRPr="006E109A">
              <w:rPr>
                <w:color w:val="000000"/>
                <w:sz w:val="20"/>
                <w:szCs w:val="22"/>
              </w:rPr>
              <w:t xml:space="preserve"> </w:t>
            </w:r>
            <w:proofErr w:type="spellStart"/>
            <w:r w:rsidRPr="006E109A">
              <w:rPr>
                <w:color w:val="000000"/>
                <w:sz w:val="20"/>
                <w:szCs w:val="22"/>
              </w:rPr>
              <w:t>ребаланс</w:t>
            </w:r>
            <w:proofErr w:type="spellEnd"/>
            <w:r w:rsidRPr="006E109A">
              <w:rPr>
                <w:color w:val="000000"/>
                <w:sz w:val="20"/>
                <w:szCs w:val="22"/>
              </w:rPr>
              <w:t xml:space="preserve"> </w:t>
            </w:r>
            <w:proofErr w:type="spellStart"/>
            <w:r w:rsidRPr="006E109A">
              <w:rPr>
                <w:color w:val="000000"/>
                <w:sz w:val="20"/>
                <w:szCs w:val="22"/>
              </w:rPr>
              <w:t>буџета</w:t>
            </w:r>
            <w:proofErr w:type="spellEnd"/>
            <w:r w:rsidRPr="006E109A">
              <w:rPr>
                <w:color w:val="000000"/>
                <w:sz w:val="20"/>
                <w:szCs w:val="22"/>
              </w:rPr>
              <w:t xml:space="preserve">, </w:t>
            </w:r>
            <w:proofErr w:type="spellStart"/>
            <w:r w:rsidRPr="006E109A">
              <w:rPr>
                <w:color w:val="000000"/>
                <w:sz w:val="20"/>
                <w:szCs w:val="22"/>
              </w:rPr>
              <w:t>ако</w:t>
            </w:r>
            <w:proofErr w:type="spellEnd"/>
            <w:r w:rsidRPr="006E109A">
              <w:rPr>
                <w:color w:val="000000"/>
                <w:sz w:val="20"/>
                <w:szCs w:val="22"/>
              </w:rPr>
              <w:t xml:space="preserve"> </w:t>
            </w:r>
            <w:proofErr w:type="spellStart"/>
            <w:r w:rsidRPr="006E109A">
              <w:rPr>
                <w:color w:val="000000"/>
                <w:sz w:val="20"/>
                <w:szCs w:val="22"/>
              </w:rPr>
              <w:t>га</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било</w:t>
            </w:r>
            <w:proofErr w:type="spellEnd"/>
            <w:r w:rsidRPr="006E109A">
              <w:rPr>
                <w:color w:val="000000"/>
                <w:sz w:val="20"/>
                <w:szCs w:val="22"/>
              </w:rPr>
              <w:t xml:space="preserve">, </w:t>
            </w:r>
            <w:proofErr w:type="spellStart"/>
            <w:r w:rsidRPr="006E109A">
              <w:rPr>
                <w:color w:val="000000"/>
                <w:sz w:val="20"/>
                <w:szCs w:val="22"/>
              </w:rPr>
              <w:t>или</w:t>
            </w:r>
            <w:proofErr w:type="spellEnd"/>
            <w:r w:rsidRPr="006E109A">
              <w:rPr>
                <w:color w:val="000000"/>
                <w:sz w:val="20"/>
                <w:szCs w:val="22"/>
              </w:rPr>
              <w:t xml:space="preserve"> </w:t>
            </w: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неки</w:t>
            </w:r>
            <w:proofErr w:type="spellEnd"/>
            <w:r w:rsidRPr="006E109A">
              <w:rPr>
                <w:color w:val="000000"/>
                <w:sz w:val="20"/>
                <w:szCs w:val="22"/>
              </w:rPr>
              <w:t xml:space="preserve"> </w:t>
            </w:r>
            <w:proofErr w:type="spellStart"/>
            <w:r w:rsidRPr="006E109A">
              <w:rPr>
                <w:color w:val="000000"/>
                <w:sz w:val="20"/>
                <w:szCs w:val="22"/>
              </w:rPr>
              <w:t>други</w:t>
            </w:r>
            <w:proofErr w:type="spellEnd"/>
            <w:r w:rsidRPr="006E109A">
              <w:rPr>
                <w:color w:val="000000"/>
                <w:sz w:val="20"/>
                <w:szCs w:val="22"/>
              </w:rPr>
              <w:t xml:space="preserve"> </w:t>
            </w:r>
            <w:proofErr w:type="spellStart"/>
            <w:r w:rsidRPr="006E109A">
              <w:rPr>
                <w:color w:val="000000"/>
                <w:sz w:val="20"/>
                <w:szCs w:val="22"/>
              </w:rPr>
              <w:t>начин</w:t>
            </w:r>
            <w:proofErr w:type="spellEnd"/>
            <w:r w:rsidRPr="006E109A">
              <w:rPr>
                <w:color w:val="000000"/>
                <w:sz w:val="20"/>
                <w:szCs w:val="22"/>
              </w:rPr>
              <w:t>?</w:t>
            </w:r>
            <w:r w:rsidRPr="006E109A">
              <w:rPr>
                <w:color w:val="000000"/>
                <w:sz w:val="20"/>
                <w:szCs w:val="22"/>
              </w:rPr>
              <w:br/>
            </w:r>
          </w:p>
          <w:p w14:paraId="720EFE60" w14:textId="77777777" w:rsidR="00661087" w:rsidRPr="006E109A" w:rsidRDefault="00661087" w:rsidP="00651996">
            <w:pPr>
              <w:rPr>
                <w:color w:val="000000"/>
                <w:sz w:val="20"/>
                <w:szCs w:val="22"/>
              </w:rPr>
            </w:pPr>
            <w:proofErr w:type="spellStart"/>
            <w:r w:rsidRPr="006E109A">
              <w:rPr>
                <w:color w:val="000000"/>
                <w:sz w:val="20"/>
                <w:szCs w:val="22"/>
              </w:rPr>
              <w:t>Навести</w:t>
            </w:r>
            <w:proofErr w:type="spellEnd"/>
            <w:r w:rsidRPr="006E109A">
              <w:rPr>
                <w:color w:val="000000"/>
                <w:sz w:val="20"/>
                <w:szCs w:val="22"/>
              </w:rPr>
              <w:t xml:space="preserve"> </w:t>
            </w:r>
            <w:proofErr w:type="spellStart"/>
            <w:r w:rsidRPr="006E109A">
              <w:rPr>
                <w:color w:val="000000"/>
                <w:sz w:val="20"/>
                <w:szCs w:val="22"/>
              </w:rPr>
              <w:t>буџетске</w:t>
            </w:r>
            <w:proofErr w:type="spellEnd"/>
            <w:r w:rsidRPr="006E109A">
              <w:rPr>
                <w:color w:val="000000"/>
                <w:sz w:val="20"/>
                <w:szCs w:val="22"/>
              </w:rPr>
              <w:t xml:space="preserve"> </w:t>
            </w:r>
            <w:proofErr w:type="spellStart"/>
            <w:r w:rsidRPr="006E109A">
              <w:rPr>
                <w:color w:val="000000"/>
                <w:sz w:val="20"/>
                <w:szCs w:val="22"/>
              </w:rPr>
              <w:t>позиције</w:t>
            </w:r>
            <w:proofErr w:type="spellEnd"/>
            <w:r w:rsidRPr="006E109A">
              <w:rPr>
                <w:color w:val="000000"/>
                <w:sz w:val="20"/>
                <w:szCs w:val="22"/>
              </w:rPr>
              <w:t xml:space="preserve">  </w:t>
            </w:r>
            <w:proofErr w:type="spellStart"/>
            <w:r w:rsidRPr="006E109A">
              <w:rPr>
                <w:color w:val="000000"/>
                <w:sz w:val="20"/>
                <w:szCs w:val="22"/>
              </w:rPr>
              <w:t>које</w:t>
            </w:r>
            <w:proofErr w:type="spellEnd"/>
            <w:r w:rsidRPr="006E109A">
              <w:rPr>
                <w:color w:val="000000"/>
                <w:sz w:val="20"/>
                <w:szCs w:val="22"/>
              </w:rPr>
              <w:t xml:space="preserve"> </w:t>
            </w:r>
            <w:proofErr w:type="spellStart"/>
            <w:r w:rsidRPr="006E109A">
              <w:rPr>
                <w:color w:val="000000"/>
                <w:sz w:val="20"/>
                <w:szCs w:val="22"/>
              </w:rPr>
              <w:t>су</w:t>
            </w:r>
            <w:proofErr w:type="spellEnd"/>
            <w:r w:rsidRPr="006E109A">
              <w:rPr>
                <w:color w:val="000000"/>
                <w:sz w:val="20"/>
                <w:szCs w:val="22"/>
              </w:rPr>
              <w:t xml:space="preserve"> </w:t>
            </w:r>
            <w:proofErr w:type="spellStart"/>
            <w:r w:rsidRPr="006E109A">
              <w:rPr>
                <w:color w:val="000000"/>
                <w:sz w:val="20"/>
                <w:szCs w:val="22"/>
              </w:rPr>
              <w:t>претрпјеле</w:t>
            </w:r>
            <w:proofErr w:type="spellEnd"/>
            <w:r w:rsidRPr="006E109A">
              <w:rPr>
                <w:color w:val="000000"/>
                <w:sz w:val="20"/>
                <w:szCs w:val="22"/>
              </w:rPr>
              <w:t xml:space="preserve"> </w:t>
            </w:r>
            <w:proofErr w:type="spellStart"/>
            <w:r w:rsidRPr="006E109A">
              <w:rPr>
                <w:color w:val="000000"/>
                <w:sz w:val="20"/>
                <w:szCs w:val="22"/>
              </w:rPr>
              <w:t>највеће</w:t>
            </w:r>
            <w:proofErr w:type="spellEnd"/>
            <w:r w:rsidRPr="006E109A">
              <w:rPr>
                <w:color w:val="000000"/>
                <w:sz w:val="20"/>
                <w:szCs w:val="22"/>
              </w:rPr>
              <w:t xml:space="preserve"> </w:t>
            </w:r>
            <w:proofErr w:type="spellStart"/>
            <w:r w:rsidRPr="006E109A">
              <w:rPr>
                <w:color w:val="000000"/>
                <w:sz w:val="20"/>
                <w:szCs w:val="22"/>
              </w:rPr>
              <w:t>смањење</w:t>
            </w:r>
            <w:proofErr w:type="spellEnd"/>
            <w:r w:rsidRPr="006E109A">
              <w:rPr>
                <w:color w:val="000000"/>
                <w:sz w:val="20"/>
                <w:szCs w:val="22"/>
              </w:rPr>
              <w:t xml:space="preserve"> у </w:t>
            </w:r>
            <w:proofErr w:type="spellStart"/>
            <w:r w:rsidRPr="006E109A">
              <w:rPr>
                <w:color w:val="000000"/>
                <w:sz w:val="20"/>
                <w:szCs w:val="22"/>
              </w:rPr>
              <w:t>односу</w:t>
            </w:r>
            <w:proofErr w:type="spellEnd"/>
            <w:r w:rsidRPr="006E109A">
              <w:rPr>
                <w:color w:val="000000"/>
                <w:sz w:val="20"/>
                <w:szCs w:val="22"/>
              </w:rPr>
              <w:t xml:space="preserve"> </w:t>
            </w: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почетни</w:t>
            </w:r>
            <w:proofErr w:type="spellEnd"/>
            <w:r w:rsidRPr="006E109A">
              <w:rPr>
                <w:color w:val="000000"/>
                <w:sz w:val="20"/>
                <w:szCs w:val="22"/>
              </w:rPr>
              <w:t xml:space="preserve"> </w:t>
            </w:r>
            <w:proofErr w:type="spellStart"/>
            <w:r w:rsidRPr="006E109A">
              <w:rPr>
                <w:color w:val="000000"/>
                <w:sz w:val="20"/>
                <w:szCs w:val="22"/>
              </w:rPr>
              <w:t>буџет</w:t>
            </w:r>
            <w:proofErr w:type="spellEnd"/>
            <w:r w:rsidRPr="006E109A">
              <w:rPr>
                <w:color w:val="000000"/>
                <w:sz w:val="20"/>
                <w:szCs w:val="22"/>
              </w:rPr>
              <w:t xml:space="preserve">, а </w:t>
            </w:r>
            <w:proofErr w:type="spellStart"/>
            <w:r w:rsidRPr="006E109A">
              <w:rPr>
                <w:color w:val="000000"/>
                <w:sz w:val="20"/>
                <w:szCs w:val="22"/>
              </w:rPr>
              <w:t>због</w:t>
            </w:r>
            <w:proofErr w:type="spellEnd"/>
            <w:r w:rsidRPr="006E109A">
              <w:rPr>
                <w:color w:val="000000"/>
                <w:sz w:val="20"/>
                <w:szCs w:val="22"/>
              </w:rPr>
              <w:t xml:space="preserve"> </w:t>
            </w:r>
            <w:proofErr w:type="spellStart"/>
            <w:r w:rsidRPr="006E109A">
              <w:rPr>
                <w:color w:val="000000"/>
                <w:sz w:val="20"/>
                <w:szCs w:val="22"/>
              </w:rPr>
              <w:t>пандемије</w:t>
            </w:r>
            <w:proofErr w:type="spellEnd"/>
            <w:r w:rsidRPr="006E109A">
              <w:rPr>
                <w:color w:val="000000"/>
                <w:sz w:val="20"/>
                <w:szCs w:val="22"/>
              </w:rPr>
              <w:t xml:space="preserve"> COVID-19 (</w:t>
            </w:r>
            <w:proofErr w:type="spellStart"/>
            <w:r w:rsidRPr="006E109A">
              <w:rPr>
                <w:color w:val="000000"/>
                <w:sz w:val="20"/>
                <w:szCs w:val="22"/>
              </w:rPr>
              <w:t>навести</w:t>
            </w:r>
            <w:proofErr w:type="spellEnd"/>
            <w:r w:rsidRPr="006E109A">
              <w:rPr>
                <w:color w:val="000000"/>
                <w:sz w:val="20"/>
                <w:szCs w:val="22"/>
              </w:rPr>
              <w:t xml:space="preserve"> </w:t>
            </w:r>
            <w:proofErr w:type="spellStart"/>
            <w:r w:rsidRPr="006E109A">
              <w:rPr>
                <w:color w:val="000000"/>
                <w:sz w:val="20"/>
                <w:szCs w:val="22"/>
              </w:rPr>
              <w:t>износе</w:t>
            </w:r>
            <w:proofErr w:type="spellEnd"/>
            <w:r w:rsidRPr="006E109A">
              <w:rPr>
                <w:color w:val="000000"/>
                <w:sz w:val="20"/>
                <w:szCs w:val="22"/>
              </w:rPr>
              <w:t xml:space="preserve"> </w:t>
            </w:r>
            <w:proofErr w:type="spellStart"/>
            <w:r w:rsidRPr="006E109A">
              <w:rPr>
                <w:color w:val="000000"/>
                <w:sz w:val="20"/>
                <w:szCs w:val="22"/>
              </w:rPr>
              <w:t>по</w:t>
            </w:r>
            <w:proofErr w:type="spellEnd"/>
            <w:r w:rsidRPr="006E109A">
              <w:rPr>
                <w:color w:val="000000"/>
                <w:sz w:val="20"/>
                <w:szCs w:val="22"/>
              </w:rPr>
              <w:t xml:space="preserve"> </w:t>
            </w:r>
            <w:proofErr w:type="spellStart"/>
            <w:r w:rsidRPr="006E109A">
              <w:rPr>
                <w:color w:val="000000"/>
                <w:sz w:val="20"/>
                <w:szCs w:val="22"/>
              </w:rPr>
              <w:t>позицијама</w:t>
            </w:r>
            <w:proofErr w:type="spellEnd"/>
            <w:r w:rsidRPr="006E109A">
              <w:rPr>
                <w:color w:val="000000"/>
                <w:sz w:val="20"/>
                <w:szCs w:val="22"/>
              </w:rPr>
              <w:t>).</w:t>
            </w:r>
          </w:p>
        </w:tc>
        <w:tc>
          <w:tcPr>
            <w:tcW w:w="5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1AD33" w14:textId="77777777" w:rsidR="00A275FE" w:rsidRPr="008C60D7" w:rsidRDefault="00651996" w:rsidP="00651996">
            <w:pPr>
              <w:rPr>
                <w:sz w:val="20"/>
              </w:rPr>
            </w:pPr>
            <w:r>
              <w:rPr>
                <w:sz w:val="20"/>
              </w:rPr>
              <w:t xml:space="preserve">1. </w:t>
            </w:r>
            <w:r w:rsidR="00854CB1">
              <w:rPr>
                <w:sz w:val="20"/>
                <w:lang w:val="sr-Cyrl-RS"/>
              </w:rPr>
              <w:t>Већина</w:t>
            </w:r>
            <w:r w:rsidR="00854CB1">
              <w:rPr>
                <w:sz w:val="20"/>
              </w:rPr>
              <w:t xml:space="preserve"> </w:t>
            </w:r>
            <w:proofErr w:type="spellStart"/>
            <w:r w:rsidR="00854CB1">
              <w:rPr>
                <w:sz w:val="20"/>
              </w:rPr>
              <w:t>анкетираних</w:t>
            </w:r>
            <w:proofErr w:type="spellEnd"/>
            <w:r w:rsidR="00854CB1">
              <w:rPr>
                <w:sz w:val="20"/>
              </w:rPr>
              <w:t xml:space="preserve"> ЈЛС </w:t>
            </w:r>
            <w:proofErr w:type="spellStart"/>
            <w:r w:rsidR="00854CB1">
              <w:rPr>
                <w:sz w:val="20"/>
              </w:rPr>
              <w:t>донијеле</w:t>
            </w:r>
            <w:proofErr w:type="spellEnd"/>
            <w:r w:rsidR="00A275FE" w:rsidRPr="008C60D7">
              <w:rPr>
                <w:sz w:val="20"/>
              </w:rPr>
              <w:t xml:space="preserve"> </w:t>
            </w:r>
            <w:proofErr w:type="spellStart"/>
            <w:r w:rsidR="00A275FE" w:rsidRPr="008C60D7">
              <w:rPr>
                <w:sz w:val="20"/>
              </w:rPr>
              <w:t>су</w:t>
            </w:r>
            <w:proofErr w:type="spellEnd"/>
            <w:r w:rsidR="00A275FE" w:rsidRPr="008C60D7">
              <w:rPr>
                <w:sz w:val="20"/>
              </w:rPr>
              <w:t xml:space="preserve"> </w:t>
            </w:r>
            <w:proofErr w:type="spellStart"/>
            <w:r w:rsidR="00A275FE" w:rsidRPr="008C60D7">
              <w:rPr>
                <w:sz w:val="20"/>
              </w:rPr>
              <w:t>неки</w:t>
            </w:r>
            <w:proofErr w:type="spellEnd"/>
            <w:r w:rsidR="00A275FE" w:rsidRPr="008C60D7">
              <w:rPr>
                <w:sz w:val="20"/>
              </w:rPr>
              <w:t xml:space="preserve"> </w:t>
            </w:r>
            <w:proofErr w:type="spellStart"/>
            <w:r w:rsidR="00A275FE" w:rsidRPr="008C60D7">
              <w:rPr>
                <w:sz w:val="20"/>
              </w:rPr>
              <w:t>облик</w:t>
            </w:r>
            <w:proofErr w:type="spellEnd"/>
            <w:r w:rsidR="00A275FE" w:rsidRPr="008C60D7">
              <w:rPr>
                <w:sz w:val="20"/>
              </w:rPr>
              <w:t xml:space="preserve"> </w:t>
            </w:r>
            <w:proofErr w:type="spellStart"/>
            <w:r w:rsidR="00A275FE" w:rsidRPr="008C60D7">
              <w:rPr>
                <w:sz w:val="20"/>
              </w:rPr>
              <w:t>акта</w:t>
            </w:r>
            <w:proofErr w:type="spellEnd"/>
            <w:r w:rsidR="00A275FE" w:rsidRPr="008C60D7">
              <w:rPr>
                <w:sz w:val="20"/>
              </w:rPr>
              <w:t xml:space="preserve">, </w:t>
            </w:r>
            <w:proofErr w:type="spellStart"/>
            <w:r w:rsidR="00A275FE" w:rsidRPr="008C60D7">
              <w:rPr>
                <w:sz w:val="20"/>
              </w:rPr>
              <w:t>којим</w:t>
            </w:r>
            <w:proofErr w:type="spellEnd"/>
            <w:r w:rsidR="00A275FE" w:rsidRPr="008C60D7">
              <w:rPr>
                <w:sz w:val="20"/>
              </w:rPr>
              <w:t xml:space="preserve"> </w:t>
            </w:r>
            <w:proofErr w:type="spellStart"/>
            <w:r w:rsidR="00A275FE" w:rsidRPr="008C60D7">
              <w:rPr>
                <w:sz w:val="20"/>
              </w:rPr>
              <w:t>је</w:t>
            </w:r>
            <w:proofErr w:type="spellEnd"/>
            <w:r w:rsidR="00A275FE" w:rsidRPr="008C60D7">
              <w:rPr>
                <w:sz w:val="20"/>
              </w:rPr>
              <w:t xml:space="preserve"> </w:t>
            </w:r>
            <w:proofErr w:type="spellStart"/>
            <w:r w:rsidR="00A275FE" w:rsidRPr="008C60D7">
              <w:rPr>
                <w:sz w:val="20"/>
              </w:rPr>
              <w:t>извршена</w:t>
            </w:r>
            <w:proofErr w:type="spellEnd"/>
            <w:r w:rsidR="00A275FE" w:rsidRPr="008C60D7">
              <w:rPr>
                <w:sz w:val="20"/>
              </w:rPr>
              <w:t xml:space="preserve"> </w:t>
            </w:r>
            <w:proofErr w:type="spellStart"/>
            <w:r w:rsidR="00A275FE" w:rsidRPr="008C60D7">
              <w:rPr>
                <w:sz w:val="20"/>
              </w:rPr>
              <w:t>редукција</w:t>
            </w:r>
            <w:proofErr w:type="spellEnd"/>
            <w:r w:rsidR="00A275FE" w:rsidRPr="008C60D7">
              <w:rPr>
                <w:sz w:val="20"/>
              </w:rPr>
              <w:t xml:space="preserve"> и/</w:t>
            </w:r>
            <w:proofErr w:type="spellStart"/>
            <w:r w:rsidR="00A275FE" w:rsidRPr="008C60D7">
              <w:rPr>
                <w:sz w:val="20"/>
              </w:rPr>
              <w:t>или</w:t>
            </w:r>
            <w:proofErr w:type="spellEnd"/>
            <w:r w:rsidR="00A275FE" w:rsidRPr="008C60D7">
              <w:rPr>
                <w:sz w:val="20"/>
              </w:rPr>
              <w:t xml:space="preserve"> </w:t>
            </w:r>
            <w:proofErr w:type="spellStart"/>
            <w:r w:rsidR="00A275FE" w:rsidRPr="008C60D7">
              <w:rPr>
                <w:sz w:val="20"/>
              </w:rPr>
              <w:t>утврђени</w:t>
            </w:r>
            <w:proofErr w:type="spellEnd"/>
            <w:r w:rsidR="00A275FE" w:rsidRPr="008C60D7">
              <w:rPr>
                <w:sz w:val="20"/>
              </w:rPr>
              <w:t xml:space="preserve"> </w:t>
            </w:r>
            <w:proofErr w:type="spellStart"/>
            <w:r w:rsidR="00A275FE" w:rsidRPr="008C60D7">
              <w:rPr>
                <w:sz w:val="20"/>
              </w:rPr>
              <w:t>приоритети</w:t>
            </w:r>
            <w:proofErr w:type="spellEnd"/>
            <w:r w:rsidR="00A275FE" w:rsidRPr="008C60D7">
              <w:rPr>
                <w:sz w:val="20"/>
              </w:rPr>
              <w:t>:</w:t>
            </w:r>
          </w:p>
          <w:p w14:paraId="269E5A5E" w14:textId="77777777" w:rsidR="00A275FE" w:rsidRPr="008C60D7" w:rsidRDefault="00A275FE" w:rsidP="00651996">
            <w:pPr>
              <w:rPr>
                <w:sz w:val="20"/>
              </w:rPr>
            </w:pPr>
            <w:r w:rsidRPr="008C60D7">
              <w:rPr>
                <w:sz w:val="20"/>
              </w:rPr>
              <w:t>-</w:t>
            </w:r>
            <w:proofErr w:type="spellStart"/>
            <w:r w:rsidRPr="008C60D7">
              <w:rPr>
                <w:sz w:val="20"/>
              </w:rPr>
              <w:t>акт</w:t>
            </w:r>
            <w:proofErr w:type="spellEnd"/>
            <w:r w:rsidRPr="008C60D7">
              <w:rPr>
                <w:sz w:val="20"/>
              </w:rPr>
              <w:t xml:space="preserve"> </w:t>
            </w:r>
            <w:proofErr w:type="spellStart"/>
            <w:r w:rsidRPr="008C60D7">
              <w:rPr>
                <w:sz w:val="20"/>
              </w:rPr>
              <w:t>градоначелника</w:t>
            </w:r>
            <w:proofErr w:type="spellEnd"/>
            <w:r w:rsidRPr="008C60D7">
              <w:rPr>
                <w:sz w:val="20"/>
              </w:rPr>
              <w:t>/</w:t>
            </w:r>
            <w:proofErr w:type="spellStart"/>
            <w:r w:rsidRPr="008C60D7">
              <w:rPr>
                <w:sz w:val="20"/>
              </w:rPr>
              <w:t>начелника</w:t>
            </w:r>
            <w:proofErr w:type="spellEnd"/>
            <w:r w:rsidRPr="008C60D7">
              <w:rPr>
                <w:sz w:val="20"/>
              </w:rPr>
              <w:t>,</w:t>
            </w:r>
          </w:p>
          <w:p w14:paraId="23FD7DA6" w14:textId="77777777" w:rsidR="00A275FE" w:rsidRPr="00854CB1" w:rsidRDefault="00854CB1" w:rsidP="00651996">
            <w:pPr>
              <w:rPr>
                <w:sz w:val="20"/>
                <w:lang w:val="sr-Cyrl-RS"/>
              </w:rPr>
            </w:pPr>
            <w:r>
              <w:rPr>
                <w:sz w:val="20"/>
              </w:rPr>
              <w:t>-</w:t>
            </w:r>
            <w:proofErr w:type="spellStart"/>
            <w:r>
              <w:rPr>
                <w:sz w:val="20"/>
              </w:rPr>
              <w:t>акт</w:t>
            </w:r>
            <w:proofErr w:type="spellEnd"/>
            <w:r w:rsidR="00F92756">
              <w:rPr>
                <w:sz w:val="20"/>
                <w:lang w:val="sr-Cyrl-RS"/>
              </w:rPr>
              <w:t xml:space="preserve"> (упутства, наредбе и сл.)</w:t>
            </w:r>
            <w:r>
              <w:rPr>
                <w:sz w:val="20"/>
              </w:rPr>
              <w:t xml:space="preserve"> о </w:t>
            </w:r>
            <w:proofErr w:type="spellStart"/>
            <w:r>
              <w:rPr>
                <w:sz w:val="20"/>
              </w:rPr>
              <w:t>рационализацији</w:t>
            </w:r>
            <w:proofErr w:type="spellEnd"/>
            <w:r>
              <w:rPr>
                <w:sz w:val="20"/>
              </w:rPr>
              <w:t xml:space="preserve"> </w:t>
            </w:r>
            <w:proofErr w:type="spellStart"/>
            <w:r>
              <w:rPr>
                <w:sz w:val="20"/>
              </w:rPr>
              <w:t>трошкова</w:t>
            </w:r>
            <w:proofErr w:type="spellEnd"/>
            <w:r>
              <w:rPr>
                <w:sz w:val="20"/>
                <w:lang w:val="sr-Cyrl-RS"/>
              </w:rPr>
              <w:t>.</w:t>
            </w:r>
          </w:p>
          <w:p w14:paraId="4ECA174E" w14:textId="77777777" w:rsidR="000F13B7" w:rsidRPr="00A275FE" w:rsidRDefault="00651996" w:rsidP="00651996">
            <w:pPr>
              <w:rPr>
                <w:sz w:val="20"/>
                <w:lang w:val="sr-Cyrl-RS"/>
              </w:rPr>
            </w:pPr>
            <w:r>
              <w:rPr>
                <w:sz w:val="20"/>
              </w:rPr>
              <w:t>2.</w:t>
            </w:r>
            <w:r w:rsidR="00A275FE">
              <w:rPr>
                <w:sz w:val="20"/>
              </w:rPr>
              <w:t>С</w:t>
            </w:r>
            <w:r w:rsidR="00A275FE" w:rsidRPr="008C60D7">
              <w:rPr>
                <w:sz w:val="20"/>
              </w:rPr>
              <w:t xml:space="preserve">ве </w:t>
            </w:r>
            <w:proofErr w:type="spellStart"/>
            <w:r w:rsidR="00A275FE" w:rsidRPr="008C60D7">
              <w:rPr>
                <w:sz w:val="20"/>
              </w:rPr>
              <w:t>анкетиране</w:t>
            </w:r>
            <w:proofErr w:type="spellEnd"/>
            <w:r w:rsidR="00A275FE" w:rsidRPr="008C60D7">
              <w:rPr>
                <w:sz w:val="20"/>
              </w:rPr>
              <w:t xml:space="preserve"> ЈЛС </w:t>
            </w:r>
            <w:proofErr w:type="spellStart"/>
            <w:r w:rsidR="00A275FE" w:rsidRPr="008C60D7">
              <w:rPr>
                <w:sz w:val="20"/>
              </w:rPr>
              <w:t>усвојиле</w:t>
            </w:r>
            <w:proofErr w:type="spellEnd"/>
            <w:r w:rsidR="00A275FE" w:rsidRPr="008C60D7">
              <w:rPr>
                <w:sz w:val="20"/>
              </w:rPr>
              <w:t xml:space="preserve"> </w:t>
            </w:r>
            <w:proofErr w:type="spellStart"/>
            <w:r w:rsidR="00A275FE" w:rsidRPr="008C60D7">
              <w:rPr>
                <w:sz w:val="20"/>
              </w:rPr>
              <w:t>су</w:t>
            </w:r>
            <w:proofErr w:type="spellEnd"/>
            <w:r w:rsidR="00A275FE" w:rsidRPr="008C60D7">
              <w:rPr>
                <w:sz w:val="20"/>
              </w:rPr>
              <w:t xml:space="preserve"> </w:t>
            </w:r>
            <w:proofErr w:type="spellStart"/>
            <w:r w:rsidR="00A275FE" w:rsidRPr="008C60D7">
              <w:rPr>
                <w:sz w:val="20"/>
              </w:rPr>
              <w:t>ребаланс</w:t>
            </w:r>
            <w:proofErr w:type="spellEnd"/>
            <w:r w:rsidR="00A275FE" w:rsidRPr="008C60D7">
              <w:rPr>
                <w:sz w:val="20"/>
              </w:rPr>
              <w:t xml:space="preserve"> </w:t>
            </w:r>
            <w:proofErr w:type="spellStart"/>
            <w:r w:rsidR="00A275FE" w:rsidRPr="008C60D7">
              <w:rPr>
                <w:sz w:val="20"/>
              </w:rPr>
              <w:t>буџета</w:t>
            </w:r>
            <w:proofErr w:type="spellEnd"/>
            <w:r w:rsidR="00A275FE" w:rsidRPr="008C60D7">
              <w:rPr>
                <w:sz w:val="20"/>
              </w:rPr>
              <w:t xml:space="preserve">, </w:t>
            </w:r>
            <w:proofErr w:type="spellStart"/>
            <w:r w:rsidR="00A275FE" w:rsidRPr="008C60D7">
              <w:rPr>
                <w:sz w:val="20"/>
              </w:rPr>
              <w:t>кроз</w:t>
            </w:r>
            <w:proofErr w:type="spellEnd"/>
            <w:r w:rsidR="00A275FE" w:rsidRPr="008C60D7">
              <w:rPr>
                <w:sz w:val="20"/>
              </w:rPr>
              <w:t xml:space="preserve"> </w:t>
            </w:r>
            <w:proofErr w:type="spellStart"/>
            <w:r w:rsidR="00A275FE" w:rsidRPr="008C60D7">
              <w:rPr>
                <w:sz w:val="20"/>
              </w:rPr>
              <w:t>који</w:t>
            </w:r>
            <w:proofErr w:type="spellEnd"/>
            <w:r w:rsidR="00A275FE" w:rsidRPr="008C60D7">
              <w:rPr>
                <w:sz w:val="20"/>
              </w:rPr>
              <w:t xml:space="preserve"> </w:t>
            </w:r>
            <w:proofErr w:type="spellStart"/>
            <w:r w:rsidR="00A275FE" w:rsidRPr="008C60D7">
              <w:rPr>
                <w:sz w:val="20"/>
              </w:rPr>
              <w:t>су</w:t>
            </w:r>
            <w:proofErr w:type="spellEnd"/>
            <w:r w:rsidR="00A275FE" w:rsidRPr="008C60D7">
              <w:rPr>
                <w:sz w:val="20"/>
              </w:rPr>
              <w:t xml:space="preserve"> </w:t>
            </w:r>
            <w:proofErr w:type="spellStart"/>
            <w:r w:rsidR="00A275FE" w:rsidRPr="008C60D7">
              <w:rPr>
                <w:sz w:val="20"/>
              </w:rPr>
              <w:t>највише</w:t>
            </w:r>
            <w:proofErr w:type="spellEnd"/>
            <w:r w:rsidR="00A275FE" w:rsidRPr="008C60D7">
              <w:rPr>
                <w:sz w:val="20"/>
              </w:rPr>
              <w:t xml:space="preserve"> </w:t>
            </w:r>
            <w:proofErr w:type="spellStart"/>
            <w:r w:rsidR="00A275FE" w:rsidRPr="008C60D7">
              <w:rPr>
                <w:sz w:val="20"/>
              </w:rPr>
              <w:t>смањење</w:t>
            </w:r>
            <w:proofErr w:type="spellEnd"/>
            <w:r w:rsidR="00A275FE" w:rsidRPr="008C60D7">
              <w:rPr>
                <w:sz w:val="20"/>
              </w:rPr>
              <w:t xml:space="preserve"> </w:t>
            </w:r>
            <w:proofErr w:type="spellStart"/>
            <w:r w:rsidR="00A275FE" w:rsidRPr="008C60D7">
              <w:rPr>
                <w:sz w:val="20"/>
              </w:rPr>
              <w:t>позиције</w:t>
            </w:r>
            <w:proofErr w:type="spellEnd"/>
            <w:r w:rsidR="00A275FE" w:rsidRPr="008C60D7">
              <w:rPr>
                <w:sz w:val="20"/>
              </w:rPr>
              <w:t xml:space="preserve"> </w:t>
            </w:r>
            <w:proofErr w:type="spellStart"/>
            <w:r w:rsidR="00A275FE" w:rsidRPr="008C60D7">
              <w:rPr>
                <w:sz w:val="20"/>
              </w:rPr>
              <w:t>расхода</w:t>
            </w:r>
            <w:proofErr w:type="spellEnd"/>
            <w:r w:rsidR="00A275FE" w:rsidRPr="008C60D7">
              <w:rPr>
                <w:sz w:val="20"/>
              </w:rPr>
              <w:t xml:space="preserve"> </w:t>
            </w:r>
            <w:proofErr w:type="spellStart"/>
            <w:r w:rsidR="00A275FE" w:rsidRPr="008C60D7">
              <w:rPr>
                <w:sz w:val="20"/>
              </w:rPr>
              <w:t>за</w:t>
            </w:r>
            <w:proofErr w:type="spellEnd"/>
            <w:r w:rsidR="00A275FE" w:rsidRPr="008C60D7">
              <w:rPr>
                <w:sz w:val="20"/>
              </w:rPr>
              <w:t>:</w:t>
            </w:r>
            <w:r w:rsidR="00A275FE">
              <w:rPr>
                <w:sz w:val="20"/>
                <w:lang w:val="sr-Cyrl-RS"/>
              </w:rPr>
              <w:t xml:space="preserve"> робе и услуге, путне трошкове, репрезентацију, грантове и друге расходе, у складу са утврђеним приоритетима.</w:t>
            </w:r>
          </w:p>
          <w:p w14:paraId="39ECE88C" w14:textId="77777777" w:rsidR="00A275FE" w:rsidRPr="0061226F" w:rsidRDefault="00A275FE" w:rsidP="00A275FE">
            <w:pPr>
              <w:jc w:val="both"/>
              <w:rPr>
                <w:color w:val="000000"/>
                <w:sz w:val="20"/>
                <w:szCs w:val="22"/>
                <w:lang w:val="sr-Cyrl-RS"/>
              </w:rPr>
            </w:pPr>
          </w:p>
        </w:tc>
      </w:tr>
      <w:tr w:rsidR="00661087" w14:paraId="0C481451" w14:textId="77777777" w:rsidTr="00146C5F">
        <w:trPr>
          <w:trHeight w:val="4666"/>
        </w:trPr>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A5348" w14:textId="77777777" w:rsidR="002367EC" w:rsidRDefault="002367EC" w:rsidP="00302BF6">
            <w:pPr>
              <w:jc w:val="both"/>
              <w:rPr>
                <w:color w:val="000000"/>
                <w:sz w:val="20"/>
                <w:szCs w:val="22"/>
              </w:rPr>
            </w:pPr>
            <w:r>
              <w:rPr>
                <w:color w:val="000000"/>
                <w:sz w:val="20"/>
                <w:szCs w:val="22"/>
              </w:rPr>
              <w:lastRenderedPageBreak/>
              <w:t xml:space="preserve">        VI      </w:t>
            </w:r>
          </w:p>
          <w:p w14:paraId="1F59F69B" w14:textId="77777777" w:rsidR="00BC57D1" w:rsidRDefault="00661087" w:rsidP="00040953">
            <w:pPr>
              <w:rPr>
                <w:color w:val="000000"/>
                <w:sz w:val="20"/>
                <w:szCs w:val="22"/>
              </w:rPr>
            </w:pP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који</w:t>
            </w:r>
            <w:proofErr w:type="spellEnd"/>
            <w:r w:rsidRPr="006E109A">
              <w:rPr>
                <w:color w:val="000000"/>
                <w:sz w:val="20"/>
                <w:szCs w:val="22"/>
              </w:rPr>
              <w:t xml:space="preserve"> </w:t>
            </w:r>
            <w:proofErr w:type="spellStart"/>
            <w:r w:rsidRPr="006E109A">
              <w:rPr>
                <w:color w:val="000000"/>
                <w:sz w:val="20"/>
                <w:szCs w:val="22"/>
              </w:rPr>
              <w:t>начин</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пружена</w:t>
            </w:r>
            <w:proofErr w:type="spellEnd"/>
            <w:r w:rsidRPr="006E109A">
              <w:rPr>
                <w:color w:val="000000"/>
                <w:sz w:val="20"/>
                <w:szCs w:val="22"/>
              </w:rPr>
              <w:t xml:space="preserve"> </w:t>
            </w:r>
            <w:proofErr w:type="spellStart"/>
            <w:r w:rsidRPr="006E109A">
              <w:rPr>
                <w:color w:val="000000"/>
                <w:sz w:val="20"/>
                <w:szCs w:val="22"/>
              </w:rPr>
              <w:t>помоћ</w:t>
            </w:r>
            <w:proofErr w:type="spellEnd"/>
            <w:r w:rsidRPr="006E109A">
              <w:rPr>
                <w:color w:val="000000"/>
                <w:sz w:val="20"/>
                <w:szCs w:val="22"/>
              </w:rPr>
              <w:t xml:space="preserve"> </w:t>
            </w:r>
            <w:proofErr w:type="spellStart"/>
            <w:r w:rsidRPr="006E109A">
              <w:rPr>
                <w:color w:val="000000"/>
                <w:sz w:val="20"/>
                <w:szCs w:val="22"/>
              </w:rPr>
              <w:t>привреди</w:t>
            </w:r>
            <w:proofErr w:type="spellEnd"/>
            <w:r w:rsidRPr="006E109A">
              <w:rPr>
                <w:color w:val="000000"/>
                <w:sz w:val="20"/>
                <w:szCs w:val="22"/>
              </w:rPr>
              <w:t xml:space="preserve">, </w:t>
            </w:r>
            <w:proofErr w:type="spellStart"/>
            <w:r w:rsidRPr="006E109A">
              <w:rPr>
                <w:color w:val="000000"/>
                <w:sz w:val="20"/>
                <w:szCs w:val="22"/>
              </w:rPr>
              <w:t>због</w:t>
            </w:r>
            <w:proofErr w:type="spellEnd"/>
            <w:r w:rsidRPr="006E109A">
              <w:rPr>
                <w:color w:val="000000"/>
                <w:sz w:val="20"/>
                <w:szCs w:val="22"/>
              </w:rPr>
              <w:t xml:space="preserve"> </w:t>
            </w:r>
            <w:proofErr w:type="spellStart"/>
            <w:r w:rsidRPr="006E109A">
              <w:rPr>
                <w:color w:val="000000"/>
                <w:sz w:val="20"/>
                <w:szCs w:val="22"/>
              </w:rPr>
              <w:t>дјеловања</w:t>
            </w:r>
            <w:proofErr w:type="spellEnd"/>
            <w:r w:rsidRPr="006E109A">
              <w:rPr>
                <w:color w:val="000000"/>
                <w:sz w:val="20"/>
                <w:szCs w:val="22"/>
              </w:rPr>
              <w:t xml:space="preserve"> COVID-19, </w:t>
            </w:r>
            <w:proofErr w:type="spellStart"/>
            <w:r w:rsidRPr="006E109A">
              <w:rPr>
                <w:color w:val="000000"/>
                <w:sz w:val="20"/>
                <w:szCs w:val="22"/>
              </w:rPr>
              <w:t>од</w:t>
            </w:r>
            <w:proofErr w:type="spellEnd"/>
            <w:r w:rsidRPr="006E109A">
              <w:rPr>
                <w:color w:val="000000"/>
                <w:sz w:val="20"/>
                <w:szCs w:val="22"/>
              </w:rPr>
              <w:t xml:space="preserve"> </w:t>
            </w:r>
            <w:proofErr w:type="spellStart"/>
            <w:r w:rsidRPr="006E109A">
              <w:rPr>
                <w:color w:val="000000"/>
                <w:sz w:val="20"/>
                <w:szCs w:val="22"/>
              </w:rPr>
              <w:t>стране</w:t>
            </w:r>
            <w:proofErr w:type="spellEnd"/>
            <w:r w:rsidRPr="006E109A">
              <w:rPr>
                <w:color w:val="000000"/>
                <w:sz w:val="20"/>
                <w:szCs w:val="22"/>
              </w:rPr>
              <w:t xml:space="preserve"> ЈЛС, </w:t>
            </w:r>
            <w:proofErr w:type="spellStart"/>
            <w:r w:rsidRPr="006E109A">
              <w:rPr>
                <w:color w:val="000000"/>
                <w:sz w:val="20"/>
                <w:szCs w:val="22"/>
              </w:rPr>
              <w:t>колики</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планирани</w:t>
            </w:r>
            <w:proofErr w:type="spellEnd"/>
            <w:r w:rsidRPr="006E109A">
              <w:rPr>
                <w:color w:val="000000"/>
                <w:sz w:val="20"/>
                <w:szCs w:val="22"/>
              </w:rPr>
              <w:t xml:space="preserve"> </w:t>
            </w:r>
            <w:proofErr w:type="spellStart"/>
            <w:r w:rsidRPr="006E109A">
              <w:rPr>
                <w:color w:val="000000"/>
                <w:sz w:val="20"/>
                <w:szCs w:val="22"/>
              </w:rPr>
              <w:t>износ</w:t>
            </w:r>
            <w:proofErr w:type="spellEnd"/>
            <w:r w:rsidRPr="006E109A">
              <w:rPr>
                <w:color w:val="000000"/>
                <w:sz w:val="20"/>
                <w:szCs w:val="22"/>
              </w:rPr>
              <w:t xml:space="preserve"> </w:t>
            </w:r>
            <w:proofErr w:type="spellStart"/>
            <w:r w:rsidRPr="006E109A">
              <w:rPr>
                <w:color w:val="000000"/>
                <w:sz w:val="20"/>
                <w:szCs w:val="22"/>
              </w:rPr>
              <w:t>ових</w:t>
            </w:r>
            <w:proofErr w:type="spellEnd"/>
            <w:r w:rsidRPr="006E109A">
              <w:rPr>
                <w:color w:val="000000"/>
                <w:sz w:val="20"/>
                <w:szCs w:val="22"/>
              </w:rPr>
              <w:t xml:space="preserve"> </w:t>
            </w:r>
            <w:proofErr w:type="spellStart"/>
            <w:r w:rsidRPr="006E109A">
              <w:rPr>
                <w:color w:val="000000"/>
                <w:sz w:val="20"/>
                <w:szCs w:val="22"/>
              </w:rPr>
              <w:t>изда</w:t>
            </w:r>
            <w:r w:rsidR="00651996">
              <w:rPr>
                <w:color w:val="000000"/>
                <w:sz w:val="20"/>
                <w:szCs w:val="22"/>
              </w:rPr>
              <w:t>така</w:t>
            </w:r>
            <w:proofErr w:type="spellEnd"/>
            <w:r w:rsidR="00651996">
              <w:rPr>
                <w:color w:val="000000"/>
                <w:sz w:val="20"/>
                <w:szCs w:val="22"/>
              </w:rPr>
              <w:t xml:space="preserve"> и </w:t>
            </w:r>
            <w:proofErr w:type="spellStart"/>
            <w:r w:rsidR="00651996">
              <w:rPr>
                <w:color w:val="000000"/>
                <w:sz w:val="20"/>
                <w:szCs w:val="22"/>
              </w:rPr>
              <w:t>расхода</w:t>
            </w:r>
            <w:proofErr w:type="spellEnd"/>
            <w:r w:rsidR="001D1230">
              <w:rPr>
                <w:color w:val="000000"/>
                <w:sz w:val="20"/>
                <w:szCs w:val="22"/>
                <w:lang w:val="sr-Cyrl-RS"/>
              </w:rPr>
              <w:t>?</w:t>
            </w:r>
            <w:r w:rsidRPr="006E109A">
              <w:rPr>
                <w:color w:val="000000"/>
                <w:sz w:val="20"/>
                <w:szCs w:val="22"/>
              </w:rPr>
              <w:t xml:space="preserve"> </w:t>
            </w:r>
          </w:p>
          <w:p w14:paraId="59565F1D" w14:textId="77777777" w:rsidR="00BC57D1" w:rsidRDefault="00BC57D1" w:rsidP="00302BF6">
            <w:pPr>
              <w:jc w:val="both"/>
              <w:rPr>
                <w:color w:val="000000"/>
                <w:sz w:val="20"/>
                <w:szCs w:val="22"/>
              </w:rPr>
            </w:pPr>
          </w:p>
          <w:p w14:paraId="618BCE53" w14:textId="77777777" w:rsidR="00661087" w:rsidRPr="006E109A" w:rsidRDefault="00661087" w:rsidP="00040953">
            <w:pPr>
              <w:rPr>
                <w:color w:val="000000"/>
                <w:sz w:val="20"/>
                <w:szCs w:val="22"/>
              </w:rPr>
            </w:pPr>
            <w:proofErr w:type="spellStart"/>
            <w:r w:rsidRPr="006E109A">
              <w:rPr>
                <w:color w:val="000000"/>
                <w:sz w:val="20"/>
                <w:szCs w:val="22"/>
              </w:rPr>
              <w:t>Кроз</w:t>
            </w:r>
            <w:proofErr w:type="spellEnd"/>
            <w:r w:rsidRPr="006E109A">
              <w:rPr>
                <w:color w:val="000000"/>
                <w:sz w:val="20"/>
                <w:szCs w:val="22"/>
              </w:rPr>
              <w:t xml:space="preserve"> </w:t>
            </w:r>
            <w:proofErr w:type="spellStart"/>
            <w:r w:rsidRPr="006E109A">
              <w:rPr>
                <w:color w:val="000000"/>
                <w:sz w:val="20"/>
                <w:szCs w:val="22"/>
              </w:rPr>
              <w:t>посебне</w:t>
            </w:r>
            <w:proofErr w:type="spellEnd"/>
            <w:r w:rsidRPr="006E109A">
              <w:rPr>
                <w:color w:val="000000"/>
                <w:sz w:val="20"/>
                <w:szCs w:val="22"/>
              </w:rPr>
              <w:t xml:space="preserve"> </w:t>
            </w:r>
            <w:proofErr w:type="spellStart"/>
            <w:r w:rsidRPr="006E109A">
              <w:rPr>
                <w:color w:val="000000"/>
                <w:sz w:val="20"/>
                <w:szCs w:val="22"/>
              </w:rPr>
              <w:t>скупштинске</w:t>
            </w:r>
            <w:proofErr w:type="spellEnd"/>
            <w:r w:rsidRPr="006E109A">
              <w:rPr>
                <w:color w:val="000000"/>
                <w:sz w:val="20"/>
                <w:szCs w:val="22"/>
              </w:rPr>
              <w:t xml:space="preserve"> </w:t>
            </w:r>
            <w:proofErr w:type="spellStart"/>
            <w:r w:rsidRPr="006E109A">
              <w:rPr>
                <w:color w:val="000000"/>
                <w:sz w:val="20"/>
                <w:szCs w:val="22"/>
              </w:rPr>
              <w:t>одлуке</w:t>
            </w:r>
            <w:proofErr w:type="spellEnd"/>
            <w:r w:rsidRPr="006E109A">
              <w:rPr>
                <w:color w:val="000000"/>
                <w:sz w:val="20"/>
                <w:szCs w:val="22"/>
              </w:rPr>
              <w:t xml:space="preserve"> (</w:t>
            </w:r>
            <w:proofErr w:type="spellStart"/>
            <w:r w:rsidRPr="006E109A">
              <w:rPr>
                <w:color w:val="000000"/>
                <w:sz w:val="20"/>
                <w:szCs w:val="22"/>
              </w:rPr>
              <w:t>нпр</w:t>
            </w:r>
            <w:proofErr w:type="spellEnd"/>
            <w:r w:rsidRPr="006E109A">
              <w:rPr>
                <w:color w:val="000000"/>
                <w:sz w:val="20"/>
                <w:szCs w:val="22"/>
              </w:rPr>
              <w:t xml:space="preserve">. </w:t>
            </w:r>
            <w:proofErr w:type="spellStart"/>
            <w:r w:rsidRPr="006E109A">
              <w:rPr>
                <w:color w:val="000000"/>
                <w:sz w:val="20"/>
                <w:szCs w:val="22"/>
              </w:rPr>
              <w:t>субвенци</w:t>
            </w:r>
            <w:r w:rsidR="00BA7A68">
              <w:rPr>
                <w:color w:val="000000"/>
                <w:sz w:val="20"/>
                <w:szCs w:val="22"/>
              </w:rPr>
              <w:t>је</w:t>
            </w:r>
            <w:proofErr w:type="spellEnd"/>
            <w:r w:rsidR="00BA7A68">
              <w:rPr>
                <w:color w:val="000000"/>
                <w:sz w:val="20"/>
                <w:szCs w:val="22"/>
              </w:rPr>
              <w:t xml:space="preserve"> </w:t>
            </w:r>
            <w:proofErr w:type="spellStart"/>
            <w:r w:rsidR="00BA7A68">
              <w:rPr>
                <w:color w:val="000000"/>
                <w:sz w:val="20"/>
                <w:szCs w:val="22"/>
              </w:rPr>
              <w:t>за</w:t>
            </w:r>
            <w:proofErr w:type="spellEnd"/>
            <w:r w:rsidR="00BA7A68">
              <w:rPr>
                <w:color w:val="000000"/>
                <w:sz w:val="20"/>
                <w:szCs w:val="22"/>
              </w:rPr>
              <w:t xml:space="preserve"> </w:t>
            </w:r>
            <w:proofErr w:type="spellStart"/>
            <w:r w:rsidR="00BA7A68">
              <w:rPr>
                <w:color w:val="000000"/>
                <w:sz w:val="20"/>
                <w:szCs w:val="22"/>
              </w:rPr>
              <w:t>одређне</w:t>
            </w:r>
            <w:proofErr w:type="spellEnd"/>
            <w:r w:rsidR="00BA7A68">
              <w:rPr>
                <w:color w:val="000000"/>
                <w:sz w:val="20"/>
                <w:szCs w:val="22"/>
              </w:rPr>
              <w:t xml:space="preserve"> </w:t>
            </w:r>
            <w:proofErr w:type="spellStart"/>
            <w:r w:rsidR="00BA7A68">
              <w:rPr>
                <w:color w:val="000000"/>
                <w:sz w:val="20"/>
                <w:szCs w:val="22"/>
              </w:rPr>
              <w:t>комуналне</w:t>
            </w:r>
            <w:proofErr w:type="spellEnd"/>
            <w:r w:rsidR="00BA7A68">
              <w:rPr>
                <w:color w:val="000000"/>
                <w:sz w:val="20"/>
                <w:szCs w:val="22"/>
              </w:rPr>
              <w:t xml:space="preserve"> </w:t>
            </w:r>
            <w:proofErr w:type="spellStart"/>
            <w:r w:rsidR="00BA7A68">
              <w:rPr>
                <w:color w:val="000000"/>
                <w:sz w:val="20"/>
                <w:szCs w:val="22"/>
              </w:rPr>
              <w:t>накнаде</w:t>
            </w:r>
            <w:proofErr w:type="spellEnd"/>
            <w:r w:rsidRPr="006E109A">
              <w:rPr>
                <w:color w:val="000000"/>
                <w:sz w:val="20"/>
                <w:szCs w:val="22"/>
              </w:rPr>
              <w:t xml:space="preserve"> и </w:t>
            </w:r>
            <w:proofErr w:type="spellStart"/>
            <w:r w:rsidRPr="006E109A">
              <w:rPr>
                <w:color w:val="000000"/>
                <w:sz w:val="20"/>
                <w:szCs w:val="22"/>
              </w:rPr>
              <w:t>сл</w:t>
            </w:r>
            <w:proofErr w:type="spellEnd"/>
            <w:r w:rsidR="00040953">
              <w:rPr>
                <w:color w:val="000000"/>
                <w:sz w:val="20"/>
                <w:szCs w:val="22"/>
                <w:lang w:val="sr-Cyrl-RS"/>
              </w:rPr>
              <w:t>.</w:t>
            </w:r>
            <w:r w:rsidRPr="006E109A">
              <w:rPr>
                <w:color w:val="000000"/>
                <w:sz w:val="20"/>
                <w:szCs w:val="22"/>
              </w:rPr>
              <w:t xml:space="preserve">)? </w:t>
            </w:r>
            <w:proofErr w:type="spellStart"/>
            <w:r w:rsidRPr="006E109A">
              <w:rPr>
                <w:color w:val="000000"/>
                <w:sz w:val="20"/>
                <w:szCs w:val="22"/>
              </w:rPr>
              <w:t>Или</w:t>
            </w:r>
            <w:proofErr w:type="spellEnd"/>
            <w:r w:rsidRPr="006E109A">
              <w:rPr>
                <w:color w:val="000000"/>
                <w:sz w:val="20"/>
                <w:szCs w:val="22"/>
              </w:rPr>
              <w:t xml:space="preserve"> </w:t>
            </w: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други</w:t>
            </w:r>
            <w:proofErr w:type="spellEnd"/>
            <w:r w:rsidRPr="006E109A">
              <w:rPr>
                <w:color w:val="000000"/>
                <w:sz w:val="20"/>
                <w:szCs w:val="22"/>
              </w:rPr>
              <w:t xml:space="preserve"> </w:t>
            </w:r>
            <w:proofErr w:type="spellStart"/>
            <w:r w:rsidRPr="006E109A">
              <w:rPr>
                <w:color w:val="000000"/>
                <w:sz w:val="20"/>
                <w:szCs w:val="22"/>
              </w:rPr>
              <w:t>начин</w:t>
            </w:r>
            <w:proofErr w:type="spellEnd"/>
            <w:r w:rsidRPr="006E109A">
              <w:rPr>
                <w:color w:val="000000"/>
                <w:sz w:val="20"/>
                <w:szCs w:val="22"/>
              </w:rPr>
              <w:t xml:space="preserve">? </w:t>
            </w:r>
          </w:p>
        </w:tc>
        <w:tc>
          <w:tcPr>
            <w:tcW w:w="5525" w:type="dxa"/>
            <w:tcBorders>
              <w:top w:val="single" w:sz="4" w:space="0" w:color="auto"/>
              <w:left w:val="nil"/>
              <w:bottom w:val="single" w:sz="4" w:space="0" w:color="auto"/>
              <w:right w:val="single" w:sz="4" w:space="0" w:color="auto"/>
            </w:tcBorders>
            <w:shd w:val="clear" w:color="auto" w:fill="auto"/>
            <w:vAlign w:val="center"/>
            <w:hideMark/>
          </w:tcPr>
          <w:p w14:paraId="4B772A7B" w14:textId="77777777" w:rsidR="006C507F" w:rsidRDefault="00651996" w:rsidP="00302BF6">
            <w:pPr>
              <w:jc w:val="both"/>
              <w:rPr>
                <w:color w:val="000000"/>
                <w:sz w:val="20"/>
                <w:szCs w:val="22"/>
              </w:rPr>
            </w:pPr>
            <w:r>
              <w:rPr>
                <w:color w:val="000000"/>
                <w:sz w:val="20"/>
                <w:szCs w:val="22"/>
                <w:lang w:val="sr-Cyrl-RS"/>
              </w:rPr>
              <w:t xml:space="preserve">1. </w:t>
            </w:r>
            <w:proofErr w:type="spellStart"/>
            <w:r w:rsidR="00661087" w:rsidRPr="006E109A">
              <w:rPr>
                <w:color w:val="000000"/>
                <w:sz w:val="20"/>
                <w:szCs w:val="22"/>
              </w:rPr>
              <w:t>Код</w:t>
            </w:r>
            <w:proofErr w:type="spellEnd"/>
            <w:r w:rsidR="00661087" w:rsidRPr="006E109A">
              <w:rPr>
                <w:color w:val="000000"/>
                <w:sz w:val="20"/>
                <w:szCs w:val="22"/>
              </w:rPr>
              <w:t xml:space="preserve"> </w:t>
            </w:r>
            <w:proofErr w:type="spellStart"/>
            <w:r w:rsidR="00661087" w:rsidRPr="006E109A">
              <w:rPr>
                <w:color w:val="000000"/>
                <w:sz w:val="20"/>
                <w:szCs w:val="22"/>
              </w:rPr>
              <w:t>свих</w:t>
            </w:r>
            <w:proofErr w:type="spellEnd"/>
            <w:r w:rsidR="00661087" w:rsidRPr="006E109A">
              <w:rPr>
                <w:color w:val="000000"/>
                <w:sz w:val="20"/>
                <w:szCs w:val="22"/>
              </w:rPr>
              <w:t xml:space="preserve"> ЈЛС </w:t>
            </w:r>
            <w:proofErr w:type="spellStart"/>
            <w:r w:rsidR="00661087" w:rsidRPr="006E109A">
              <w:rPr>
                <w:color w:val="000000"/>
                <w:sz w:val="20"/>
                <w:szCs w:val="22"/>
              </w:rPr>
              <w:t>скупштине</w:t>
            </w:r>
            <w:proofErr w:type="spellEnd"/>
            <w:r w:rsidR="00661087" w:rsidRPr="006E109A">
              <w:rPr>
                <w:color w:val="000000"/>
                <w:sz w:val="20"/>
                <w:szCs w:val="22"/>
              </w:rPr>
              <w:t xml:space="preserve"> </w:t>
            </w:r>
            <w:proofErr w:type="spellStart"/>
            <w:r w:rsidR="00661087" w:rsidRPr="006E109A">
              <w:rPr>
                <w:color w:val="000000"/>
                <w:sz w:val="20"/>
                <w:szCs w:val="22"/>
              </w:rPr>
              <w:t>општине</w:t>
            </w:r>
            <w:proofErr w:type="spellEnd"/>
            <w:r w:rsidR="00661087" w:rsidRPr="006E109A">
              <w:rPr>
                <w:color w:val="000000"/>
                <w:sz w:val="20"/>
                <w:szCs w:val="22"/>
              </w:rPr>
              <w:t>/</w:t>
            </w:r>
            <w:proofErr w:type="spellStart"/>
            <w:r w:rsidR="00661087" w:rsidRPr="006E109A">
              <w:rPr>
                <w:color w:val="000000"/>
                <w:sz w:val="20"/>
                <w:szCs w:val="22"/>
              </w:rPr>
              <w:t>градова</w:t>
            </w:r>
            <w:proofErr w:type="spellEnd"/>
            <w:r w:rsidR="00661087" w:rsidRPr="006E109A">
              <w:rPr>
                <w:color w:val="000000"/>
                <w:sz w:val="20"/>
                <w:szCs w:val="22"/>
              </w:rPr>
              <w:t xml:space="preserve"> </w:t>
            </w:r>
            <w:proofErr w:type="spellStart"/>
            <w:r w:rsidR="00661087" w:rsidRPr="006E109A">
              <w:rPr>
                <w:color w:val="000000"/>
                <w:sz w:val="20"/>
                <w:szCs w:val="22"/>
              </w:rPr>
              <w:t>доносиле</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w:t>
            </w:r>
            <w:proofErr w:type="spellStart"/>
            <w:r w:rsidR="00661087" w:rsidRPr="006E109A">
              <w:rPr>
                <w:color w:val="000000"/>
                <w:sz w:val="20"/>
                <w:szCs w:val="22"/>
              </w:rPr>
              <w:t>одлуке</w:t>
            </w:r>
            <w:proofErr w:type="spellEnd"/>
            <w:r w:rsidR="00661087" w:rsidRPr="006E109A">
              <w:rPr>
                <w:color w:val="000000"/>
                <w:sz w:val="20"/>
                <w:szCs w:val="22"/>
              </w:rPr>
              <w:t xml:space="preserve"> </w:t>
            </w:r>
            <w:proofErr w:type="spellStart"/>
            <w:r w:rsidR="00661087" w:rsidRPr="006E109A">
              <w:rPr>
                <w:color w:val="000000"/>
                <w:sz w:val="20"/>
                <w:szCs w:val="22"/>
              </w:rPr>
              <w:t>или</w:t>
            </w:r>
            <w:proofErr w:type="spellEnd"/>
            <w:r w:rsidR="00661087" w:rsidRPr="006E109A">
              <w:rPr>
                <w:color w:val="000000"/>
                <w:sz w:val="20"/>
                <w:szCs w:val="22"/>
              </w:rPr>
              <w:t xml:space="preserve"> </w:t>
            </w:r>
            <w:proofErr w:type="spellStart"/>
            <w:r w:rsidR="00661087" w:rsidRPr="006E109A">
              <w:rPr>
                <w:color w:val="000000"/>
                <w:sz w:val="20"/>
                <w:szCs w:val="22"/>
              </w:rPr>
              <w:t>програм</w:t>
            </w:r>
            <w:r w:rsidR="006C507F">
              <w:rPr>
                <w:color w:val="000000"/>
                <w:sz w:val="20"/>
                <w:szCs w:val="22"/>
              </w:rPr>
              <w:t>е</w:t>
            </w:r>
            <w:proofErr w:type="spellEnd"/>
            <w:r w:rsidR="006C507F">
              <w:rPr>
                <w:color w:val="000000"/>
                <w:sz w:val="20"/>
                <w:szCs w:val="22"/>
              </w:rPr>
              <w:t xml:space="preserve"> </w:t>
            </w:r>
            <w:r w:rsidR="006C5CAE">
              <w:rPr>
                <w:color w:val="000000"/>
                <w:sz w:val="20"/>
                <w:szCs w:val="22"/>
                <w:lang w:val="sr-Cyrl-RS"/>
              </w:rPr>
              <w:t xml:space="preserve">помоћи привреди, како би се ублажиле негативне економске посљедице </w:t>
            </w:r>
            <w:proofErr w:type="spellStart"/>
            <w:r w:rsidR="006C5CAE">
              <w:rPr>
                <w:color w:val="000000"/>
                <w:sz w:val="20"/>
                <w:szCs w:val="22"/>
                <w:lang w:val="sr-Cyrl-RS"/>
              </w:rPr>
              <w:t>пандемије</w:t>
            </w:r>
            <w:proofErr w:type="spellEnd"/>
            <w:r w:rsidR="006C507F">
              <w:rPr>
                <w:color w:val="000000"/>
                <w:sz w:val="20"/>
                <w:szCs w:val="22"/>
              </w:rPr>
              <w:t xml:space="preserve">. </w:t>
            </w:r>
          </w:p>
          <w:p w14:paraId="35A592D7" w14:textId="77777777" w:rsidR="006C5CAE" w:rsidRDefault="00651996" w:rsidP="006C5CAE">
            <w:pPr>
              <w:jc w:val="both"/>
              <w:rPr>
                <w:color w:val="000000"/>
                <w:sz w:val="20"/>
                <w:szCs w:val="22"/>
              </w:rPr>
            </w:pPr>
            <w:r>
              <w:rPr>
                <w:color w:val="000000"/>
                <w:sz w:val="20"/>
                <w:szCs w:val="22"/>
                <w:lang w:val="sr-Cyrl-RS"/>
              </w:rPr>
              <w:t xml:space="preserve">2. </w:t>
            </w:r>
            <w:r w:rsidR="006C5CAE">
              <w:rPr>
                <w:color w:val="000000"/>
                <w:sz w:val="20"/>
                <w:szCs w:val="22"/>
                <w:lang w:val="sr-Cyrl-RS"/>
              </w:rPr>
              <w:t xml:space="preserve">Помоћ је имала сљедеће облике: </w:t>
            </w:r>
          </w:p>
          <w:p w14:paraId="2BFF19FF" w14:textId="77777777" w:rsidR="00651996" w:rsidRDefault="00651996" w:rsidP="00651996">
            <w:pPr>
              <w:rPr>
                <w:color w:val="000000"/>
                <w:sz w:val="20"/>
                <w:szCs w:val="22"/>
              </w:rPr>
            </w:pPr>
            <w:r>
              <w:rPr>
                <w:color w:val="000000"/>
                <w:sz w:val="20"/>
                <w:szCs w:val="22"/>
                <w:lang w:val="sr-Cyrl-RS"/>
              </w:rPr>
              <w:t>-субвенције</w:t>
            </w:r>
            <w:r w:rsidRPr="006E109A">
              <w:rPr>
                <w:color w:val="000000"/>
                <w:sz w:val="20"/>
                <w:szCs w:val="22"/>
              </w:rPr>
              <w:t xml:space="preserve"> </w:t>
            </w:r>
            <w:proofErr w:type="spellStart"/>
            <w:r w:rsidRPr="006E109A">
              <w:rPr>
                <w:color w:val="000000"/>
                <w:sz w:val="20"/>
                <w:szCs w:val="22"/>
              </w:rPr>
              <w:t>различитих</w:t>
            </w:r>
            <w:proofErr w:type="spellEnd"/>
            <w:r w:rsidRPr="006E109A">
              <w:rPr>
                <w:color w:val="000000"/>
                <w:sz w:val="20"/>
                <w:szCs w:val="22"/>
              </w:rPr>
              <w:t xml:space="preserve"> </w:t>
            </w:r>
            <w:proofErr w:type="spellStart"/>
            <w:r w:rsidRPr="006E109A">
              <w:rPr>
                <w:color w:val="000000"/>
                <w:sz w:val="20"/>
                <w:szCs w:val="22"/>
              </w:rPr>
              <w:t>облика</w:t>
            </w:r>
            <w:proofErr w:type="spellEnd"/>
            <w:r w:rsidRPr="006E109A">
              <w:rPr>
                <w:color w:val="000000"/>
                <w:sz w:val="20"/>
                <w:szCs w:val="22"/>
              </w:rPr>
              <w:t xml:space="preserve"> </w:t>
            </w:r>
            <w:proofErr w:type="spellStart"/>
            <w:r w:rsidRPr="006E109A">
              <w:rPr>
                <w:color w:val="000000"/>
                <w:sz w:val="20"/>
                <w:szCs w:val="22"/>
              </w:rPr>
              <w:t>ко</w:t>
            </w:r>
            <w:r>
              <w:rPr>
                <w:color w:val="000000"/>
                <w:sz w:val="20"/>
                <w:szCs w:val="22"/>
              </w:rPr>
              <w:t>муналних</w:t>
            </w:r>
            <w:proofErr w:type="spellEnd"/>
            <w:r>
              <w:rPr>
                <w:color w:val="000000"/>
                <w:sz w:val="20"/>
                <w:szCs w:val="22"/>
              </w:rPr>
              <w:t xml:space="preserve"> </w:t>
            </w:r>
            <w:proofErr w:type="spellStart"/>
            <w:r>
              <w:rPr>
                <w:color w:val="000000"/>
                <w:sz w:val="20"/>
                <w:szCs w:val="22"/>
              </w:rPr>
              <w:t>такси</w:t>
            </w:r>
            <w:proofErr w:type="spellEnd"/>
            <w:r>
              <w:rPr>
                <w:color w:val="000000"/>
                <w:sz w:val="20"/>
                <w:szCs w:val="22"/>
                <w:lang w:val="sr-Cyrl-RS"/>
              </w:rPr>
              <w:t xml:space="preserve"> (за истицање пословног имена</w:t>
            </w:r>
            <w:r w:rsidR="00FF503F">
              <w:rPr>
                <w:color w:val="000000"/>
                <w:sz w:val="20"/>
                <w:szCs w:val="22"/>
                <w:lang w:val="sr-Cyrl-RS"/>
              </w:rPr>
              <w:t>, за постављање реклама</w:t>
            </w:r>
            <w:r>
              <w:rPr>
                <w:color w:val="000000"/>
                <w:sz w:val="20"/>
                <w:szCs w:val="22"/>
                <w:lang w:val="sr-Cyrl-RS"/>
              </w:rPr>
              <w:t xml:space="preserve"> и слично)</w:t>
            </w:r>
          </w:p>
          <w:p w14:paraId="749527F2" w14:textId="77777777" w:rsidR="00651996" w:rsidRDefault="00FF503F" w:rsidP="00651996">
            <w:pPr>
              <w:rPr>
                <w:color w:val="000000"/>
                <w:sz w:val="20"/>
                <w:szCs w:val="22"/>
                <w:lang w:val="sr-Cyrl-RS"/>
              </w:rPr>
            </w:pPr>
            <w:r>
              <w:rPr>
                <w:color w:val="000000"/>
                <w:sz w:val="20"/>
                <w:szCs w:val="22"/>
                <w:lang w:val="sr-Cyrl-RS"/>
              </w:rPr>
              <w:t>-субвенције нак</w:t>
            </w:r>
            <w:r w:rsidR="00651996">
              <w:rPr>
                <w:color w:val="000000"/>
                <w:sz w:val="20"/>
                <w:szCs w:val="22"/>
                <w:lang w:val="sr-Cyrl-RS"/>
              </w:rPr>
              <w:t>н</w:t>
            </w:r>
            <w:r>
              <w:rPr>
                <w:color w:val="000000"/>
                <w:sz w:val="20"/>
                <w:szCs w:val="22"/>
                <w:lang w:val="sr-Cyrl-RS"/>
              </w:rPr>
              <w:t>а</w:t>
            </w:r>
            <w:r w:rsidR="00651996">
              <w:rPr>
                <w:color w:val="000000"/>
                <w:sz w:val="20"/>
                <w:szCs w:val="22"/>
                <w:lang w:val="sr-Cyrl-RS"/>
              </w:rPr>
              <w:t>де за заузимање јавне површине</w:t>
            </w:r>
          </w:p>
          <w:p w14:paraId="192A66BA" w14:textId="77777777" w:rsidR="00651996" w:rsidRDefault="00651996" w:rsidP="00651996">
            <w:pPr>
              <w:rPr>
                <w:color w:val="000000"/>
                <w:sz w:val="20"/>
                <w:szCs w:val="22"/>
              </w:rPr>
            </w:pPr>
            <w:r>
              <w:rPr>
                <w:color w:val="000000"/>
                <w:sz w:val="20"/>
                <w:szCs w:val="22"/>
                <w:lang w:val="sr-Cyrl-RS"/>
              </w:rPr>
              <w:t>-</w:t>
            </w:r>
            <w:proofErr w:type="spellStart"/>
            <w:r>
              <w:rPr>
                <w:color w:val="000000"/>
                <w:sz w:val="20"/>
                <w:szCs w:val="22"/>
              </w:rPr>
              <w:t>субвенције</w:t>
            </w:r>
            <w:proofErr w:type="spellEnd"/>
            <w:r w:rsidRPr="006E109A">
              <w:rPr>
                <w:color w:val="000000"/>
                <w:sz w:val="20"/>
                <w:szCs w:val="22"/>
              </w:rPr>
              <w:t xml:space="preserve"> </w:t>
            </w:r>
            <w:proofErr w:type="spellStart"/>
            <w:r w:rsidRPr="006E109A">
              <w:rPr>
                <w:color w:val="000000"/>
                <w:sz w:val="20"/>
                <w:szCs w:val="22"/>
              </w:rPr>
              <w:t>редовне</w:t>
            </w:r>
            <w:proofErr w:type="spellEnd"/>
            <w:r w:rsidRPr="006E109A">
              <w:rPr>
                <w:color w:val="000000"/>
                <w:sz w:val="20"/>
                <w:szCs w:val="22"/>
              </w:rPr>
              <w:t xml:space="preserve"> </w:t>
            </w:r>
            <w:proofErr w:type="spellStart"/>
            <w:r w:rsidRPr="006E109A">
              <w:rPr>
                <w:color w:val="000000"/>
                <w:sz w:val="20"/>
                <w:szCs w:val="22"/>
              </w:rPr>
              <w:t>камате</w:t>
            </w:r>
            <w:proofErr w:type="spellEnd"/>
            <w:r w:rsidRPr="006E109A">
              <w:rPr>
                <w:color w:val="000000"/>
                <w:sz w:val="20"/>
                <w:szCs w:val="22"/>
              </w:rPr>
              <w:t xml:space="preserve"> </w:t>
            </w: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кре</w:t>
            </w:r>
            <w:r>
              <w:rPr>
                <w:color w:val="000000"/>
                <w:sz w:val="20"/>
                <w:szCs w:val="22"/>
              </w:rPr>
              <w:t>дите</w:t>
            </w:r>
            <w:proofErr w:type="spellEnd"/>
            <w:r>
              <w:rPr>
                <w:color w:val="000000"/>
                <w:sz w:val="20"/>
                <w:szCs w:val="22"/>
              </w:rPr>
              <w:t xml:space="preserve"> </w:t>
            </w:r>
            <w:proofErr w:type="spellStart"/>
            <w:r>
              <w:rPr>
                <w:color w:val="000000"/>
                <w:sz w:val="20"/>
                <w:szCs w:val="22"/>
              </w:rPr>
              <w:t>пословних</w:t>
            </w:r>
            <w:proofErr w:type="spellEnd"/>
            <w:r>
              <w:rPr>
                <w:color w:val="000000"/>
                <w:sz w:val="20"/>
                <w:szCs w:val="22"/>
              </w:rPr>
              <w:t xml:space="preserve"> </w:t>
            </w:r>
            <w:proofErr w:type="spellStart"/>
            <w:r>
              <w:rPr>
                <w:color w:val="000000"/>
                <w:sz w:val="20"/>
                <w:szCs w:val="22"/>
              </w:rPr>
              <w:t>субјеката</w:t>
            </w:r>
            <w:proofErr w:type="spellEnd"/>
            <w:r>
              <w:rPr>
                <w:color w:val="000000"/>
                <w:sz w:val="20"/>
                <w:szCs w:val="22"/>
                <w:lang w:val="sr-Cyrl-RS"/>
              </w:rPr>
              <w:t xml:space="preserve"> (</w:t>
            </w:r>
            <w:r w:rsidRPr="001D1230">
              <w:rPr>
                <w:i/>
                <w:color w:val="000000"/>
                <w:sz w:val="20"/>
                <w:szCs w:val="22"/>
                <w:lang w:val="sr-Cyrl-RS"/>
              </w:rPr>
              <w:t>само код једне ЈЛС</w:t>
            </w:r>
            <w:r w:rsidR="00BA7A68">
              <w:rPr>
                <w:i/>
                <w:color w:val="000000"/>
                <w:sz w:val="20"/>
                <w:szCs w:val="22"/>
                <w:lang w:val="sr-Cyrl-RS"/>
              </w:rPr>
              <w:t>, уз ограничење у погледу висине кредита и висине каматне стопе</w:t>
            </w:r>
            <w:r>
              <w:rPr>
                <w:color w:val="000000"/>
                <w:sz w:val="20"/>
                <w:szCs w:val="22"/>
                <w:lang w:val="sr-Cyrl-RS"/>
              </w:rPr>
              <w:t>)</w:t>
            </w:r>
          </w:p>
          <w:p w14:paraId="0AB3B222" w14:textId="77777777" w:rsidR="00651996" w:rsidRDefault="00651996" w:rsidP="00651996">
            <w:pPr>
              <w:rPr>
                <w:color w:val="000000"/>
                <w:sz w:val="20"/>
                <w:szCs w:val="22"/>
                <w:lang w:val="sr-Cyrl-RS"/>
              </w:rPr>
            </w:pPr>
            <w:r>
              <w:rPr>
                <w:color w:val="000000"/>
                <w:sz w:val="20"/>
                <w:szCs w:val="22"/>
                <w:lang w:val="sr-Cyrl-RS"/>
              </w:rPr>
              <w:t>-</w:t>
            </w:r>
            <w:proofErr w:type="spellStart"/>
            <w:r w:rsidR="007A2741">
              <w:rPr>
                <w:color w:val="000000"/>
                <w:sz w:val="20"/>
                <w:szCs w:val="22"/>
              </w:rPr>
              <w:t>субвенције</w:t>
            </w:r>
            <w:proofErr w:type="spellEnd"/>
            <w:r w:rsidR="007A2741">
              <w:rPr>
                <w:color w:val="000000"/>
                <w:sz w:val="20"/>
                <w:szCs w:val="22"/>
              </w:rPr>
              <w:t xml:space="preserve"> </w:t>
            </w:r>
            <w:proofErr w:type="spellStart"/>
            <w:r>
              <w:rPr>
                <w:color w:val="000000"/>
                <w:sz w:val="20"/>
                <w:szCs w:val="22"/>
              </w:rPr>
              <w:t>превоз</w:t>
            </w:r>
            <w:r w:rsidR="007A2741">
              <w:rPr>
                <w:color w:val="000000"/>
                <w:sz w:val="20"/>
                <w:szCs w:val="22"/>
                <w:lang w:val="sr-Cyrl-RS"/>
              </w:rPr>
              <w:t>ницима</w:t>
            </w:r>
            <w:proofErr w:type="spellEnd"/>
            <w:r w:rsidR="007A2741">
              <w:rPr>
                <w:color w:val="000000"/>
                <w:sz w:val="20"/>
                <w:szCs w:val="22"/>
                <w:lang w:val="sr-Cyrl-RS"/>
              </w:rPr>
              <w:t xml:space="preserve"> који обављају јавни превоз</w:t>
            </w:r>
          </w:p>
          <w:p w14:paraId="2AC57D8C" w14:textId="77777777" w:rsidR="007E55EA" w:rsidRPr="00040953" w:rsidRDefault="007E55EA" w:rsidP="00651996">
            <w:pPr>
              <w:rPr>
                <w:color w:val="000000"/>
                <w:sz w:val="20"/>
                <w:szCs w:val="22"/>
                <w:lang w:val="sr-Cyrl-RS"/>
              </w:rPr>
            </w:pPr>
            <w:r>
              <w:rPr>
                <w:color w:val="000000"/>
                <w:sz w:val="20"/>
                <w:szCs w:val="22"/>
                <w:lang w:val="sr-Cyrl-RS"/>
              </w:rPr>
              <w:t>-</w:t>
            </w:r>
            <w:proofErr w:type="spellStart"/>
            <w:r w:rsidRPr="006E109A">
              <w:rPr>
                <w:color w:val="000000"/>
                <w:sz w:val="20"/>
                <w:szCs w:val="22"/>
              </w:rPr>
              <w:t>суфинансирања</w:t>
            </w:r>
            <w:proofErr w:type="spellEnd"/>
            <w:r w:rsidRPr="006E109A">
              <w:rPr>
                <w:color w:val="000000"/>
                <w:sz w:val="20"/>
                <w:szCs w:val="22"/>
              </w:rPr>
              <w:t xml:space="preserve"> </w:t>
            </w:r>
            <w:r>
              <w:rPr>
                <w:color w:val="000000"/>
                <w:sz w:val="20"/>
                <w:szCs w:val="22"/>
                <w:lang w:val="sr-Cyrl-RS"/>
              </w:rPr>
              <w:t xml:space="preserve">пољопривреде – </w:t>
            </w:r>
            <w:proofErr w:type="spellStart"/>
            <w:r w:rsidRPr="006E109A">
              <w:rPr>
                <w:color w:val="000000"/>
                <w:sz w:val="20"/>
                <w:szCs w:val="22"/>
              </w:rPr>
              <w:t>сјетве</w:t>
            </w:r>
            <w:proofErr w:type="spellEnd"/>
            <w:r>
              <w:rPr>
                <w:color w:val="000000"/>
                <w:sz w:val="20"/>
                <w:szCs w:val="22"/>
                <w:lang w:val="sr-Cyrl-RS"/>
              </w:rPr>
              <w:t xml:space="preserve"> и слично</w:t>
            </w:r>
            <w:r w:rsidR="00040953">
              <w:rPr>
                <w:color w:val="000000"/>
                <w:sz w:val="20"/>
                <w:szCs w:val="22"/>
                <w:lang w:val="sr-Latn-RS"/>
              </w:rPr>
              <w:t xml:space="preserve">, </w:t>
            </w:r>
            <w:r w:rsidR="00040953">
              <w:rPr>
                <w:color w:val="000000"/>
                <w:sz w:val="20"/>
                <w:szCs w:val="22"/>
                <w:lang w:val="sr-Cyrl-RS"/>
              </w:rPr>
              <w:t>набавка пољопривредне опреме</w:t>
            </w:r>
          </w:p>
          <w:p w14:paraId="756E2A5D" w14:textId="77777777" w:rsidR="00651996" w:rsidRDefault="00651996" w:rsidP="00651996">
            <w:pPr>
              <w:rPr>
                <w:color w:val="000000"/>
                <w:sz w:val="20"/>
                <w:szCs w:val="22"/>
              </w:rPr>
            </w:pPr>
            <w:r>
              <w:rPr>
                <w:color w:val="000000"/>
                <w:sz w:val="20"/>
                <w:szCs w:val="22"/>
                <w:lang w:val="sr-Cyrl-RS"/>
              </w:rPr>
              <w:t>-</w:t>
            </w:r>
            <w:proofErr w:type="spellStart"/>
            <w:r w:rsidRPr="006E109A">
              <w:rPr>
                <w:color w:val="000000"/>
                <w:sz w:val="20"/>
                <w:szCs w:val="22"/>
              </w:rPr>
              <w:t>исплата</w:t>
            </w:r>
            <w:proofErr w:type="spellEnd"/>
            <w:r w:rsidRPr="006E109A">
              <w:rPr>
                <w:color w:val="000000"/>
                <w:sz w:val="20"/>
                <w:szCs w:val="22"/>
              </w:rPr>
              <w:t xml:space="preserve"> </w:t>
            </w:r>
            <w:proofErr w:type="spellStart"/>
            <w:r w:rsidRPr="006E109A">
              <w:rPr>
                <w:color w:val="000000"/>
                <w:sz w:val="20"/>
                <w:szCs w:val="22"/>
              </w:rPr>
              <w:t>туристичких</w:t>
            </w:r>
            <w:proofErr w:type="spellEnd"/>
            <w:r w:rsidRPr="006E109A">
              <w:rPr>
                <w:color w:val="000000"/>
                <w:sz w:val="20"/>
                <w:szCs w:val="22"/>
              </w:rPr>
              <w:t xml:space="preserve"> </w:t>
            </w:r>
            <w:proofErr w:type="spellStart"/>
            <w:r w:rsidRPr="006E109A">
              <w:rPr>
                <w:color w:val="000000"/>
                <w:sz w:val="20"/>
                <w:szCs w:val="22"/>
              </w:rPr>
              <w:t>ваучера</w:t>
            </w:r>
            <w:proofErr w:type="spellEnd"/>
            <w:r w:rsidRPr="006E109A">
              <w:rPr>
                <w:color w:val="000000"/>
                <w:sz w:val="20"/>
                <w:szCs w:val="22"/>
              </w:rPr>
              <w:t xml:space="preserve"> </w:t>
            </w:r>
            <w:proofErr w:type="spellStart"/>
            <w:r>
              <w:rPr>
                <w:color w:val="000000"/>
                <w:sz w:val="20"/>
                <w:szCs w:val="22"/>
              </w:rPr>
              <w:t>лицима</w:t>
            </w:r>
            <w:proofErr w:type="spellEnd"/>
            <w:r>
              <w:rPr>
                <w:color w:val="000000"/>
                <w:sz w:val="20"/>
                <w:szCs w:val="22"/>
              </w:rPr>
              <w:t xml:space="preserve"> </w:t>
            </w:r>
            <w:proofErr w:type="spellStart"/>
            <w:r w:rsidRPr="006E109A">
              <w:rPr>
                <w:color w:val="000000"/>
                <w:sz w:val="20"/>
                <w:szCs w:val="22"/>
              </w:rPr>
              <w:t>који</w:t>
            </w:r>
            <w:proofErr w:type="spellEnd"/>
            <w:r w:rsidRPr="006E109A">
              <w:rPr>
                <w:color w:val="000000"/>
                <w:sz w:val="20"/>
                <w:szCs w:val="22"/>
              </w:rPr>
              <w:t xml:space="preserve"> </w:t>
            </w:r>
            <w:proofErr w:type="spellStart"/>
            <w:r w:rsidRPr="006E109A">
              <w:rPr>
                <w:color w:val="000000"/>
                <w:sz w:val="20"/>
                <w:szCs w:val="22"/>
              </w:rPr>
              <w:t>су</w:t>
            </w:r>
            <w:proofErr w:type="spellEnd"/>
            <w:r w:rsidRPr="006E109A">
              <w:rPr>
                <w:color w:val="000000"/>
                <w:sz w:val="20"/>
                <w:szCs w:val="22"/>
              </w:rPr>
              <w:t xml:space="preserve"> </w:t>
            </w:r>
            <w:proofErr w:type="spellStart"/>
            <w:r w:rsidRPr="006E109A">
              <w:rPr>
                <w:color w:val="000000"/>
                <w:sz w:val="20"/>
                <w:szCs w:val="22"/>
              </w:rPr>
              <w:t>користили</w:t>
            </w:r>
            <w:proofErr w:type="spellEnd"/>
            <w:r w:rsidRPr="006E109A">
              <w:rPr>
                <w:color w:val="000000"/>
                <w:sz w:val="20"/>
                <w:szCs w:val="22"/>
              </w:rPr>
              <w:t xml:space="preserve"> </w:t>
            </w:r>
            <w:proofErr w:type="spellStart"/>
            <w:r w:rsidRPr="006E109A">
              <w:rPr>
                <w:color w:val="000000"/>
                <w:sz w:val="20"/>
                <w:szCs w:val="22"/>
              </w:rPr>
              <w:t>смјештајне</w:t>
            </w:r>
            <w:proofErr w:type="spellEnd"/>
            <w:r w:rsidRPr="006E109A">
              <w:rPr>
                <w:color w:val="000000"/>
                <w:sz w:val="20"/>
                <w:szCs w:val="22"/>
              </w:rPr>
              <w:t xml:space="preserve"> </w:t>
            </w:r>
            <w:proofErr w:type="spellStart"/>
            <w:r w:rsidRPr="006E109A">
              <w:rPr>
                <w:color w:val="000000"/>
                <w:sz w:val="20"/>
                <w:szCs w:val="22"/>
              </w:rPr>
              <w:t>капацитете</w:t>
            </w:r>
            <w:proofErr w:type="spellEnd"/>
            <w:r w:rsidRPr="006E109A">
              <w:rPr>
                <w:color w:val="000000"/>
                <w:sz w:val="20"/>
                <w:szCs w:val="22"/>
              </w:rPr>
              <w:t xml:space="preserve"> </w:t>
            </w: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подруч</w:t>
            </w:r>
            <w:r>
              <w:rPr>
                <w:color w:val="000000"/>
                <w:sz w:val="20"/>
                <w:szCs w:val="22"/>
              </w:rPr>
              <w:t>ју</w:t>
            </w:r>
            <w:proofErr w:type="spellEnd"/>
            <w:r>
              <w:rPr>
                <w:color w:val="000000"/>
                <w:sz w:val="20"/>
                <w:szCs w:val="22"/>
              </w:rPr>
              <w:t xml:space="preserve"> </w:t>
            </w:r>
            <w:proofErr w:type="spellStart"/>
            <w:r>
              <w:rPr>
                <w:color w:val="000000"/>
                <w:sz w:val="20"/>
                <w:szCs w:val="22"/>
              </w:rPr>
              <w:t>општине</w:t>
            </w:r>
            <w:proofErr w:type="spellEnd"/>
            <w:r>
              <w:rPr>
                <w:color w:val="000000"/>
                <w:sz w:val="20"/>
                <w:szCs w:val="22"/>
                <w:lang w:val="sr-Cyrl-RS"/>
              </w:rPr>
              <w:t xml:space="preserve"> (</w:t>
            </w:r>
            <w:r w:rsidRPr="001D1230">
              <w:rPr>
                <w:i/>
                <w:color w:val="000000"/>
                <w:sz w:val="20"/>
                <w:szCs w:val="22"/>
                <w:lang w:val="sr-Cyrl-RS"/>
              </w:rPr>
              <w:t>само код једне ЈЛС</w:t>
            </w:r>
            <w:r>
              <w:rPr>
                <w:color w:val="000000"/>
                <w:sz w:val="20"/>
                <w:szCs w:val="22"/>
                <w:lang w:val="sr-Cyrl-RS"/>
              </w:rPr>
              <w:t>)</w:t>
            </w:r>
          </w:p>
          <w:p w14:paraId="1E5C2F11" w14:textId="77777777" w:rsidR="006C5CAE" w:rsidRDefault="006C5CAE" w:rsidP="006C5CAE">
            <w:pPr>
              <w:jc w:val="both"/>
              <w:rPr>
                <w:color w:val="000000"/>
                <w:sz w:val="20"/>
                <w:szCs w:val="22"/>
              </w:rPr>
            </w:pPr>
            <w:r>
              <w:rPr>
                <w:color w:val="000000"/>
                <w:sz w:val="20"/>
                <w:szCs w:val="22"/>
                <w:lang w:val="sr-Cyrl-RS"/>
              </w:rPr>
              <w:t>-</w:t>
            </w:r>
            <w:proofErr w:type="spellStart"/>
            <w:r w:rsidR="007E55EA">
              <w:rPr>
                <w:color w:val="000000"/>
                <w:sz w:val="20"/>
                <w:szCs w:val="22"/>
              </w:rPr>
              <w:t>мораторијум</w:t>
            </w:r>
            <w:proofErr w:type="spellEnd"/>
            <w:r w:rsidR="007E55EA">
              <w:rPr>
                <w:color w:val="000000"/>
                <w:sz w:val="20"/>
                <w:szCs w:val="22"/>
              </w:rPr>
              <w:t xml:space="preserve"> у </w:t>
            </w:r>
            <w:proofErr w:type="spellStart"/>
            <w:r w:rsidR="007E55EA">
              <w:rPr>
                <w:color w:val="000000"/>
                <w:sz w:val="20"/>
                <w:szCs w:val="22"/>
              </w:rPr>
              <w:t>отплати</w:t>
            </w:r>
            <w:proofErr w:type="spellEnd"/>
            <w:r w:rsidR="007E55EA">
              <w:rPr>
                <w:color w:val="000000"/>
                <w:sz w:val="20"/>
                <w:szCs w:val="22"/>
              </w:rPr>
              <w:t xml:space="preserve"> </w:t>
            </w:r>
            <w:proofErr w:type="spellStart"/>
            <w:r w:rsidR="007E55EA">
              <w:rPr>
                <w:color w:val="000000"/>
                <w:sz w:val="20"/>
                <w:szCs w:val="22"/>
              </w:rPr>
              <w:t>дуга</w:t>
            </w:r>
            <w:proofErr w:type="spellEnd"/>
            <w:r w:rsidR="00814B56">
              <w:rPr>
                <w:color w:val="000000"/>
                <w:sz w:val="20"/>
                <w:szCs w:val="22"/>
                <w:lang w:val="sr-Cyrl-RS"/>
              </w:rPr>
              <w:t xml:space="preserve"> (плаћање </w:t>
            </w:r>
            <w:proofErr w:type="spellStart"/>
            <w:r w:rsidR="00814B56">
              <w:rPr>
                <w:color w:val="000000"/>
                <w:sz w:val="20"/>
                <w:szCs w:val="22"/>
                <w:lang w:val="sr-Cyrl-RS"/>
              </w:rPr>
              <w:t>доспјелих</w:t>
            </w:r>
            <w:proofErr w:type="spellEnd"/>
            <w:r w:rsidR="00814B56">
              <w:rPr>
                <w:color w:val="000000"/>
                <w:sz w:val="20"/>
                <w:szCs w:val="22"/>
                <w:lang w:val="sr-Cyrl-RS"/>
              </w:rPr>
              <w:t xml:space="preserve">, а неплаћених обавеза ЈЛС у ратама </w:t>
            </w:r>
            <w:r w:rsidR="00814B56" w:rsidRPr="00814B56">
              <w:rPr>
                <w:i/>
                <w:color w:val="000000"/>
                <w:sz w:val="20"/>
                <w:szCs w:val="22"/>
                <w:lang w:val="sr-Cyrl-RS"/>
              </w:rPr>
              <w:t>(код једне ЈЛС)</w:t>
            </w:r>
            <w:r w:rsidR="00814B56">
              <w:rPr>
                <w:color w:val="000000"/>
                <w:sz w:val="20"/>
                <w:szCs w:val="22"/>
                <w:lang w:val="sr-Cyrl-RS"/>
              </w:rPr>
              <w:t>)</w:t>
            </w:r>
          </w:p>
          <w:p w14:paraId="51866DA0" w14:textId="77777777" w:rsidR="000C7CE2" w:rsidRDefault="006C5CAE" w:rsidP="00862D81">
            <w:pPr>
              <w:rPr>
                <w:color w:val="000000"/>
                <w:sz w:val="20"/>
                <w:szCs w:val="22"/>
                <w:lang w:val="sr-Cyrl-RS"/>
              </w:rPr>
            </w:pPr>
            <w:r>
              <w:rPr>
                <w:color w:val="000000"/>
                <w:sz w:val="20"/>
                <w:szCs w:val="22"/>
                <w:lang w:val="sr-Cyrl-RS"/>
              </w:rPr>
              <w:t>-</w:t>
            </w:r>
            <w:proofErr w:type="spellStart"/>
            <w:r w:rsidR="007E55EA">
              <w:rPr>
                <w:color w:val="000000"/>
                <w:sz w:val="20"/>
                <w:szCs w:val="22"/>
              </w:rPr>
              <w:t>ослобађање</w:t>
            </w:r>
            <w:proofErr w:type="spellEnd"/>
            <w:r w:rsidR="007E55EA">
              <w:rPr>
                <w:color w:val="000000"/>
                <w:sz w:val="20"/>
                <w:szCs w:val="22"/>
              </w:rPr>
              <w:t xml:space="preserve"> </w:t>
            </w:r>
            <w:proofErr w:type="spellStart"/>
            <w:r w:rsidR="007E55EA">
              <w:rPr>
                <w:color w:val="000000"/>
                <w:sz w:val="20"/>
                <w:szCs w:val="22"/>
              </w:rPr>
              <w:t>плаћања</w:t>
            </w:r>
            <w:proofErr w:type="spellEnd"/>
            <w:r w:rsidR="007E55EA">
              <w:rPr>
                <w:color w:val="000000"/>
                <w:sz w:val="20"/>
                <w:szCs w:val="22"/>
              </w:rPr>
              <w:t xml:space="preserve"> </w:t>
            </w:r>
            <w:proofErr w:type="spellStart"/>
            <w:r w:rsidR="007E55EA">
              <w:rPr>
                <w:color w:val="000000"/>
                <w:sz w:val="20"/>
                <w:szCs w:val="22"/>
              </w:rPr>
              <w:t>закупа</w:t>
            </w:r>
            <w:proofErr w:type="spellEnd"/>
            <w:r w:rsidR="007E55EA">
              <w:rPr>
                <w:color w:val="000000"/>
                <w:sz w:val="20"/>
                <w:szCs w:val="22"/>
              </w:rPr>
              <w:t xml:space="preserve"> </w:t>
            </w:r>
            <w:proofErr w:type="spellStart"/>
            <w:r w:rsidR="007E55EA">
              <w:rPr>
                <w:color w:val="000000"/>
                <w:sz w:val="20"/>
                <w:szCs w:val="22"/>
              </w:rPr>
              <w:t>за</w:t>
            </w:r>
            <w:proofErr w:type="spellEnd"/>
            <w:r w:rsidR="007E55EA">
              <w:rPr>
                <w:color w:val="000000"/>
                <w:sz w:val="20"/>
                <w:szCs w:val="22"/>
              </w:rPr>
              <w:t xml:space="preserve"> </w:t>
            </w:r>
            <w:proofErr w:type="spellStart"/>
            <w:r w:rsidR="007E55EA">
              <w:rPr>
                <w:color w:val="000000"/>
                <w:sz w:val="20"/>
                <w:szCs w:val="22"/>
              </w:rPr>
              <w:t>пословне</w:t>
            </w:r>
            <w:proofErr w:type="spellEnd"/>
            <w:r w:rsidR="007E55EA">
              <w:rPr>
                <w:color w:val="000000"/>
                <w:sz w:val="20"/>
                <w:szCs w:val="22"/>
              </w:rPr>
              <w:t xml:space="preserve"> </w:t>
            </w:r>
            <w:proofErr w:type="spellStart"/>
            <w:r w:rsidR="007E55EA">
              <w:rPr>
                <w:color w:val="000000"/>
                <w:sz w:val="20"/>
                <w:szCs w:val="22"/>
              </w:rPr>
              <w:t>просторе</w:t>
            </w:r>
            <w:proofErr w:type="spellEnd"/>
            <w:r w:rsidR="00661087" w:rsidRPr="006E109A">
              <w:rPr>
                <w:color w:val="000000"/>
                <w:sz w:val="20"/>
                <w:szCs w:val="22"/>
              </w:rPr>
              <w:br/>
            </w:r>
            <w:r w:rsidR="00862D81" w:rsidRPr="000C7CE2">
              <w:rPr>
                <w:color w:val="000000"/>
                <w:sz w:val="20"/>
                <w:szCs w:val="22"/>
                <w:lang w:val="sr-Cyrl-RS"/>
              </w:rPr>
              <w:t>-</w:t>
            </w:r>
            <w:r w:rsidR="00A275FE" w:rsidRPr="000C7CE2">
              <w:rPr>
                <w:sz w:val="20"/>
                <w:lang w:val="sr-Cyrl-RS"/>
              </w:rPr>
              <w:t>п</w:t>
            </w:r>
            <w:r w:rsidR="00A275FE" w:rsidRPr="000C7CE2">
              <w:rPr>
                <w:color w:val="000000"/>
                <w:sz w:val="20"/>
                <w:szCs w:val="22"/>
                <w:lang w:val="sr-Cyrl-RS"/>
              </w:rPr>
              <w:t xml:space="preserve">рограм </w:t>
            </w:r>
            <w:proofErr w:type="spellStart"/>
            <w:r w:rsidR="00A275FE" w:rsidRPr="000C7CE2">
              <w:rPr>
                <w:color w:val="000000"/>
                <w:sz w:val="20"/>
                <w:szCs w:val="22"/>
                <w:lang w:val="sr-Cyrl-RS"/>
              </w:rPr>
              <w:t>кориштења</w:t>
            </w:r>
            <w:proofErr w:type="spellEnd"/>
            <w:r w:rsidR="00A275FE" w:rsidRPr="000C7CE2">
              <w:rPr>
                <w:color w:val="000000"/>
                <w:sz w:val="20"/>
                <w:szCs w:val="22"/>
                <w:lang w:val="sr-Cyrl-RS"/>
              </w:rPr>
              <w:t xml:space="preserve"> средстава од наплаћене накнаде по </w:t>
            </w:r>
          </w:p>
          <w:p w14:paraId="2D2873C9" w14:textId="77777777" w:rsidR="006C5CAE" w:rsidRDefault="00A275FE" w:rsidP="00862D81">
            <w:pPr>
              <w:rPr>
                <w:color w:val="000000"/>
                <w:sz w:val="20"/>
                <w:szCs w:val="22"/>
                <w:lang w:val="sr-Cyrl-RS"/>
              </w:rPr>
            </w:pPr>
            <w:r w:rsidRPr="000C7CE2">
              <w:rPr>
                <w:color w:val="000000"/>
                <w:sz w:val="20"/>
                <w:szCs w:val="22"/>
                <w:lang w:val="sr-Cyrl-RS"/>
              </w:rPr>
              <w:t xml:space="preserve">основу </w:t>
            </w:r>
            <w:proofErr w:type="spellStart"/>
            <w:r w:rsidRPr="000C7CE2">
              <w:rPr>
                <w:color w:val="000000"/>
                <w:sz w:val="20"/>
                <w:szCs w:val="22"/>
                <w:lang w:val="sr-Cyrl-RS"/>
              </w:rPr>
              <w:t>промјене</w:t>
            </w:r>
            <w:proofErr w:type="spellEnd"/>
            <w:r w:rsidRPr="000C7CE2">
              <w:rPr>
                <w:color w:val="000000"/>
                <w:sz w:val="20"/>
                <w:szCs w:val="22"/>
                <w:lang w:val="sr-Cyrl-RS"/>
              </w:rPr>
              <w:t xml:space="preserve"> </w:t>
            </w:r>
            <w:proofErr w:type="spellStart"/>
            <w:r w:rsidRPr="000C7CE2">
              <w:rPr>
                <w:color w:val="000000"/>
                <w:sz w:val="20"/>
                <w:szCs w:val="22"/>
                <w:lang w:val="sr-Cyrl-RS"/>
              </w:rPr>
              <w:t>намјене</w:t>
            </w:r>
            <w:proofErr w:type="spellEnd"/>
            <w:r w:rsidRPr="000C7CE2">
              <w:rPr>
                <w:color w:val="000000"/>
                <w:sz w:val="20"/>
                <w:szCs w:val="22"/>
                <w:lang w:val="sr-Cyrl-RS"/>
              </w:rPr>
              <w:t xml:space="preserve"> пољопривредног земљишта у непољопривредне сврхе и закупнине за пољопривредно</w:t>
            </w:r>
            <w:r>
              <w:rPr>
                <w:color w:val="000000"/>
                <w:sz w:val="20"/>
                <w:szCs w:val="22"/>
                <w:lang w:val="sr-Cyrl-RS"/>
              </w:rPr>
              <w:t xml:space="preserve"> земљиште.</w:t>
            </w:r>
          </w:p>
          <w:p w14:paraId="03EEA5A3" w14:textId="77777777" w:rsidR="00040953" w:rsidRDefault="00040953" w:rsidP="00862D81">
            <w:pPr>
              <w:rPr>
                <w:color w:val="000000"/>
                <w:sz w:val="20"/>
                <w:szCs w:val="22"/>
              </w:rPr>
            </w:pPr>
            <w:r>
              <w:rPr>
                <w:color w:val="000000"/>
                <w:sz w:val="20"/>
                <w:szCs w:val="22"/>
                <w:lang w:val="sr-Cyrl-RS"/>
              </w:rPr>
              <w:t>3.</w:t>
            </w:r>
            <w:r w:rsidR="00006305">
              <w:rPr>
                <w:color w:val="000000"/>
                <w:sz w:val="20"/>
                <w:szCs w:val="22"/>
                <w:lang w:val="sr-Cyrl-RS"/>
              </w:rPr>
              <w:t xml:space="preserve"> Позив пољо</w:t>
            </w:r>
            <w:r>
              <w:rPr>
                <w:color w:val="000000"/>
                <w:sz w:val="20"/>
                <w:szCs w:val="22"/>
                <w:lang w:val="sr-Cyrl-RS"/>
              </w:rPr>
              <w:t>п</w:t>
            </w:r>
            <w:r w:rsidR="00006305">
              <w:rPr>
                <w:color w:val="000000"/>
                <w:sz w:val="20"/>
                <w:szCs w:val="22"/>
                <w:lang w:val="sr-Cyrl-RS"/>
              </w:rPr>
              <w:t>р</w:t>
            </w:r>
            <w:r>
              <w:rPr>
                <w:color w:val="000000"/>
                <w:sz w:val="20"/>
                <w:szCs w:val="22"/>
                <w:lang w:val="sr-Cyrl-RS"/>
              </w:rPr>
              <w:t>ивредним произвођачима</w:t>
            </w:r>
            <w:r w:rsidR="00006305">
              <w:rPr>
                <w:color w:val="000000"/>
                <w:sz w:val="20"/>
                <w:szCs w:val="22"/>
                <w:lang w:val="sr-Cyrl-RS"/>
              </w:rPr>
              <w:t xml:space="preserve"> (газдинствима, али и појединцима)</w:t>
            </w:r>
            <w:r>
              <w:rPr>
                <w:color w:val="000000"/>
                <w:sz w:val="20"/>
                <w:szCs w:val="22"/>
                <w:lang w:val="sr-Cyrl-RS"/>
              </w:rPr>
              <w:t xml:space="preserve"> да доставе податке о вишковима производа</w:t>
            </w:r>
            <w:r w:rsidR="00006305">
              <w:rPr>
                <w:color w:val="000000"/>
                <w:sz w:val="20"/>
                <w:szCs w:val="22"/>
                <w:lang w:val="sr-Cyrl-RS"/>
              </w:rPr>
              <w:t xml:space="preserve"> за који им је потребан откуп и пласман</w:t>
            </w:r>
            <w:r>
              <w:rPr>
                <w:color w:val="000000"/>
                <w:sz w:val="20"/>
                <w:szCs w:val="22"/>
                <w:lang w:val="sr-Cyrl-RS"/>
              </w:rPr>
              <w:t xml:space="preserve">, а у циљу повезивања произвођача и </w:t>
            </w:r>
            <w:r w:rsidR="00006305">
              <w:rPr>
                <w:color w:val="000000"/>
                <w:sz w:val="20"/>
                <w:szCs w:val="22"/>
                <w:lang w:val="sr-Cyrl-RS"/>
              </w:rPr>
              <w:t>пословних субјеката које се баве прометом прехрамбених производа.</w:t>
            </w:r>
          </w:p>
          <w:p w14:paraId="755519DB" w14:textId="77777777" w:rsidR="001D1230" w:rsidRDefault="00040953" w:rsidP="001D1230">
            <w:pPr>
              <w:jc w:val="both"/>
              <w:rPr>
                <w:color w:val="000000"/>
                <w:sz w:val="20"/>
                <w:szCs w:val="22"/>
              </w:rPr>
            </w:pPr>
            <w:r>
              <w:rPr>
                <w:color w:val="000000"/>
                <w:sz w:val="20"/>
                <w:szCs w:val="22"/>
                <w:lang w:val="sr-Cyrl-RS"/>
              </w:rPr>
              <w:t>4</w:t>
            </w:r>
            <w:r w:rsidR="001D1230">
              <w:rPr>
                <w:color w:val="000000"/>
                <w:sz w:val="20"/>
                <w:szCs w:val="22"/>
                <w:lang w:val="sr-Cyrl-RS"/>
              </w:rPr>
              <w:t xml:space="preserve">. </w:t>
            </w:r>
            <w:proofErr w:type="spellStart"/>
            <w:r w:rsidR="00661087" w:rsidRPr="006E109A">
              <w:rPr>
                <w:color w:val="000000"/>
                <w:sz w:val="20"/>
                <w:szCs w:val="22"/>
              </w:rPr>
              <w:t>Износи</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w:t>
            </w:r>
            <w:r w:rsidR="00006305">
              <w:rPr>
                <w:color w:val="000000"/>
                <w:sz w:val="20"/>
                <w:szCs w:val="22"/>
                <w:lang w:val="sr-Cyrl-RS"/>
              </w:rPr>
              <w:t xml:space="preserve">се </w:t>
            </w:r>
            <w:proofErr w:type="spellStart"/>
            <w:r w:rsidR="00661087" w:rsidRPr="006E109A">
              <w:rPr>
                <w:color w:val="000000"/>
                <w:sz w:val="20"/>
                <w:szCs w:val="22"/>
              </w:rPr>
              <w:t>кретали</w:t>
            </w:r>
            <w:proofErr w:type="spellEnd"/>
            <w:r w:rsidR="00661087" w:rsidRPr="006E109A">
              <w:rPr>
                <w:color w:val="000000"/>
                <w:sz w:val="20"/>
                <w:szCs w:val="22"/>
              </w:rPr>
              <w:t xml:space="preserve"> у </w:t>
            </w:r>
            <w:proofErr w:type="spellStart"/>
            <w:r w:rsidR="00661087" w:rsidRPr="006E109A">
              <w:rPr>
                <w:color w:val="000000"/>
                <w:sz w:val="20"/>
                <w:szCs w:val="22"/>
              </w:rPr>
              <w:t>распону</w:t>
            </w:r>
            <w:proofErr w:type="spellEnd"/>
            <w:r w:rsidR="00661087" w:rsidRPr="006E109A">
              <w:rPr>
                <w:color w:val="000000"/>
                <w:sz w:val="20"/>
                <w:szCs w:val="22"/>
              </w:rPr>
              <w:t xml:space="preserve"> </w:t>
            </w:r>
            <w:proofErr w:type="spellStart"/>
            <w:r w:rsidR="00661087" w:rsidRPr="006E109A">
              <w:rPr>
                <w:color w:val="000000"/>
                <w:sz w:val="20"/>
                <w:szCs w:val="22"/>
              </w:rPr>
              <w:t>од</w:t>
            </w:r>
            <w:proofErr w:type="spellEnd"/>
            <w:r w:rsidR="00661087" w:rsidRPr="006E109A">
              <w:rPr>
                <w:color w:val="000000"/>
                <w:sz w:val="20"/>
                <w:szCs w:val="22"/>
              </w:rPr>
              <w:t xml:space="preserve"> 0,05 </w:t>
            </w:r>
            <w:proofErr w:type="spellStart"/>
            <w:r w:rsidR="00661087" w:rsidRPr="006E109A">
              <w:rPr>
                <w:color w:val="000000"/>
                <w:sz w:val="20"/>
                <w:szCs w:val="22"/>
              </w:rPr>
              <w:t>милиона</w:t>
            </w:r>
            <w:proofErr w:type="spellEnd"/>
            <w:r w:rsidR="00661087" w:rsidRPr="006E109A">
              <w:rPr>
                <w:color w:val="000000"/>
                <w:sz w:val="20"/>
                <w:szCs w:val="22"/>
              </w:rPr>
              <w:t xml:space="preserve"> КМ (</w:t>
            </w:r>
            <w:proofErr w:type="spellStart"/>
            <w:r w:rsidR="00661087" w:rsidRPr="006E109A">
              <w:rPr>
                <w:color w:val="000000"/>
                <w:sz w:val="20"/>
                <w:szCs w:val="22"/>
              </w:rPr>
              <w:t>Вишеград</w:t>
            </w:r>
            <w:proofErr w:type="spellEnd"/>
            <w:r w:rsidR="00661087" w:rsidRPr="006E109A">
              <w:rPr>
                <w:color w:val="000000"/>
                <w:sz w:val="20"/>
                <w:szCs w:val="22"/>
              </w:rPr>
              <w:t xml:space="preserve">) </w:t>
            </w:r>
            <w:proofErr w:type="spellStart"/>
            <w:r w:rsidR="00661087" w:rsidRPr="006E109A">
              <w:rPr>
                <w:color w:val="000000"/>
                <w:sz w:val="20"/>
                <w:szCs w:val="22"/>
              </w:rPr>
              <w:t>до</w:t>
            </w:r>
            <w:proofErr w:type="spellEnd"/>
            <w:r w:rsidR="00661087" w:rsidRPr="006E109A">
              <w:rPr>
                <w:color w:val="000000"/>
                <w:sz w:val="20"/>
                <w:szCs w:val="22"/>
              </w:rPr>
              <w:t xml:space="preserve"> 1,3 </w:t>
            </w:r>
            <w:proofErr w:type="spellStart"/>
            <w:r w:rsidR="00661087" w:rsidRPr="006E109A">
              <w:rPr>
                <w:color w:val="000000"/>
                <w:sz w:val="20"/>
                <w:szCs w:val="22"/>
              </w:rPr>
              <w:t>мил</w:t>
            </w:r>
            <w:proofErr w:type="spellEnd"/>
            <w:r w:rsidR="00661087" w:rsidRPr="006E109A">
              <w:rPr>
                <w:color w:val="000000"/>
                <w:sz w:val="20"/>
                <w:szCs w:val="22"/>
              </w:rPr>
              <w:t>. КМ (</w:t>
            </w:r>
            <w:proofErr w:type="spellStart"/>
            <w:r w:rsidR="00661087" w:rsidRPr="006E109A">
              <w:rPr>
                <w:color w:val="000000"/>
                <w:sz w:val="20"/>
                <w:szCs w:val="22"/>
              </w:rPr>
              <w:t>Бања</w:t>
            </w:r>
            <w:proofErr w:type="spellEnd"/>
            <w:r w:rsidR="00661087" w:rsidRPr="006E109A">
              <w:rPr>
                <w:color w:val="000000"/>
                <w:sz w:val="20"/>
                <w:szCs w:val="22"/>
              </w:rPr>
              <w:t xml:space="preserve"> </w:t>
            </w:r>
            <w:proofErr w:type="spellStart"/>
            <w:r w:rsidR="00661087" w:rsidRPr="006E109A">
              <w:rPr>
                <w:color w:val="000000"/>
                <w:sz w:val="20"/>
                <w:szCs w:val="22"/>
              </w:rPr>
              <w:t>Лука</w:t>
            </w:r>
            <w:proofErr w:type="spellEnd"/>
            <w:r w:rsidR="00661087" w:rsidRPr="006E109A">
              <w:rPr>
                <w:color w:val="000000"/>
                <w:sz w:val="20"/>
                <w:szCs w:val="22"/>
              </w:rPr>
              <w:t xml:space="preserve">) у </w:t>
            </w:r>
            <w:proofErr w:type="spellStart"/>
            <w:r w:rsidR="00661087" w:rsidRPr="006E109A">
              <w:rPr>
                <w:color w:val="000000"/>
                <w:sz w:val="20"/>
                <w:szCs w:val="22"/>
              </w:rPr>
              <w:t>зависно</w:t>
            </w:r>
            <w:proofErr w:type="spellEnd"/>
            <w:r w:rsidR="006C5CAE">
              <w:rPr>
                <w:color w:val="000000"/>
                <w:sz w:val="20"/>
                <w:szCs w:val="22"/>
                <w:lang w:val="sr-Cyrl-RS"/>
              </w:rPr>
              <w:t>с</w:t>
            </w:r>
            <w:proofErr w:type="spellStart"/>
            <w:r w:rsidR="00661087" w:rsidRPr="006E109A">
              <w:rPr>
                <w:color w:val="000000"/>
                <w:sz w:val="20"/>
                <w:szCs w:val="22"/>
              </w:rPr>
              <w:t>ти</w:t>
            </w:r>
            <w:proofErr w:type="spellEnd"/>
            <w:r w:rsidR="00661087" w:rsidRPr="006E109A">
              <w:rPr>
                <w:color w:val="000000"/>
                <w:sz w:val="20"/>
                <w:szCs w:val="22"/>
              </w:rPr>
              <w:t xml:space="preserve"> </w:t>
            </w:r>
            <w:proofErr w:type="spellStart"/>
            <w:r w:rsidR="00661087" w:rsidRPr="006E109A">
              <w:rPr>
                <w:color w:val="000000"/>
                <w:sz w:val="20"/>
                <w:szCs w:val="22"/>
              </w:rPr>
              <w:t>од</w:t>
            </w:r>
            <w:proofErr w:type="spellEnd"/>
            <w:r w:rsidR="00661087" w:rsidRPr="006E109A">
              <w:rPr>
                <w:color w:val="000000"/>
                <w:sz w:val="20"/>
                <w:szCs w:val="22"/>
              </w:rPr>
              <w:t xml:space="preserve"> </w:t>
            </w:r>
            <w:proofErr w:type="spellStart"/>
            <w:r w:rsidR="00661087" w:rsidRPr="006E109A">
              <w:rPr>
                <w:color w:val="000000"/>
                <w:sz w:val="20"/>
                <w:szCs w:val="22"/>
              </w:rPr>
              <w:t>величине</w:t>
            </w:r>
            <w:proofErr w:type="spellEnd"/>
            <w:r w:rsidR="00661087" w:rsidRPr="006E109A">
              <w:rPr>
                <w:color w:val="000000"/>
                <w:sz w:val="20"/>
                <w:szCs w:val="22"/>
              </w:rPr>
              <w:t xml:space="preserve"> </w:t>
            </w:r>
            <w:r w:rsidR="001D1230">
              <w:rPr>
                <w:color w:val="000000"/>
                <w:sz w:val="20"/>
                <w:szCs w:val="22"/>
                <w:lang w:val="sr-Cyrl-RS"/>
              </w:rPr>
              <w:t>ЈЛС</w:t>
            </w:r>
            <w:r w:rsidR="00661087" w:rsidRPr="006E109A">
              <w:rPr>
                <w:color w:val="000000"/>
                <w:sz w:val="20"/>
                <w:szCs w:val="22"/>
              </w:rPr>
              <w:t xml:space="preserve">. </w:t>
            </w:r>
            <w:proofErr w:type="spellStart"/>
            <w:r w:rsidR="00661087" w:rsidRPr="006E109A">
              <w:rPr>
                <w:color w:val="000000"/>
                <w:sz w:val="20"/>
                <w:szCs w:val="22"/>
              </w:rPr>
              <w:t>Реализација</w:t>
            </w:r>
            <w:proofErr w:type="spellEnd"/>
            <w:r w:rsidR="00661087" w:rsidRPr="006E109A">
              <w:rPr>
                <w:color w:val="000000"/>
                <w:sz w:val="20"/>
                <w:szCs w:val="22"/>
              </w:rPr>
              <w:t xml:space="preserve"> </w:t>
            </w:r>
            <w:proofErr w:type="spellStart"/>
            <w:r w:rsidR="00661087" w:rsidRPr="006E109A">
              <w:rPr>
                <w:color w:val="000000"/>
                <w:sz w:val="20"/>
                <w:szCs w:val="22"/>
              </w:rPr>
              <w:t>ових</w:t>
            </w:r>
            <w:proofErr w:type="spellEnd"/>
            <w:r w:rsidR="00661087" w:rsidRPr="006E109A">
              <w:rPr>
                <w:color w:val="000000"/>
                <w:sz w:val="20"/>
                <w:szCs w:val="22"/>
              </w:rPr>
              <w:t xml:space="preserve"> </w:t>
            </w:r>
            <w:proofErr w:type="spellStart"/>
            <w:r w:rsidR="00661087" w:rsidRPr="006E109A">
              <w:rPr>
                <w:color w:val="000000"/>
                <w:sz w:val="20"/>
                <w:szCs w:val="22"/>
              </w:rPr>
              <w:t>средстава</w:t>
            </w:r>
            <w:proofErr w:type="spellEnd"/>
            <w:r w:rsidR="00661087" w:rsidRPr="006E109A">
              <w:rPr>
                <w:color w:val="000000"/>
                <w:sz w:val="20"/>
                <w:szCs w:val="22"/>
              </w:rPr>
              <w:t xml:space="preserve"> </w:t>
            </w:r>
            <w:proofErr w:type="spellStart"/>
            <w:r w:rsidR="00661087" w:rsidRPr="006E109A">
              <w:rPr>
                <w:color w:val="000000"/>
                <w:sz w:val="20"/>
                <w:szCs w:val="22"/>
              </w:rPr>
              <w:t>код</w:t>
            </w:r>
            <w:proofErr w:type="spellEnd"/>
            <w:r w:rsidR="00661087" w:rsidRPr="006E109A">
              <w:rPr>
                <w:color w:val="000000"/>
                <w:sz w:val="20"/>
                <w:szCs w:val="22"/>
              </w:rPr>
              <w:t xml:space="preserve"> </w:t>
            </w:r>
            <w:proofErr w:type="spellStart"/>
            <w:r w:rsidR="00661087" w:rsidRPr="006E109A">
              <w:rPr>
                <w:color w:val="000000"/>
                <w:sz w:val="20"/>
                <w:szCs w:val="22"/>
              </w:rPr>
              <w:t>свих</w:t>
            </w:r>
            <w:proofErr w:type="spellEnd"/>
            <w:r w:rsidR="00661087" w:rsidRPr="006E109A">
              <w:rPr>
                <w:color w:val="000000"/>
                <w:sz w:val="20"/>
                <w:szCs w:val="22"/>
              </w:rPr>
              <w:t xml:space="preserve"> </w:t>
            </w:r>
            <w:proofErr w:type="spellStart"/>
            <w:r w:rsidR="00661087" w:rsidRPr="006E109A">
              <w:rPr>
                <w:color w:val="000000"/>
                <w:sz w:val="20"/>
                <w:szCs w:val="22"/>
              </w:rPr>
              <w:t>општина</w:t>
            </w:r>
            <w:proofErr w:type="spellEnd"/>
            <w:r w:rsidR="00661087" w:rsidRPr="006E109A">
              <w:rPr>
                <w:color w:val="000000"/>
                <w:sz w:val="20"/>
                <w:szCs w:val="22"/>
              </w:rPr>
              <w:t xml:space="preserve"> </w:t>
            </w:r>
            <w:proofErr w:type="spellStart"/>
            <w:r w:rsidR="00661087" w:rsidRPr="006E109A">
              <w:rPr>
                <w:color w:val="000000"/>
                <w:sz w:val="20"/>
                <w:szCs w:val="22"/>
              </w:rPr>
              <w:t>је</w:t>
            </w:r>
            <w:proofErr w:type="spellEnd"/>
            <w:r w:rsidR="00661087" w:rsidRPr="006E109A">
              <w:rPr>
                <w:color w:val="000000"/>
                <w:sz w:val="20"/>
                <w:szCs w:val="22"/>
              </w:rPr>
              <w:t xml:space="preserve"> у </w:t>
            </w:r>
            <w:proofErr w:type="spellStart"/>
            <w:r w:rsidR="00661087" w:rsidRPr="006E109A">
              <w:rPr>
                <w:color w:val="000000"/>
                <w:sz w:val="20"/>
                <w:szCs w:val="22"/>
              </w:rPr>
              <w:t>току</w:t>
            </w:r>
            <w:proofErr w:type="spellEnd"/>
            <w:r w:rsidR="00661087" w:rsidRPr="006E109A">
              <w:rPr>
                <w:color w:val="000000"/>
                <w:sz w:val="20"/>
                <w:szCs w:val="22"/>
              </w:rPr>
              <w:t xml:space="preserve">, </w:t>
            </w:r>
            <w:proofErr w:type="spellStart"/>
            <w:r w:rsidR="00661087" w:rsidRPr="006E109A">
              <w:rPr>
                <w:color w:val="000000"/>
                <w:sz w:val="20"/>
                <w:szCs w:val="22"/>
              </w:rPr>
              <w:t>коначан</w:t>
            </w:r>
            <w:proofErr w:type="spellEnd"/>
            <w:r w:rsidR="00661087" w:rsidRPr="006E109A">
              <w:rPr>
                <w:color w:val="000000"/>
                <w:sz w:val="20"/>
                <w:szCs w:val="22"/>
              </w:rPr>
              <w:t xml:space="preserve"> </w:t>
            </w:r>
            <w:proofErr w:type="spellStart"/>
            <w:r w:rsidR="00661087" w:rsidRPr="006E109A">
              <w:rPr>
                <w:color w:val="000000"/>
                <w:sz w:val="20"/>
                <w:szCs w:val="22"/>
              </w:rPr>
              <w:t>изн</w:t>
            </w:r>
            <w:r w:rsidR="001D1230">
              <w:rPr>
                <w:color w:val="000000"/>
                <w:sz w:val="20"/>
                <w:szCs w:val="22"/>
              </w:rPr>
              <w:t>ос</w:t>
            </w:r>
            <w:proofErr w:type="spellEnd"/>
            <w:r w:rsidR="001D1230">
              <w:rPr>
                <w:color w:val="000000"/>
                <w:sz w:val="20"/>
                <w:szCs w:val="22"/>
              </w:rPr>
              <w:t xml:space="preserve"> </w:t>
            </w:r>
            <w:proofErr w:type="spellStart"/>
            <w:r w:rsidR="001D1230">
              <w:rPr>
                <w:color w:val="000000"/>
                <w:sz w:val="20"/>
                <w:szCs w:val="22"/>
              </w:rPr>
              <w:t>биће</w:t>
            </w:r>
            <w:proofErr w:type="spellEnd"/>
            <w:r w:rsidR="001D1230">
              <w:rPr>
                <w:color w:val="000000"/>
                <w:sz w:val="20"/>
                <w:szCs w:val="22"/>
              </w:rPr>
              <w:t xml:space="preserve"> </w:t>
            </w:r>
            <w:proofErr w:type="spellStart"/>
            <w:r w:rsidR="001D1230">
              <w:rPr>
                <w:color w:val="000000"/>
                <w:sz w:val="20"/>
                <w:szCs w:val="22"/>
              </w:rPr>
              <w:t>познат</w:t>
            </w:r>
            <w:proofErr w:type="spellEnd"/>
            <w:r w:rsidR="001D1230">
              <w:rPr>
                <w:color w:val="000000"/>
                <w:sz w:val="20"/>
                <w:szCs w:val="22"/>
              </w:rPr>
              <w:t xml:space="preserve"> </w:t>
            </w:r>
            <w:proofErr w:type="spellStart"/>
            <w:r w:rsidR="001D1230">
              <w:rPr>
                <w:color w:val="000000"/>
                <w:sz w:val="20"/>
                <w:szCs w:val="22"/>
              </w:rPr>
              <w:t>на</w:t>
            </w:r>
            <w:proofErr w:type="spellEnd"/>
            <w:r w:rsidR="001D1230">
              <w:rPr>
                <w:color w:val="000000"/>
                <w:sz w:val="20"/>
                <w:szCs w:val="22"/>
              </w:rPr>
              <w:t xml:space="preserve"> </w:t>
            </w:r>
            <w:proofErr w:type="spellStart"/>
            <w:r w:rsidR="001D1230">
              <w:rPr>
                <w:color w:val="000000"/>
                <w:sz w:val="20"/>
                <w:szCs w:val="22"/>
              </w:rPr>
              <w:t>крају</w:t>
            </w:r>
            <w:proofErr w:type="spellEnd"/>
            <w:r w:rsidR="001D1230">
              <w:rPr>
                <w:color w:val="000000"/>
                <w:sz w:val="20"/>
                <w:szCs w:val="22"/>
              </w:rPr>
              <w:t xml:space="preserve"> </w:t>
            </w:r>
            <w:proofErr w:type="spellStart"/>
            <w:r w:rsidR="001D1230">
              <w:rPr>
                <w:color w:val="000000"/>
                <w:sz w:val="20"/>
                <w:szCs w:val="22"/>
              </w:rPr>
              <w:t>године</w:t>
            </w:r>
            <w:proofErr w:type="spellEnd"/>
            <w:r w:rsidR="001D1230">
              <w:rPr>
                <w:color w:val="000000"/>
                <w:sz w:val="20"/>
                <w:szCs w:val="22"/>
              </w:rPr>
              <w:t>.</w:t>
            </w:r>
          </w:p>
          <w:p w14:paraId="5CCDD6E0" w14:textId="77777777" w:rsidR="00661087" w:rsidRDefault="00040953" w:rsidP="001D1230">
            <w:pPr>
              <w:jc w:val="both"/>
              <w:rPr>
                <w:color w:val="000000"/>
                <w:sz w:val="20"/>
                <w:szCs w:val="22"/>
                <w:lang w:val="sr-Cyrl-RS"/>
              </w:rPr>
            </w:pPr>
            <w:r>
              <w:rPr>
                <w:color w:val="000000"/>
                <w:sz w:val="20"/>
                <w:szCs w:val="22"/>
                <w:lang w:val="sr-Cyrl-RS"/>
              </w:rPr>
              <w:t>5</w:t>
            </w:r>
            <w:r w:rsidR="001D1230">
              <w:rPr>
                <w:color w:val="000000"/>
                <w:sz w:val="20"/>
                <w:szCs w:val="22"/>
                <w:lang w:val="sr-Cyrl-RS"/>
              </w:rPr>
              <w:t xml:space="preserve">. </w:t>
            </w:r>
            <w:proofErr w:type="spellStart"/>
            <w:r w:rsidR="00661087" w:rsidRPr="006E109A">
              <w:rPr>
                <w:color w:val="000000"/>
                <w:sz w:val="20"/>
                <w:szCs w:val="22"/>
              </w:rPr>
              <w:t>Све</w:t>
            </w:r>
            <w:proofErr w:type="spellEnd"/>
            <w:r w:rsidR="00661087" w:rsidRPr="006E109A">
              <w:rPr>
                <w:color w:val="000000"/>
                <w:sz w:val="20"/>
                <w:szCs w:val="22"/>
              </w:rPr>
              <w:t xml:space="preserve"> </w:t>
            </w:r>
            <w:proofErr w:type="spellStart"/>
            <w:r w:rsidR="00661087" w:rsidRPr="006E109A">
              <w:rPr>
                <w:color w:val="000000"/>
                <w:sz w:val="20"/>
                <w:szCs w:val="22"/>
              </w:rPr>
              <w:t>одлуке</w:t>
            </w:r>
            <w:proofErr w:type="spellEnd"/>
            <w:r w:rsidR="00661087" w:rsidRPr="006E109A">
              <w:rPr>
                <w:color w:val="000000"/>
                <w:sz w:val="20"/>
                <w:szCs w:val="22"/>
              </w:rPr>
              <w:t xml:space="preserve"> и </w:t>
            </w:r>
            <w:proofErr w:type="spellStart"/>
            <w:r w:rsidR="00661087" w:rsidRPr="006E109A">
              <w:rPr>
                <w:color w:val="000000"/>
                <w:sz w:val="20"/>
                <w:szCs w:val="22"/>
              </w:rPr>
              <w:t>програми</w:t>
            </w:r>
            <w:proofErr w:type="spellEnd"/>
            <w:r w:rsidR="00661087" w:rsidRPr="006E109A">
              <w:rPr>
                <w:color w:val="000000"/>
                <w:sz w:val="20"/>
                <w:szCs w:val="22"/>
              </w:rPr>
              <w:t xml:space="preserve"> </w:t>
            </w:r>
            <w:proofErr w:type="spellStart"/>
            <w:r w:rsidR="00661087" w:rsidRPr="006E109A">
              <w:rPr>
                <w:color w:val="000000"/>
                <w:sz w:val="20"/>
                <w:szCs w:val="22"/>
              </w:rPr>
              <w:t>објављиване</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у </w:t>
            </w:r>
            <w:proofErr w:type="spellStart"/>
            <w:r w:rsidR="00661087" w:rsidRPr="006E109A">
              <w:rPr>
                <w:color w:val="000000"/>
                <w:sz w:val="20"/>
                <w:szCs w:val="22"/>
              </w:rPr>
              <w:t>службеним</w:t>
            </w:r>
            <w:proofErr w:type="spellEnd"/>
            <w:r w:rsidR="00661087" w:rsidRPr="006E109A">
              <w:rPr>
                <w:color w:val="000000"/>
                <w:sz w:val="20"/>
                <w:szCs w:val="22"/>
              </w:rPr>
              <w:t xml:space="preserve"> </w:t>
            </w:r>
            <w:proofErr w:type="spellStart"/>
            <w:r w:rsidR="00661087" w:rsidRPr="006E109A">
              <w:rPr>
                <w:color w:val="000000"/>
                <w:sz w:val="20"/>
                <w:szCs w:val="22"/>
              </w:rPr>
              <w:t>гласницима</w:t>
            </w:r>
            <w:proofErr w:type="spellEnd"/>
            <w:r w:rsidR="00661087" w:rsidRPr="006E109A">
              <w:rPr>
                <w:color w:val="000000"/>
                <w:sz w:val="20"/>
                <w:szCs w:val="22"/>
              </w:rPr>
              <w:t xml:space="preserve"> и </w:t>
            </w:r>
            <w:proofErr w:type="spellStart"/>
            <w:r w:rsidR="00661087" w:rsidRPr="006E109A">
              <w:rPr>
                <w:color w:val="000000"/>
                <w:sz w:val="20"/>
                <w:szCs w:val="22"/>
              </w:rPr>
              <w:t>доступне</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w:t>
            </w:r>
            <w:proofErr w:type="spellStart"/>
            <w:r w:rsidR="00661087" w:rsidRPr="006E109A">
              <w:rPr>
                <w:color w:val="000000"/>
                <w:sz w:val="20"/>
                <w:szCs w:val="22"/>
              </w:rPr>
              <w:t>на</w:t>
            </w:r>
            <w:proofErr w:type="spellEnd"/>
            <w:r w:rsidR="00661087" w:rsidRPr="006E109A">
              <w:rPr>
                <w:color w:val="000000"/>
                <w:sz w:val="20"/>
                <w:szCs w:val="22"/>
              </w:rPr>
              <w:t xml:space="preserve"> </w:t>
            </w:r>
            <w:proofErr w:type="spellStart"/>
            <w:r w:rsidR="00661087" w:rsidRPr="006E109A">
              <w:rPr>
                <w:color w:val="000000"/>
                <w:sz w:val="20"/>
                <w:szCs w:val="22"/>
              </w:rPr>
              <w:t>интернет</w:t>
            </w:r>
            <w:proofErr w:type="spellEnd"/>
            <w:r w:rsidR="00661087" w:rsidRPr="006E109A">
              <w:rPr>
                <w:color w:val="000000"/>
                <w:sz w:val="20"/>
                <w:szCs w:val="22"/>
              </w:rPr>
              <w:t xml:space="preserve"> </w:t>
            </w:r>
            <w:proofErr w:type="spellStart"/>
            <w:r w:rsidR="00661087" w:rsidRPr="006E109A">
              <w:rPr>
                <w:color w:val="000000"/>
                <w:sz w:val="20"/>
                <w:szCs w:val="22"/>
              </w:rPr>
              <w:t>страницама</w:t>
            </w:r>
            <w:proofErr w:type="spellEnd"/>
            <w:r w:rsidR="00661087" w:rsidRPr="006E109A">
              <w:rPr>
                <w:color w:val="000000"/>
                <w:sz w:val="20"/>
                <w:szCs w:val="22"/>
              </w:rPr>
              <w:t xml:space="preserve"> </w:t>
            </w:r>
            <w:proofErr w:type="spellStart"/>
            <w:r w:rsidR="00661087" w:rsidRPr="006E109A">
              <w:rPr>
                <w:color w:val="000000"/>
                <w:sz w:val="20"/>
                <w:szCs w:val="22"/>
              </w:rPr>
              <w:t>градова</w:t>
            </w:r>
            <w:proofErr w:type="spellEnd"/>
            <w:r w:rsidR="00661087" w:rsidRPr="006E109A">
              <w:rPr>
                <w:color w:val="000000"/>
                <w:sz w:val="20"/>
                <w:szCs w:val="22"/>
              </w:rPr>
              <w:t>/</w:t>
            </w:r>
            <w:proofErr w:type="spellStart"/>
            <w:r w:rsidR="00661087" w:rsidRPr="006E109A">
              <w:rPr>
                <w:color w:val="000000"/>
                <w:sz w:val="20"/>
                <w:szCs w:val="22"/>
              </w:rPr>
              <w:t>општина</w:t>
            </w:r>
            <w:proofErr w:type="spellEnd"/>
            <w:r w:rsidR="00862D81">
              <w:rPr>
                <w:color w:val="000000"/>
                <w:sz w:val="20"/>
                <w:szCs w:val="22"/>
                <w:lang w:val="sr-Cyrl-RS"/>
              </w:rPr>
              <w:t xml:space="preserve"> (</w:t>
            </w:r>
            <w:proofErr w:type="spellStart"/>
            <w:r w:rsidR="00862D81">
              <w:rPr>
                <w:color w:val="000000"/>
                <w:sz w:val="20"/>
                <w:szCs w:val="22"/>
              </w:rPr>
              <w:t>осим</w:t>
            </w:r>
            <w:proofErr w:type="spellEnd"/>
            <w:r w:rsidR="00862D81">
              <w:rPr>
                <w:color w:val="000000"/>
                <w:sz w:val="20"/>
                <w:szCs w:val="22"/>
              </w:rPr>
              <w:t xml:space="preserve"> </w:t>
            </w:r>
            <w:proofErr w:type="spellStart"/>
            <w:r w:rsidR="00862D81">
              <w:rPr>
                <w:color w:val="000000"/>
                <w:sz w:val="20"/>
                <w:szCs w:val="22"/>
              </w:rPr>
              <w:t>једне</w:t>
            </w:r>
            <w:proofErr w:type="spellEnd"/>
            <w:r w:rsidR="00862D81">
              <w:rPr>
                <w:color w:val="000000"/>
                <w:sz w:val="20"/>
                <w:szCs w:val="22"/>
              </w:rPr>
              <w:t xml:space="preserve"> </w:t>
            </w:r>
            <w:r w:rsidR="00862D81">
              <w:rPr>
                <w:color w:val="000000"/>
                <w:sz w:val="20"/>
                <w:szCs w:val="22"/>
                <w:lang w:val="sr-Cyrl-RS"/>
              </w:rPr>
              <w:t>ЈЛС која се по овом питању није изјаснила)</w:t>
            </w:r>
            <w:r w:rsidR="00A275FE">
              <w:rPr>
                <w:color w:val="000000"/>
                <w:sz w:val="20"/>
                <w:szCs w:val="22"/>
                <w:lang w:val="sr-Cyrl-RS"/>
              </w:rPr>
              <w:t>.</w:t>
            </w:r>
          </w:p>
          <w:p w14:paraId="5FB93401" w14:textId="77777777" w:rsidR="000C7CE2" w:rsidRDefault="00040953" w:rsidP="000C7CE2">
            <w:pPr>
              <w:jc w:val="both"/>
              <w:rPr>
                <w:color w:val="000000"/>
                <w:sz w:val="20"/>
                <w:szCs w:val="22"/>
                <w:lang w:val="sr-Cyrl-RS"/>
              </w:rPr>
            </w:pPr>
            <w:r>
              <w:rPr>
                <w:color w:val="000000"/>
                <w:sz w:val="20"/>
                <w:szCs w:val="22"/>
                <w:lang w:val="sr-Cyrl-RS"/>
              </w:rPr>
              <w:t>6</w:t>
            </w:r>
            <w:r w:rsidR="00F92756">
              <w:rPr>
                <w:color w:val="000000"/>
                <w:sz w:val="20"/>
                <w:szCs w:val="22"/>
                <w:lang w:val="sr-Cyrl-RS"/>
              </w:rPr>
              <w:t xml:space="preserve">. </w:t>
            </w:r>
            <w:proofErr w:type="spellStart"/>
            <w:r w:rsidR="00F92756">
              <w:rPr>
                <w:color w:val="000000"/>
                <w:sz w:val="20"/>
                <w:szCs w:val="22"/>
                <w:lang w:val="sr-Cyrl-RS"/>
              </w:rPr>
              <w:t>Дод</w:t>
            </w:r>
            <w:r w:rsidR="000C7CE2">
              <w:rPr>
                <w:color w:val="000000"/>
                <w:sz w:val="20"/>
                <w:szCs w:val="22"/>
                <w:lang w:val="sr-Cyrl-RS"/>
              </w:rPr>
              <w:t>јела</w:t>
            </w:r>
            <w:proofErr w:type="spellEnd"/>
            <w:r w:rsidR="000C7CE2">
              <w:rPr>
                <w:color w:val="000000"/>
                <w:sz w:val="20"/>
                <w:szCs w:val="22"/>
                <w:lang w:val="sr-Cyrl-RS"/>
              </w:rPr>
              <w:t xml:space="preserve"> средстава вршена је путем јавног позива.</w:t>
            </w:r>
          </w:p>
          <w:p w14:paraId="5F0CE207" w14:textId="77777777" w:rsidR="000C7CE2" w:rsidRPr="00862D81" w:rsidRDefault="00040953" w:rsidP="000C7CE2">
            <w:pPr>
              <w:jc w:val="both"/>
              <w:rPr>
                <w:color w:val="000000"/>
                <w:sz w:val="20"/>
                <w:szCs w:val="22"/>
                <w:lang w:val="sr-Cyrl-RS"/>
              </w:rPr>
            </w:pPr>
            <w:r>
              <w:rPr>
                <w:color w:val="000000"/>
                <w:sz w:val="20"/>
                <w:szCs w:val="22"/>
                <w:lang w:val="sr-Cyrl-RS"/>
              </w:rPr>
              <w:t>7</w:t>
            </w:r>
            <w:r w:rsidR="000C7CE2">
              <w:rPr>
                <w:color w:val="000000"/>
                <w:sz w:val="20"/>
                <w:szCs w:val="22"/>
                <w:lang w:val="sr-Cyrl-RS"/>
              </w:rPr>
              <w:t>. Већина субвенција односила се на пословне субјекте којима је забрањен, отежан или ограничен рад у периоду март – јуни.</w:t>
            </w:r>
          </w:p>
        </w:tc>
      </w:tr>
      <w:tr w:rsidR="00661087" w14:paraId="36034223" w14:textId="77777777" w:rsidTr="00146C5F">
        <w:trPr>
          <w:trHeight w:val="555"/>
        </w:trPr>
        <w:tc>
          <w:tcPr>
            <w:tcW w:w="4397" w:type="dxa"/>
            <w:tcBorders>
              <w:top w:val="nil"/>
              <w:left w:val="single" w:sz="4" w:space="0" w:color="auto"/>
              <w:bottom w:val="single" w:sz="4" w:space="0" w:color="auto"/>
              <w:right w:val="single" w:sz="4" w:space="0" w:color="auto"/>
            </w:tcBorders>
            <w:shd w:val="clear" w:color="auto" w:fill="auto"/>
            <w:vAlign w:val="center"/>
            <w:hideMark/>
          </w:tcPr>
          <w:p w14:paraId="44401EDF" w14:textId="77777777" w:rsidR="002367EC" w:rsidRDefault="002367EC" w:rsidP="001D1230">
            <w:pPr>
              <w:rPr>
                <w:color w:val="000000"/>
                <w:sz w:val="20"/>
                <w:szCs w:val="22"/>
              </w:rPr>
            </w:pPr>
            <w:r>
              <w:rPr>
                <w:color w:val="000000"/>
                <w:sz w:val="20"/>
                <w:szCs w:val="22"/>
              </w:rPr>
              <w:t xml:space="preserve">        VII</w:t>
            </w:r>
          </w:p>
          <w:p w14:paraId="6AED3ABC" w14:textId="77777777" w:rsidR="00BC57D1" w:rsidRDefault="00661087" w:rsidP="001D1230">
            <w:pPr>
              <w:rPr>
                <w:color w:val="000000"/>
                <w:sz w:val="20"/>
                <w:szCs w:val="22"/>
                <w:lang w:val="sr-Cyrl-RS"/>
              </w:rPr>
            </w:pP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који</w:t>
            </w:r>
            <w:proofErr w:type="spellEnd"/>
            <w:r w:rsidRPr="006E109A">
              <w:rPr>
                <w:color w:val="000000"/>
                <w:sz w:val="20"/>
                <w:szCs w:val="22"/>
              </w:rPr>
              <w:t xml:space="preserve"> </w:t>
            </w:r>
            <w:proofErr w:type="spellStart"/>
            <w:r w:rsidRPr="006E109A">
              <w:rPr>
                <w:color w:val="000000"/>
                <w:sz w:val="20"/>
                <w:szCs w:val="22"/>
              </w:rPr>
              <w:t>начин</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пружена</w:t>
            </w:r>
            <w:proofErr w:type="spellEnd"/>
            <w:r w:rsidRPr="006E109A">
              <w:rPr>
                <w:color w:val="000000"/>
                <w:sz w:val="20"/>
                <w:szCs w:val="22"/>
              </w:rPr>
              <w:t xml:space="preserve"> </w:t>
            </w:r>
            <w:proofErr w:type="spellStart"/>
            <w:r w:rsidRPr="006E109A">
              <w:rPr>
                <w:color w:val="000000"/>
                <w:sz w:val="20"/>
                <w:szCs w:val="22"/>
              </w:rPr>
              <w:t>помоћ</w:t>
            </w:r>
            <w:proofErr w:type="spellEnd"/>
            <w:r w:rsidRPr="006E109A">
              <w:rPr>
                <w:color w:val="000000"/>
                <w:sz w:val="20"/>
                <w:szCs w:val="22"/>
              </w:rPr>
              <w:t xml:space="preserve"> </w:t>
            </w:r>
            <w:proofErr w:type="spellStart"/>
            <w:r w:rsidRPr="006E109A">
              <w:rPr>
                <w:color w:val="000000"/>
                <w:sz w:val="20"/>
                <w:szCs w:val="22"/>
              </w:rPr>
              <w:t>становништву</w:t>
            </w:r>
            <w:proofErr w:type="spellEnd"/>
            <w:r w:rsidRPr="006E109A">
              <w:rPr>
                <w:color w:val="000000"/>
                <w:sz w:val="20"/>
                <w:szCs w:val="22"/>
              </w:rPr>
              <w:t xml:space="preserve">, </w:t>
            </w:r>
            <w:proofErr w:type="spellStart"/>
            <w:r w:rsidRPr="006E109A">
              <w:rPr>
                <w:color w:val="000000"/>
                <w:sz w:val="20"/>
                <w:szCs w:val="22"/>
              </w:rPr>
              <w:t>због</w:t>
            </w:r>
            <w:proofErr w:type="spellEnd"/>
            <w:r w:rsidRPr="006E109A">
              <w:rPr>
                <w:color w:val="000000"/>
                <w:sz w:val="20"/>
                <w:szCs w:val="22"/>
              </w:rPr>
              <w:t xml:space="preserve"> </w:t>
            </w:r>
            <w:proofErr w:type="spellStart"/>
            <w:r w:rsidRPr="006E109A">
              <w:rPr>
                <w:color w:val="000000"/>
                <w:sz w:val="20"/>
                <w:szCs w:val="22"/>
              </w:rPr>
              <w:t>дј</w:t>
            </w:r>
            <w:r w:rsidR="00BC57D1">
              <w:rPr>
                <w:color w:val="000000"/>
                <w:sz w:val="20"/>
                <w:szCs w:val="22"/>
              </w:rPr>
              <w:t>еловања</w:t>
            </w:r>
            <w:proofErr w:type="spellEnd"/>
            <w:r w:rsidR="00BC57D1">
              <w:rPr>
                <w:color w:val="000000"/>
                <w:sz w:val="20"/>
                <w:szCs w:val="22"/>
              </w:rPr>
              <w:t xml:space="preserve"> COVID-19, </w:t>
            </w:r>
            <w:proofErr w:type="spellStart"/>
            <w:r w:rsidR="00BC57D1">
              <w:rPr>
                <w:color w:val="000000"/>
                <w:sz w:val="20"/>
                <w:szCs w:val="22"/>
              </w:rPr>
              <w:t>од</w:t>
            </w:r>
            <w:proofErr w:type="spellEnd"/>
            <w:r w:rsidR="00BC57D1">
              <w:rPr>
                <w:color w:val="000000"/>
                <w:sz w:val="20"/>
                <w:szCs w:val="22"/>
              </w:rPr>
              <w:t xml:space="preserve"> </w:t>
            </w:r>
            <w:proofErr w:type="spellStart"/>
            <w:r w:rsidR="00BC57D1">
              <w:rPr>
                <w:color w:val="000000"/>
                <w:sz w:val="20"/>
                <w:szCs w:val="22"/>
              </w:rPr>
              <w:t>стране</w:t>
            </w:r>
            <w:proofErr w:type="spellEnd"/>
            <w:r w:rsidR="00BC57D1">
              <w:rPr>
                <w:color w:val="000000"/>
                <w:sz w:val="20"/>
                <w:szCs w:val="22"/>
              </w:rPr>
              <w:t xml:space="preserve"> ЈЛС</w:t>
            </w:r>
            <w:r w:rsidR="00BC57D1">
              <w:rPr>
                <w:color w:val="000000"/>
                <w:sz w:val="20"/>
                <w:szCs w:val="22"/>
                <w:lang w:val="sr-Cyrl-RS"/>
              </w:rPr>
              <w:t>?</w:t>
            </w:r>
            <w:r w:rsidRPr="006E109A">
              <w:rPr>
                <w:color w:val="000000"/>
                <w:sz w:val="20"/>
                <w:szCs w:val="22"/>
              </w:rPr>
              <w:t xml:space="preserve"> </w:t>
            </w:r>
          </w:p>
          <w:p w14:paraId="29F32374" w14:textId="77777777" w:rsidR="00BC57D1" w:rsidRPr="00BC57D1" w:rsidRDefault="00BC57D1" w:rsidP="001D1230">
            <w:pPr>
              <w:rPr>
                <w:color w:val="000000"/>
                <w:sz w:val="20"/>
                <w:szCs w:val="22"/>
                <w:lang w:val="sr-Cyrl-RS"/>
              </w:rPr>
            </w:pPr>
          </w:p>
          <w:p w14:paraId="6FA3D501" w14:textId="77777777" w:rsidR="00BC57D1" w:rsidRDefault="00661087" w:rsidP="001D1230">
            <w:pPr>
              <w:rPr>
                <w:color w:val="000000"/>
                <w:sz w:val="20"/>
                <w:szCs w:val="22"/>
              </w:rPr>
            </w:pPr>
            <w:proofErr w:type="spellStart"/>
            <w:r w:rsidRPr="006E109A">
              <w:rPr>
                <w:color w:val="000000"/>
                <w:sz w:val="20"/>
                <w:szCs w:val="22"/>
              </w:rPr>
              <w:t>Колики</w:t>
            </w:r>
            <w:proofErr w:type="spellEnd"/>
            <w:r w:rsidRPr="006E109A">
              <w:rPr>
                <w:color w:val="000000"/>
                <w:sz w:val="20"/>
                <w:szCs w:val="22"/>
              </w:rPr>
              <w:t xml:space="preserve"> </w:t>
            </w:r>
            <w:proofErr w:type="spellStart"/>
            <w:r w:rsidRPr="006E109A">
              <w:rPr>
                <w:color w:val="000000"/>
                <w:sz w:val="20"/>
                <w:szCs w:val="22"/>
              </w:rPr>
              <w:t>је</w:t>
            </w:r>
            <w:proofErr w:type="spellEnd"/>
            <w:r w:rsidRPr="006E109A">
              <w:rPr>
                <w:color w:val="000000"/>
                <w:sz w:val="20"/>
                <w:szCs w:val="22"/>
              </w:rPr>
              <w:t xml:space="preserve"> </w:t>
            </w:r>
            <w:proofErr w:type="spellStart"/>
            <w:r w:rsidRPr="006E109A">
              <w:rPr>
                <w:color w:val="000000"/>
                <w:sz w:val="20"/>
                <w:szCs w:val="22"/>
              </w:rPr>
              <w:t>планирани</w:t>
            </w:r>
            <w:proofErr w:type="spellEnd"/>
            <w:r w:rsidRPr="006E109A">
              <w:rPr>
                <w:color w:val="000000"/>
                <w:sz w:val="20"/>
                <w:szCs w:val="22"/>
              </w:rPr>
              <w:t xml:space="preserve"> </w:t>
            </w:r>
            <w:proofErr w:type="spellStart"/>
            <w:r w:rsidRPr="006E109A">
              <w:rPr>
                <w:color w:val="000000"/>
                <w:sz w:val="20"/>
                <w:szCs w:val="22"/>
              </w:rPr>
              <w:t>износ</w:t>
            </w:r>
            <w:proofErr w:type="spellEnd"/>
            <w:r w:rsidRPr="006E109A">
              <w:rPr>
                <w:color w:val="000000"/>
                <w:sz w:val="20"/>
                <w:szCs w:val="22"/>
              </w:rPr>
              <w:t xml:space="preserve">? </w:t>
            </w:r>
          </w:p>
          <w:p w14:paraId="7B2F8C95" w14:textId="77777777" w:rsidR="00BC57D1" w:rsidRDefault="00BC57D1" w:rsidP="001D1230">
            <w:pPr>
              <w:rPr>
                <w:color w:val="000000"/>
                <w:sz w:val="20"/>
                <w:szCs w:val="22"/>
              </w:rPr>
            </w:pPr>
          </w:p>
          <w:p w14:paraId="6A312ED5" w14:textId="77777777" w:rsidR="00661087" w:rsidRPr="006E109A" w:rsidRDefault="001D1230" w:rsidP="001D1230">
            <w:pPr>
              <w:rPr>
                <w:color w:val="000000"/>
                <w:sz w:val="20"/>
                <w:szCs w:val="22"/>
              </w:rPr>
            </w:pPr>
            <w:r>
              <w:rPr>
                <w:color w:val="000000"/>
                <w:sz w:val="20"/>
                <w:szCs w:val="22"/>
                <w:lang w:val="sr-Cyrl-RS"/>
              </w:rPr>
              <w:t xml:space="preserve">Начин доношења </w:t>
            </w:r>
            <w:proofErr w:type="spellStart"/>
            <w:r>
              <w:rPr>
                <w:color w:val="000000"/>
                <w:sz w:val="20"/>
                <w:szCs w:val="22"/>
              </w:rPr>
              <w:t>к</w:t>
            </w:r>
            <w:r w:rsidR="00661087" w:rsidRPr="006E109A">
              <w:rPr>
                <w:color w:val="000000"/>
                <w:sz w:val="20"/>
                <w:szCs w:val="22"/>
              </w:rPr>
              <w:t>роз</w:t>
            </w:r>
            <w:proofErr w:type="spellEnd"/>
            <w:r w:rsidR="00661087" w:rsidRPr="006E109A">
              <w:rPr>
                <w:color w:val="000000"/>
                <w:sz w:val="20"/>
                <w:szCs w:val="22"/>
              </w:rPr>
              <w:t xml:space="preserve"> </w:t>
            </w:r>
            <w:proofErr w:type="spellStart"/>
            <w:r w:rsidR="00661087" w:rsidRPr="006E109A">
              <w:rPr>
                <w:color w:val="000000"/>
                <w:sz w:val="20"/>
                <w:szCs w:val="22"/>
              </w:rPr>
              <w:t>посебне</w:t>
            </w:r>
            <w:proofErr w:type="spellEnd"/>
            <w:r w:rsidR="00661087" w:rsidRPr="006E109A">
              <w:rPr>
                <w:color w:val="000000"/>
                <w:sz w:val="20"/>
                <w:szCs w:val="22"/>
              </w:rPr>
              <w:t xml:space="preserve"> </w:t>
            </w:r>
            <w:proofErr w:type="spellStart"/>
            <w:r w:rsidR="00661087" w:rsidRPr="006E109A">
              <w:rPr>
                <w:color w:val="000000"/>
                <w:sz w:val="20"/>
                <w:szCs w:val="22"/>
              </w:rPr>
              <w:t>скупштинске</w:t>
            </w:r>
            <w:proofErr w:type="spellEnd"/>
            <w:r w:rsidR="00661087" w:rsidRPr="006E109A">
              <w:rPr>
                <w:color w:val="000000"/>
                <w:sz w:val="20"/>
                <w:szCs w:val="22"/>
              </w:rPr>
              <w:t xml:space="preserve"> </w:t>
            </w:r>
            <w:proofErr w:type="spellStart"/>
            <w:r w:rsidR="00661087" w:rsidRPr="006E109A">
              <w:rPr>
                <w:color w:val="000000"/>
                <w:sz w:val="20"/>
                <w:szCs w:val="22"/>
              </w:rPr>
              <w:t>одлуке</w:t>
            </w:r>
            <w:proofErr w:type="spellEnd"/>
            <w:r w:rsidR="00661087" w:rsidRPr="006E109A">
              <w:rPr>
                <w:color w:val="000000"/>
                <w:sz w:val="20"/>
                <w:szCs w:val="22"/>
              </w:rPr>
              <w:t xml:space="preserve">? </w:t>
            </w:r>
            <w:proofErr w:type="spellStart"/>
            <w:r w:rsidR="00661087" w:rsidRPr="006E109A">
              <w:rPr>
                <w:color w:val="000000"/>
                <w:sz w:val="20"/>
                <w:szCs w:val="22"/>
              </w:rPr>
              <w:t>Или</w:t>
            </w:r>
            <w:proofErr w:type="spellEnd"/>
            <w:r w:rsidR="00661087" w:rsidRPr="006E109A">
              <w:rPr>
                <w:color w:val="000000"/>
                <w:sz w:val="20"/>
                <w:szCs w:val="22"/>
              </w:rPr>
              <w:t xml:space="preserve"> </w:t>
            </w:r>
            <w:proofErr w:type="spellStart"/>
            <w:r w:rsidR="00661087" w:rsidRPr="006E109A">
              <w:rPr>
                <w:color w:val="000000"/>
                <w:sz w:val="20"/>
                <w:szCs w:val="22"/>
              </w:rPr>
              <w:t>на</w:t>
            </w:r>
            <w:proofErr w:type="spellEnd"/>
            <w:r w:rsidR="00661087" w:rsidRPr="006E109A">
              <w:rPr>
                <w:color w:val="000000"/>
                <w:sz w:val="20"/>
                <w:szCs w:val="22"/>
              </w:rPr>
              <w:t xml:space="preserve"> </w:t>
            </w:r>
            <w:proofErr w:type="spellStart"/>
            <w:r w:rsidR="00661087" w:rsidRPr="006E109A">
              <w:rPr>
                <w:color w:val="000000"/>
                <w:sz w:val="20"/>
                <w:szCs w:val="22"/>
              </w:rPr>
              <w:t>други</w:t>
            </w:r>
            <w:proofErr w:type="spellEnd"/>
            <w:r w:rsidR="00661087" w:rsidRPr="006E109A">
              <w:rPr>
                <w:color w:val="000000"/>
                <w:sz w:val="20"/>
                <w:szCs w:val="22"/>
              </w:rPr>
              <w:t xml:space="preserve"> </w:t>
            </w:r>
            <w:proofErr w:type="spellStart"/>
            <w:r w:rsidR="00661087" w:rsidRPr="006E109A">
              <w:rPr>
                <w:color w:val="000000"/>
                <w:sz w:val="20"/>
                <w:szCs w:val="22"/>
              </w:rPr>
              <w:t>начин</w:t>
            </w:r>
            <w:proofErr w:type="spellEnd"/>
            <w:r w:rsidR="00661087" w:rsidRPr="006E109A">
              <w:rPr>
                <w:color w:val="000000"/>
                <w:sz w:val="20"/>
                <w:szCs w:val="22"/>
              </w:rPr>
              <w:t xml:space="preserve">? </w:t>
            </w:r>
          </w:p>
        </w:tc>
        <w:tc>
          <w:tcPr>
            <w:tcW w:w="5525" w:type="dxa"/>
            <w:tcBorders>
              <w:top w:val="nil"/>
              <w:left w:val="nil"/>
              <w:bottom w:val="single" w:sz="4" w:space="0" w:color="auto"/>
              <w:right w:val="single" w:sz="4" w:space="0" w:color="auto"/>
            </w:tcBorders>
            <w:shd w:val="clear" w:color="auto" w:fill="auto"/>
            <w:vAlign w:val="center"/>
            <w:hideMark/>
          </w:tcPr>
          <w:p w14:paraId="7BDE8135" w14:textId="77777777" w:rsidR="006C507F" w:rsidRDefault="001D1230" w:rsidP="001D1230">
            <w:pPr>
              <w:rPr>
                <w:color w:val="000000"/>
                <w:sz w:val="20"/>
                <w:szCs w:val="22"/>
              </w:rPr>
            </w:pPr>
            <w:r>
              <w:rPr>
                <w:color w:val="000000"/>
                <w:sz w:val="20"/>
                <w:szCs w:val="22"/>
                <w:lang w:val="sr-Cyrl-RS"/>
              </w:rPr>
              <w:t>1. С</w:t>
            </w:r>
            <w:proofErr w:type="spellStart"/>
            <w:r w:rsidR="00661087" w:rsidRPr="006E109A">
              <w:rPr>
                <w:color w:val="000000"/>
                <w:sz w:val="20"/>
                <w:szCs w:val="22"/>
              </w:rPr>
              <w:t>редства</w:t>
            </w:r>
            <w:proofErr w:type="spellEnd"/>
            <w:r>
              <w:rPr>
                <w:color w:val="000000"/>
                <w:sz w:val="20"/>
                <w:szCs w:val="22"/>
                <w:lang w:val="sr-Cyrl-RS"/>
              </w:rPr>
              <w:t xml:space="preserve"> </w:t>
            </w:r>
            <w:proofErr w:type="spellStart"/>
            <w:r>
              <w:rPr>
                <w:color w:val="000000"/>
                <w:sz w:val="20"/>
                <w:szCs w:val="22"/>
                <w:lang w:val="sr-Cyrl-RS"/>
              </w:rPr>
              <w:t>намијењена</w:t>
            </w:r>
            <w:proofErr w:type="spellEnd"/>
            <w:r w:rsidR="00661087" w:rsidRPr="006E109A">
              <w:rPr>
                <w:color w:val="000000"/>
                <w:sz w:val="20"/>
                <w:szCs w:val="22"/>
              </w:rPr>
              <w:t xml:space="preserve"> </w:t>
            </w:r>
            <w:proofErr w:type="spellStart"/>
            <w:r w:rsidR="00661087" w:rsidRPr="006E109A">
              <w:rPr>
                <w:color w:val="000000"/>
                <w:sz w:val="20"/>
                <w:szCs w:val="22"/>
              </w:rPr>
              <w:t>као</w:t>
            </w:r>
            <w:proofErr w:type="spellEnd"/>
            <w:r w:rsidR="00661087" w:rsidRPr="006E109A">
              <w:rPr>
                <w:color w:val="000000"/>
                <w:sz w:val="20"/>
                <w:szCs w:val="22"/>
              </w:rPr>
              <w:t xml:space="preserve"> </w:t>
            </w:r>
            <w:proofErr w:type="spellStart"/>
            <w:r w:rsidR="00661087" w:rsidRPr="006E109A">
              <w:rPr>
                <w:color w:val="000000"/>
                <w:sz w:val="20"/>
                <w:szCs w:val="22"/>
              </w:rPr>
              <w:t>помоћ</w:t>
            </w:r>
            <w:proofErr w:type="spellEnd"/>
            <w:r w:rsidR="00661087" w:rsidRPr="006E109A">
              <w:rPr>
                <w:color w:val="000000"/>
                <w:sz w:val="20"/>
                <w:szCs w:val="22"/>
              </w:rPr>
              <w:t xml:space="preserve"> </w:t>
            </w:r>
            <w:proofErr w:type="spellStart"/>
            <w:r w:rsidR="00661087" w:rsidRPr="006E109A">
              <w:rPr>
                <w:color w:val="000000"/>
                <w:sz w:val="20"/>
                <w:szCs w:val="22"/>
              </w:rPr>
              <w:t>становништву</w:t>
            </w:r>
            <w:proofErr w:type="spellEnd"/>
            <w:r>
              <w:rPr>
                <w:color w:val="000000"/>
                <w:sz w:val="20"/>
                <w:szCs w:val="22"/>
              </w:rPr>
              <w:t xml:space="preserve"> </w:t>
            </w:r>
            <w:proofErr w:type="spellStart"/>
            <w:r>
              <w:rPr>
                <w:color w:val="000000"/>
                <w:sz w:val="20"/>
                <w:szCs w:val="22"/>
              </w:rPr>
              <w:t>су</w:t>
            </w:r>
            <w:proofErr w:type="spellEnd"/>
            <w:r>
              <w:rPr>
                <w:color w:val="000000"/>
                <w:sz w:val="20"/>
                <w:szCs w:val="22"/>
              </w:rPr>
              <w:t xml:space="preserve"> </w:t>
            </w:r>
            <w:proofErr w:type="spellStart"/>
            <w:r>
              <w:rPr>
                <w:color w:val="000000"/>
                <w:sz w:val="20"/>
                <w:szCs w:val="22"/>
              </w:rPr>
              <w:t>обухватала</w:t>
            </w:r>
            <w:proofErr w:type="spellEnd"/>
            <w:r w:rsidR="00661087" w:rsidRPr="006E109A">
              <w:rPr>
                <w:color w:val="000000"/>
                <w:sz w:val="20"/>
                <w:szCs w:val="22"/>
              </w:rPr>
              <w:t>:</w:t>
            </w:r>
          </w:p>
          <w:p w14:paraId="220FDAAC" w14:textId="77777777" w:rsidR="006C507F" w:rsidRPr="007A2741" w:rsidRDefault="00661087" w:rsidP="001D1230">
            <w:pPr>
              <w:rPr>
                <w:color w:val="000000"/>
                <w:sz w:val="20"/>
                <w:szCs w:val="22"/>
                <w:lang w:val="sr-Cyrl-RS"/>
              </w:rPr>
            </w:pPr>
            <w:r w:rsidRPr="006E109A">
              <w:rPr>
                <w:color w:val="000000"/>
                <w:sz w:val="20"/>
                <w:szCs w:val="22"/>
              </w:rPr>
              <w:t>-</w:t>
            </w:r>
            <w:proofErr w:type="spellStart"/>
            <w:r w:rsidRPr="006E109A">
              <w:rPr>
                <w:color w:val="000000"/>
                <w:sz w:val="20"/>
                <w:szCs w:val="22"/>
              </w:rPr>
              <w:t>субвенције</w:t>
            </w:r>
            <w:proofErr w:type="spellEnd"/>
            <w:r w:rsidRPr="006E109A">
              <w:rPr>
                <w:color w:val="000000"/>
                <w:sz w:val="20"/>
                <w:szCs w:val="22"/>
              </w:rPr>
              <w:t xml:space="preserve"> </w:t>
            </w:r>
            <w:proofErr w:type="spellStart"/>
            <w:r w:rsidR="007A2741">
              <w:rPr>
                <w:color w:val="000000"/>
                <w:sz w:val="20"/>
                <w:szCs w:val="22"/>
                <w:lang w:val="sr-Cyrl-RS"/>
              </w:rPr>
              <w:t>мјесечних</w:t>
            </w:r>
            <w:proofErr w:type="spellEnd"/>
            <w:r w:rsidR="007A2741">
              <w:rPr>
                <w:color w:val="000000"/>
                <w:sz w:val="20"/>
                <w:szCs w:val="22"/>
                <w:lang w:val="sr-Cyrl-RS"/>
              </w:rPr>
              <w:t xml:space="preserve"> карата </w:t>
            </w:r>
            <w:r w:rsidRPr="006E109A">
              <w:rPr>
                <w:color w:val="000000"/>
                <w:sz w:val="20"/>
                <w:szCs w:val="22"/>
              </w:rPr>
              <w:t xml:space="preserve">у </w:t>
            </w:r>
            <w:proofErr w:type="spellStart"/>
            <w:r w:rsidRPr="006E109A">
              <w:rPr>
                <w:color w:val="000000"/>
                <w:sz w:val="20"/>
                <w:szCs w:val="22"/>
              </w:rPr>
              <w:t>јавном</w:t>
            </w:r>
            <w:proofErr w:type="spellEnd"/>
            <w:r w:rsidRPr="006E109A">
              <w:rPr>
                <w:color w:val="000000"/>
                <w:sz w:val="20"/>
                <w:szCs w:val="22"/>
              </w:rPr>
              <w:t xml:space="preserve"> </w:t>
            </w:r>
            <w:proofErr w:type="spellStart"/>
            <w:r w:rsidRPr="006E109A">
              <w:rPr>
                <w:color w:val="000000"/>
                <w:sz w:val="20"/>
                <w:szCs w:val="22"/>
              </w:rPr>
              <w:t>превозу</w:t>
            </w:r>
            <w:proofErr w:type="spellEnd"/>
            <w:r w:rsidRPr="006E109A">
              <w:rPr>
                <w:color w:val="000000"/>
                <w:sz w:val="20"/>
                <w:szCs w:val="22"/>
              </w:rPr>
              <w:t xml:space="preserve"> </w:t>
            </w:r>
            <w:proofErr w:type="spellStart"/>
            <w:r w:rsidRPr="006E109A">
              <w:rPr>
                <w:color w:val="000000"/>
                <w:sz w:val="20"/>
                <w:szCs w:val="22"/>
              </w:rPr>
              <w:t>за</w:t>
            </w:r>
            <w:proofErr w:type="spellEnd"/>
            <w:r w:rsidRPr="006E109A">
              <w:rPr>
                <w:color w:val="000000"/>
                <w:sz w:val="20"/>
                <w:szCs w:val="22"/>
              </w:rPr>
              <w:t xml:space="preserve"> </w:t>
            </w:r>
            <w:proofErr w:type="spellStart"/>
            <w:r w:rsidRPr="006E109A">
              <w:rPr>
                <w:color w:val="000000"/>
                <w:sz w:val="20"/>
                <w:szCs w:val="22"/>
              </w:rPr>
              <w:t>ученике</w:t>
            </w:r>
            <w:proofErr w:type="spellEnd"/>
            <w:r w:rsidRPr="006E109A">
              <w:rPr>
                <w:color w:val="000000"/>
                <w:sz w:val="20"/>
                <w:szCs w:val="22"/>
              </w:rPr>
              <w:t xml:space="preserve"> </w:t>
            </w:r>
            <w:proofErr w:type="spellStart"/>
            <w:r w:rsidRPr="006E109A">
              <w:rPr>
                <w:color w:val="000000"/>
                <w:sz w:val="20"/>
                <w:szCs w:val="22"/>
              </w:rPr>
              <w:t>средњих</w:t>
            </w:r>
            <w:proofErr w:type="spellEnd"/>
            <w:r w:rsidRPr="006E109A">
              <w:rPr>
                <w:color w:val="000000"/>
                <w:sz w:val="20"/>
                <w:szCs w:val="22"/>
              </w:rPr>
              <w:t xml:space="preserve"> </w:t>
            </w:r>
            <w:proofErr w:type="spellStart"/>
            <w:r w:rsidRPr="006E109A">
              <w:rPr>
                <w:color w:val="000000"/>
                <w:sz w:val="20"/>
                <w:szCs w:val="22"/>
              </w:rPr>
              <w:t>школа</w:t>
            </w:r>
            <w:proofErr w:type="spellEnd"/>
            <w:r w:rsidR="007A2741">
              <w:rPr>
                <w:color w:val="000000"/>
                <w:sz w:val="20"/>
                <w:szCs w:val="22"/>
                <w:lang w:val="sr-Cyrl-RS"/>
              </w:rPr>
              <w:t>,</w:t>
            </w:r>
            <w:r w:rsidRPr="006E109A">
              <w:rPr>
                <w:color w:val="000000"/>
                <w:sz w:val="20"/>
                <w:szCs w:val="22"/>
              </w:rPr>
              <w:t xml:space="preserve"> </w:t>
            </w:r>
            <w:r w:rsidRPr="006E109A">
              <w:rPr>
                <w:color w:val="000000"/>
                <w:sz w:val="20"/>
                <w:szCs w:val="22"/>
              </w:rPr>
              <w:br/>
              <w:t>-</w:t>
            </w:r>
            <w:proofErr w:type="spellStart"/>
            <w:r w:rsidRPr="006E109A">
              <w:rPr>
                <w:color w:val="000000"/>
                <w:sz w:val="20"/>
                <w:szCs w:val="22"/>
              </w:rPr>
              <w:t>субвенције</w:t>
            </w:r>
            <w:proofErr w:type="spellEnd"/>
            <w:r w:rsidRPr="006E109A">
              <w:rPr>
                <w:color w:val="000000"/>
                <w:sz w:val="20"/>
                <w:szCs w:val="22"/>
              </w:rPr>
              <w:t xml:space="preserve"> </w:t>
            </w:r>
            <w:proofErr w:type="spellStart"/>
            <w:r w:rsidRPr="006E109A">
              <w:rPr>
                <w:color w:val="000000"/>
                <w:sz w:val="20"/>
                <w:szCs w:val="22"/>
              </w:rPr>
              <w:t>за</w:t>
            </w:r>
            <w:proofErr w:type="spellEnd"/>
            <w:r w:rsidRPr="006E109A">
              <w:rPr>
                <w:color w:val="000000"/>
                <w:sz w:val="20"/>
                <w:szCs w:val="22"/>
              </w:rPr>
              <w:t xml:space="preserve"> </w:t>
            </w:r>
            <w:r w:rsidR="007A2741">
              <w:rPr>
                <w:color w:val="000000"/>
                <w:sz w:val="20"/>
                <w:szCs w:val="22"/>
                <w:lang w:val="sr-Cyrl-RS"/>
              </w:rPr>
              <w:t xml:space="preserve">плаћање </w:t>
            </w:r>
            <w:proofErr w:type="spellStart"/>
            <w:r w:rsidR="007A2741">
              <w:rPr>
                <w:color w:val="000000"/>
                <w:sz w:val="20"/>
                <w:szCs w:val="22"/>
              </w:rPr>
              <w:t>воде</w:t>
            </w:r>
            <w:proofErr w:type="spellEnd"/>
            <w:r w:rsidRPr="006E109A">
              <w:rPr>
                <w:color w:val="000000"/>
                <w:sz w:val="20"/>
                <w:szCs w:val="22"/>
              </w:rPr>
              <w:t xml:space="preserve"> </w:t>
            </w:r>
            <w:proofErr w:type="spellStart"/>
            <w:r w:rsidRPr="006E109A">
              <w:rPr>
                <w:color w:val="000000"/>
                <w:sz w:val="20"/>
                <w:szCs w:val="22"/>
              </w:rPr>
              <w:t>за</w:t>
            </w:r>
            <w:proofErr w:type="spellEnd"/>
            <w:r w:rsidRPr="006E109A">
              <w:rPr>
                <w:color w:val="000000"/>
                <w:sz w:val="20"/>
                <w:szCs w:val="22"/>
              </w:rPr>
              <w:t xml:space="preserve"> </w:t>
            </w:r>
            <w:proofErr w:type="spellStart"/>
            <w:r w:rsidRPr="006E109A">
              <w:rPr>
                <w:color w:val="000000"/>
                <w:sz w:val="20"/>
                <w:szCs w:val="22"/>
              </w:rPr>
              <w:t>кориснике</w:t>
            </w:r>
            <w:proofErr w:type="spellEnd"/>
            <w:r w:rsidRPr="006E109A">
              <w:rPr>
                <w:color w:val="000000"/>
                <w:sz w:val="20"/>
                <w:szCs w:val="22"/>
              </w:rPr>
              <w:t xml:space="preserve"> </w:t>
            </w:r>
            <w:proofErr w:type="spellStart"/>
            <w:r w:rsidRPr="006E109A">
              <w:rPr>
                <w:color w:val="000000"/>
                <w:sz w:val="20"/>
                <w:szCs w:val="22"/>
              </w:rPr>
              <w:t>сталне</w:t>
            </w:r>
            <w:proofErr w:type="spellEnd"/>
            <w:r w:rsidRPr="006E109A">
              <w:rPr>
                <w:color w:val="000000"/>
                <w:sz w:val="20"/>
                <w:szCs w:val="22"/>
              </w:rPr>
              <w:t xml:space="preserve"> </w:t>
            </w:r>
            <w:proofErr w:type="spellStart"/>
            <w:r w:rsidRPr="006E109A">
              <w:rPr>
                <w:color w:val="000000"/>
                <w:sz w:val="20"/>
                <w:szCs w:val="22"/>
              </w:rPr>
              <w:t>новчане</w:t>
            </w:r>
            <w:proofErr w:type="spellEnd"/>
            <w:r w:rsidRPr="006E109A">
              <w:rPr>
                <w:color w:val="000000"/>
                <w:sz w:val="20"/>
                <w:szCs w:val="22"/>
              </w:rPr>
              <w:t xml:space="preserve"> </w:t>
            </w:r>
            <w:proofErr w:type="spellStart"/>
            <w:r w:rsidRPr="006E109A">
              <w:rPr>
                <w:color w:val="000000"/>
                <w:sz w:val="20"/>
                <w:szCs w:val="22"/>
              </w:rPr>
              <w:t>помоћи</w:t>
            </w:r>
            <w:proofErr w:type="spellEnd"/>
            <w:r w:rsidR="001D1230">
              <w:rPr>
                <w:color w:val="000000"/>
                <w:sz w:val="20"/>
                <w:szCs w:val="22"/>
              </w:rPr>
              <w:t xml:space="preserve"> </w:t>
            </w:r>
            <w:proofErr w:type="spellStart"/>
            <w:r w:rsidR="001D1230">
              <w:rPr>
                <w:color w:val="000000"/>
                <w:sz w:val="20"/>
                <w:szCs w:val="22"/>
              </w:rPr>
              <w:t>код</w:t>
            </w:r>
            <w:proofErr w:type="spellEnd"/>
            <w:r w:rsidR="001D1230">
              <w:rPr>
                <w:color w:val="000000"/>
                <w:sz w:val="20"/>
                <w:szCs w:val="22"/>
              </w:rPr>
              <w:t xml:space="preserve"> „</w:t>
            </w:r>
            <w:proofErr w:type="spellStart"/>
            <w:r w:rsidR="001D1230">
              <w:rPr>
                <w:color w:val="000000"/>
                <w:sz w:val="20"/>
                <w:szCs w:val="22"/>
              </w:rPr>
              <w:t>Центра</w:t>
            </w:r>
            <w:proofErr w:type="spellEnd"/>
            <w:r w:rsidR="001D1230">
              <w:rPr>
                <w:color w:val="000000"/>
                <w:sz w:val="20"/>
                <w:szCs w:val="22"/>
              </w:rPr>
              <w:t xml:space="preserve"> </w:t>
            </w:r>
            <w:proofErr w:type="spellStart"/>
            <w:r w:rsidR="001D1230">
              <w:rPr>
                <w:color w:val="000000"/>
                <w:sz w:val="20"/>
                <w:szCs w:val="22"/>
              </w:rPr>
              <w:t>за</w:t>
            </w:r>
            <w:proofErr w:type="spellEnd"/>
            <w:r w:rsidR="001D1230">
              <w:rPr>
                <w:color w:val="000000"/>
                <w:sz w:val="20"/>
                <w:szCs w:val="22"/>
              </w:rPr>
              <w:t xml:space="preserve"> </w:t>
            </w:r>
            <w:proofErr w:type="spellStart"/>
            <w:r w:rsidR="001D1230">
              <w:rPr>
                <w:color w:val="000000"/>
                <w:sz w:val="20"/>
                <w:szCs w:val="22"/>
              </w:rPr>
              <w:t>социјални</w:t>
            </w:r>
            <w:proofErr w:type="spellEnd"/>
            <w:r w:rsidR="001D1230">
              <w:rPr>
                <w:color w:val="000000"/>
                <w:sz w:val="20"/>
                <w:szCs w:val="22"/>
              </w:rPr>
              <w:t xml:space="preserve"> </w:t>
            </w:r>
            <w:proofErr w:type="spellStart"/>
            <w:r w:rsidR="001D1230">
              <w:rPr>
                <w:color w:val="000000"/>
                <w:sz w:val="20"/>
                <w:szCs w:val="22"/>
              </w:rPr>
              <w:t>рад</w:t>
            </w:r>
            <w:proofErr w:type="spellEnd"/>
            <w:r w:rsidR="001D1230">
              <w:rPr>
                <w:color w:val="000000"/>
                <w:sz w:val="20"/>
                <w:szCs w:val="22"/>
              </w:rPr>
              <w:t>“</w:t>
            </w:r>
            <w:r w:rsidR="007A2741">
              <w:rPr>
                <w:color w:val="000000"/>
                <w:sz w:val="20"/>
                <w:szCs w:val="22"/>
                <w:lang w:val="sr-Cyrl-RS"/>
              </w:rPr>
              <w:t xml:space="preserve"> (</w:t>
            </w:r>
            <w:r w:rsidR="007A2741" w:rsidRPr="007A2741">
              <w:rPr>
                <w:i/>
                <w:color w:val="000000"/>
                <w:sz w:val="20"/>
                <w:szCs w:val="22"/>
                <w:lang w:val="sr-Cyrl-RS"/>
              </w:rPr>
              <w:t>код једне ЈЛС</w:t>
            </w:r>
            <w:r w:rsidR="007A2741">
              <w:rPr>
                <w:color w:val="000000"/>
                <w:sz w:val="20"/>
                <w:szCs w:val="22"/>
                <w:lang w:val="sr-Cyrl-RS"/>
              </w:rPr>
              <w:t>)</w:t>
            </w:r>
          </w:p>
          <w:p w14:paraId="5544BB3F" w14:textId="77777777" w:rsidR="007A2741" w:rsidRDefault="00661087" w:rsidP="001D1230">
            <w:pPr>
              <w:rPr>
                <w:color w:val="000000"/>
                <w:sz w:val="20"/>
                <w:szCs w:val="22"/>
                <w:lang w:val="sr-Cyrl-RS"/>
              </w:rPr>
            </w:pPr>
            <w:r w:rsidRPr="006E109A">
              <w:rPr>
                <w:color w:val="000000"/>
                <w:sz w:val="20"/>
                <w:szCs w:val="22"/>
              </w:rPr>
              <w:t>-</w:t>
            </w:r>
            <w:r w:rsidR="007A2741">
              <w:rPr>
                <w:color w:val="000000"/>
                <w:sz w:val="20"/>
                <w:szCs w:val="22"/>
                <w:lang w:val="sr-Cyrl-RS"/>
              </w:rPr>
              <w:t>субвенција трошкова накнаде за уређење градског грађевинског земљишта и ренте за легализацију бесправно изграђених објеката</w:t>
            </w:r>
            <w:r w:rsidR="007A2741">
              <w:rPr>
                <w:color w:val="000000"/>
                <w:sz w:val="20"/>
                <w:szCs w:val="22"/>
              </w:rPr>
              <w:t xml:space="preserve"> </w:t>
            </w:r>
            <w:proofErr w:type="spellStart"/>
            <w:r w:rsidR="007A2741">
              <w:rPr>
                <w:color w:val="000000"/>
                <w:sz w:val="20"/>
                <w:szCs w:val="22"/>
              </w:rPr>
              <w:t>за</w:t>
            </w:r>
            <w:proofErr w:type="spellEnd"/>
            <w:r w:rsidR="007A2741">
              <w:rPr>
                <w:color w:val="000000"/>
                <w:sz w:val="20"/>
                <w:szCs w:val="22"/>
              </w:rPr>
              <w:t xml:space="preserve"> </w:t>
            </w:r>
            <w:proofErr w:type="spellStart"/>
            <w:r w:rsidR="007A2741">
              <w:rPr>
                <w:color w:val="000000"/>
                <w:sz w:val="20"/>
                <w:szCs w:val="22"/>
              </w:rPr>
              <w:t>поједине</w:t>
            </w:r>
            <w:proofErr w:type="spellEnd"/>
            <w:r w:rsidR="007A2741">
              <w:rPr>
                <w:color w:val="000000"/>
                <w:sz w:val="20"/>
                <w:szCs w:val="22"/>
              </w:rPr>
              <w:t xml:space="preserve"> </w:t>
            </w:r>
            <w:proofErr w:type="spellStart"/>
            <w:r w:rsidR="007A2741">
              <w:rPr>
                <w:color w:val="000000"/>
                <w:sz w:val="20"/>
                <w:szCs w:val="22"/>
              </w:rPr>
              <w:t>угрожене</w:t>
            </w:r>
            <w:proofErr w:type="spellEnd"/>
            <w:r w:rsidR="007A2741">
              <w:rPr>
                <w:color w:val="000000"/>
                <w:sz w:val="20"/>
                <w:szCs w:val="22"/>
              </w:rPr>
              <w:t xml:space="preserve"> </w:t>
            </w:r>
            <w:proofErr w:type="spellStart"/>
            <w:r w:rsidR="007A2741">
              <w:rPr>
                <w:color w:val="000000"/>
                <w:sz w:val="20"/>
                <w:szCs w:val="22"/>
              </w:rPr>
              <w:t>категорије</w:t>
            </w:r>
            <w:proofErr w:type="spellEnd"/>
            <w:r w:rsidR="007A2741">
              <w:rPr>
                <w:color w:val="000000"/>
                <w:sz w:val="20"/>
                <w:szCs w:val="22"/>
              </w:rPr>
              <w:t xml:space="preserve"> </w:t>
            </w:r>
            <w:proofErr w:type="spellStart"/>
            <w:r w:rsidR="007A2741">
              <w:rPr>
                <w:color w:val="000000"/>
                <w:sz w:val="20"/>
                <w:szCs w:val="22"/>
              </w:rPr>
              <w:t>становништва</w:t>
            </w:r>
            <w:proofErr w:type="spellEnd"/>
            <w:r w:rsidR="007A2741">
              <w:rPr>
                <w:color w:val="000000"/>
                <w:sz w:val="20"/>
                <w:szCs w:val="22"/>
              </w:rPr>
              <w:t xml:space="preserve"> </w:t>
            </w:r>
            <w:r w:rsidR="007A2741">
              <w:rPr>
                <w:color w:val="000000"/>
                <w:sz w:val="20"/>
                <w:szCs w:val="22"/>
                <w:lang w:val="sr-Cyrl-RS"/>
              </w:rPr>
              <w:t>(</w:t>
            </w:r>
            <w:r w:rsidR="007A2741" w:rsidRPr="007A2741">
              <w:rPr>
                <w:i/>
                <w:color w:val="000000"/>
                <w:sz w:val="20"/>
                <w:szCs w:val="22"/>
                <w:lang w:val="sr-Cyrl-RS"/>
              </w:rPr>
              <w:t>код једне ЈЛС</w:t>
            </w:r>
            <w:r w:rsidR="007A2741">
              <w:rPr>
                <w:color w:val="000000"/>
                <w:sz w:val="20"/>
                <w:szCs w:val="22"/>
                <w:lang w:val="sr-Cyrl-RS"/>
              </w:rPr>
              <w:t>)</w:t>
            </w:r>
          </w:p>
          <w:p w14:paraId="48D033A8" w14:textId="77777777" w:rsidR="006C507F" w:rsidRDefault="007A2741" w:rsidP="001D1230">
            <w:pPr>
              <w:rPr>
                <w:color w:val="000000"/>
                <w:sz w:val="20"/>
                <w:szCs w:val="22"/>
              </w:rPr>
            </w:pPr>
            <w:r>
              <w:rPr>
                <w:color w:val="000000"/>
                <w:sz w:val="20"/>
                <w:szCs w:val="22"/>
              </w:rPr>
              <w:t>-</w:t>
            </w:r>
            <w:proofErr w:type="spellStart"/>
            <w:r>
              <w:rPr>
                <w:color w:val="000000"/>
                <w:sz w:val="20"/>
                <w:szCs w:val="22"/>
              </w:rPr>
              <w:t>умањење</w:t>
            </w:r>
            <w:proofErr w:type="spellEnd"/>
            <w:r>
              <w:rPr>
                <w:color w:val="000000"/>
                <w:sz w:val="20"/>
                <w:szCs w:val="22"/>
              </w:rPr>
              <w:t xml:space="preserve"> </w:t>
            </w:r>
            <w:proofErr w:type="spellStart"/>
            <w:r>
              <w:rPr>
                <w:color w:val="000000"/>
                <w:sz w:val="20"/>
                <w:szCs w:val="22"/>
              </w:rPr>
              <w:t>еконо</w:t>
            </w:r>
            <w:r w:rsidRPr="006E109A">
              <w:rPr>
                <w:color w:val="000000"/>
                <w:sz w:val="20"/>
                <w:szCs w:val="22"/>
              </w:rPr>
              <w:t>м</w:t>
            </w:r>
            <w:proofErr w:type="spellEnd"/>
            <w:r>
              <w:rPr>
                <w:color w:val="000000"/>
                <w:sz w:val="20"/>
                <w:szCs w:val="22"/>
                <w:lang w:val="sr-Cyrl-RS"/>
              </w:rPr>
              <w:t>с</w:t>
            </w:r>
            <w:proofErr w:type="spellStart"/>
            <w:r w:rsidRPr="006E109A">
              <w:rPr>
                <w:color w:val="000000"/>
                <w:sz w:val="20"/>
                <w:szCs w:val="22"/>
              </w:rPr>
              <w:t>ке</w:t>
            </w:r>
            <w:proofErr w:type="spellEnd"/>
            <w:r w:rsidRPr="006E109A">
              <w:rPr>
                <w:color w:val="000000"/>
                <w:sz w:val="20"/>
                <w:szCs w:val="22"/>
              </w:rPr>
              <w:t xml:space="preserve"> </w:t>
            </w:r>
            <w:proofErr w:type="spellStart"/>
            <w:r w:rsidRPr="006E109A">
              <w:rPr>
                <w:color w:val="000000"/>
                <w:sz w:val="20"/>
                <w:szCs w:val="22"/>
              </w:rPr>
              <w:t>цијене</w:t>
            </w:r>
            <w:proofErr w:type="spellEnd"/>
            <w:r w:rsidRPr="006E109A">
              <w:rPr>
                <w:color w:val="000000"/>
                <w:sz w:val="20"/>
                <w:szCs w:val="22"/>
              </w:rPr>
              <w:t xml:space="preserve"> </w:t>
            </w:r>
            <w:proofErr w:type="spellStart"/>
            <w:r w:rsidRPr="006E109A">
              <w:rPr>
                <w:color w:val="000000"/>
                <w:sz w:val="20"/>
                <w:szCs w:val="22"/>
              </w:rPr>
              <w:t>кошта</w:t>
            </w:r>
            <w:r>
              <w:rPr>
                <w:color w:val="000000"/>
                <w:sz w:val="20"/>
                <w:szCs w:val="22"/>
              </w:rPr>
              <w:t>ња</w:t>
            </w:r>
            <w:proofErr w:type="spellEnd"/>
            <w:r>
              <w:rPr>
                <w:color w:val="000000"/>
                <w:sz w:val="20"/>
                <w:szCs w:val="22"/>
              </w:rPr>
              <w:t xml:space="preserve"> </w:t>
            </w:r>
            <w:proofErr w:type="spellStart"/>
            <w:r>
              <w:rPr>
                <w:color w:val="000000"/>
                <w:sz w:val="20"/>
                <w:szCs w:val="22"/>
              </w:rPr>
              <w:t>услуга</w:t>
            </w:r>
            <w:proofErr w:type="spellEnd"/>
            <w:r>
              <w:rPr>
                <w:color w:val="000000"/>
                <w:sz w:val="20"/>
                <w:szCs w:val="22"/>
              </w:rPr>
              <w:t xml:space="preserve"> </w:t>
            </w:r>
            <w:proofErr w:type="spellStart"/>
            <w:r>
              <w:rPr>
                <w:color w:val="000000"/>
                <w:sz w:val="20"/>
                <w:szCs w:val="22"/>
              </w:rPr>
              <w:t>предшколских</w:t>
            </w:r>
            <w:proofErr w:type="spellEnd"/>
            <w:r>
              <w:rPr>
                <w:color w:val="000000"/>
                <w:sz w:val="20"/>
                <w:szCs w:val="22"/>
              </w:rPr>
              <w:t xml:space="preserve"> </w:t>
            </w:r>
            <w:proofErr w:type="spellStart"/>
            <w:r>
              <w:rPr>
                <w:color w:val="000000"/>
                <w:sz w:val="20"/>
                <w:szCs w:val="22"/>
              </w:rPr>
              <w:t>установа</w:t>
            </w:r>
            <w:proofErr w:type="spellEnd"/>
            <w:r w:rsidR="00661087" w:rsidRPr="006E109A">
              <w:rPr>
                <w:color w:val="000000"/>
                <w:sz w:val="20"/>
                <w:szCs w:val="22"/>
              </w:rPr>
              <w:br/>
              <w:t>-</w:t>
            </w:r>
            <w:proofErr w:type="spellStart"/>
            <w:r w:rsidR="00661087" w:rsidRPr="006E109A">
              <w:rPr>
                <w:color w:val="000000"/>
                <w:sz w:val="20"/>
                <w:szCs w:val="22"/>
              </w:rPr>
              <w:t>пакети</w:t>
            </w:r>
            <w:proofErr w:type="spellEnd"/>
            <w:r w:rsidR="00661087" w:rsidRPr="006E109A">
              <w:rPr>
                <w:color w:val="000000"/>
                <w:sz w:val="20"/>
                <w:szCs w:val="22"/>
              </w:rPr>
              <w:t xml:space="preserve"> </w:t>
            </w:r>
            <w:proofErr w:type="spellStart"/>
            <w:r w:rsidR="00661087" w:rsidRPr="006E109A">
              <w:rPr>
                <w:color w:val="000000"/>
                <w:sz w:val="20"/>
                <w:szCs w:val="22"/>
              </w:rPr>
              <w:t>хране</w:t>
            </w:r>
            <w:proofErr w:type="spellEnd"/>
            <w:r w:rsidR="00661087" w:rsidRPr="006E109A">
              <w:rPr>
                <w:color w:val="000000"/>
                <w:sz w:val="20"/>
                <w:szCs w:val="22"/>
              </w:rPr>
              <w:t xml:space="preserve"> и </w:t>
            </w:r>
            <w:proofErr w:type="spellStart"/>
            <w:r w:rsidR="00661087" w:rsidRPr="006E109A">
              <w:rPr>
                <w:color w:val="000000"/>
                <w:sz w:val="20"/>
                <w:szCs w:val="22"/>
              </w:rPr>
              <w:t>других</w:t>
            </w:r>
            <w:proofErr w:type="spellEnd"/>
            <w:r w:rsidR="00661087" w:rsidRPr="006E109A">
              <w:rPr>
                <w:color w:val="000000"/>
                <w:sz w:val="20"/>
                <w:szCs w:val="22"/>
              </w:rPr>
              <w:t xml:space="preserve"> </w:t>
            </w:r>
            <w:proofErr w:type="spellStart"/>
            <w:r w:rsidR="00661087" w:rsidRPr="006E109A">
              <w:rPr>
                <w:color w:val="000000"/>
                <w:sz w:val="20"/>
                <w:szCs w:val="22"/>
              </w:rPr>
              <w:t>потребних</w:t>
            </w:r>
            <w:proofErr w:type="spellEnd"/>
            <w:r w:rsidR="00661087" w:rsidRPr="006E109A">
              <w:rPr>
                <w:color w:val="000000"/>
                <w:sz w:val="20"/>
                <w:szCs w:val="22"/>
              </w:rPr>
              <w:t xml:space="preserve"> </w:t>
            </w:r>
            <w:proofErr w:type="spellStart"/>
            <w:r w:rsidR="00661087" w:rsidRPr="006E109A">
              <w:rPr>
                <w:color w:val="000000"/>
                <w:sz w:val="20"/>
                <w:szCs w:val="22"/>
              </w:rPr>
              <w:t>средстава</w:t>
            </w:r>
            <w:proofErr w:type="spellEnd"/>
            <w:r w:rsidR="00661087" w:rsidRPr="006E109A">
              <w:rPr>
                <w:color w:val="000000"/>
                <w:sz w:val="20"/>
                <w:szCs w:val="22"/>
              </w:rPr>
              <w:t xml:space="preserve"> </w:t>
            </w:r>
            <w:proofErr w:type="spellStart"/>
            <w:r w:rsidR="00661087" w:rsidRPr="006E109A">
              <w:rPr>
                <w:color w:val="000000"/>
                <w:sz w:val="20"/>
                <w:szCs w:val="22"/>
              </w:rPr>
              <w:t>со</w:t>
            </w:r>
            <w:r>
              <w:rPr>
                <w:color w:val="000000"/>
                <w:sz w:val="20"/>
                <w:szCs w:val="22"/>
              </w:rPr>
              <w:t>цијално</w:t>
            </w:r>
            <w:proofErr w:type="spellEnd"/>
            <w:r>
              <w:rPr>
                <w:color w:val="000000"/>
                <w:sz w:val="20"/>
                <w:szCs w:val="22"/>
              </w:rPr>
              <w:t xml:space="preserve"> </w:t>
            </w:r>
            <w:proofErr w:type="spellStart"/>
            <w:r>
              <w:rPr>
                <w:color w:val="000000"/>
                <w:sz w:val="20"/>
                <w:szCs w:val="22"/>
              </w:rPr>
              <w:t>угроженом</w:t>
            </w:r>
            <w:proofErr w:type="spellEnd"/>
            <w:r>
              <w:rPr>
                <w:color w:val="000000"/>
                <w:sz w:val="20"/>
                <w:szCs w:val="22"/>
              </w:rPr>
              <w:t xml:space="preserve"> </w:t>
            </w:r>
            <w:proofErr w:type="spellStart"/>
            <w:r>
              <w:rPr>
                <w:color w:val="000000"/>
                <w:sz w:val="20"/>
                <w:szCs w:val="22"/>
              </w:rPr>
              <w:t>становништву</w:t>
            </w:r>
            <w:proofErr w:type="spellEnd"/>
          </w:p>
          <w:p w14:paraId="765A90B7" w14:textId="77777777" w:rsidR="00F92756" w:rsidRDefault="00F92756" w:rsidP="001D1230">
            <w:pPr>
              <w:rPr>
                <w:color w:val="000000"/>
                <w:sz w:val="20"/>
                <w:szCs w:val="22"/>
                <w:lang w:val="sr-Cyrl-RS"/>
              </w:rPr>
            </w:pPr>
            <w:r>
              <w:rPr>
                <w:color w:val="000000"/>
                <w:sz w:val="20"/>
                <w:szCs w:val="22"/>
                <w:lang w:val="sr-Cyrl-RS"/>
              </w:rPr>
              <w:t xml:space="preserve">-пољопривредни пакети </w:t>
            </w:r>
          </w:p>
          <w:p w14:paraId="0B6EB0C6" w14:textId="77777777" w:rsidR="00F92756" w:rsidRPr="00F92756" w:rsidRDefault="00F92756" w:rsidP="001D1230">
            <w:pPr>
              <w:rPr>
                <w:color w:val="000000"/>
                <w:sz w:val="20"/>
                <w:szCs w:val="22"/>
                <w:lang w:val="sr-Cyrl-RS"/>
              </w:rPr>
            </w:pPr>
            <w:r>
              <w:rPr>
                <w:color w:val="000000"/>
                <w:sz w:val="20"/>
                <w:szCs w:val="22"/>
                <w:lang w:val="sr-Cyrl-RS"/>
              </w:rPr>
              <w:t xml:space="preserve">-помоћ у </w:t>
            </w:r>
            <w:proofErr w:type="spellStart"/>
            <w:r>
              <w:rPr>
                <w:color w:val="000000"/>
                <w:sz w:val="20"/>
                <w:szCs w:val="22"/>
                <w:lang w:val="sr-Cyrl-RS"/>
              </w:rPr>
              <w:t>пластеничкој</w:t>
            </w:r>
            <w:proofErr w:type="spellEnd"/>
            <w:r>
              <w:rPr>
                <w:color w:val="000000"/>
                <w:sz w:val="20"/>
                <w:szCs w:val="22"/>
                <w:lang w:val="sr-Cyrl-RS"/>
              </w:rPr>
              <w:t xml:space="preserve"> производњи</w:t>
            </w:r>
          </w:p>
          <w:p w14:paraId="30804BCF" w14:textId="77777777" w:rsidR="009E3EC6" w:rsidRPr="009E3EC6" w:rsidRDefault="009E3EC6" w:rsidP="001D1230">
            <w:pPr>
              <w:rPr>
                <w:color w:val="000000"/>
                <w:sz w:val="20"/>
                <w:szCs w:val="22"/>
                <w:lang w:val="sr-Cyrl-RS"/>
              </w:rPr>
            </w:pPr>
            <w:r>
              <w:rPr>
                <w:color w:val="000000"/>
                <w:sz w:val="20"/>
                <w:szCs w:val="22"/>
              </w:rPr>
              <w:t>-</w:t>
            </w:r>
            <w:proofErr w:type="spellStart"/>
            <w:r>
              <w:rPr>
                <w:color w:val="000000"/>
                <w:sz w:val="20"/>
                <w:szCs w:val="22"/>
              </w:rPr>
              <w:t>помоћ</w:t>
            </w:r>
            <w:proofErr w:type="spellEnd"/>
            <w:r>
              <w:rPr>
                <w:color w:val="000000"/>
                <w:sz w:val="20"/>
                <w:szCs w:val="22"/>
              </w:rPr>
              <w:t xml:space="preserve"> у </w:t>
            </w:r>
            <w:proofErr w:type="spellStart"/>
            <w:r>
              <w:rPr>
                <w:color w:val="000000"/>
                <w:sz w:val="20"/>
                <w:szCs w:val="22"/>
              </w:rPr>
              <w:t>набавци</w:t>
            </w:r>
            <w:proofErr w:type="spellEnd"/>
            <w:r>
              <w:rPr>
                <w:color w:val="000000"/>
                <w:sz w:val="20"/>
                <w:szCs w:val="22"/>
              </w:rPr>
              <w:t xml:space="preserve"> и </w:t>
            </w:r>
            <w:proofErr w:type="spellStart"/>
            <w:r>
              <w:rPr>
                <w:color w:val="000000"/>
                <w:sz w:val="20"/>
                <w:szCs w:val="22"/>
              </w:rPr>
              <w:t>достави</w:t>
            </w:r>
            <w:proofErr w:type="spellEnd"/>
            <w:r>
              <w:rPr>
                <w:color w:val="000000"/>
                <w:sz w:val="20"/>
                <w:szCs w:val="22"/>
              </w:rPr>
              <w:t xml:space="preserve"> </w:t>
            </w:r>
            <w:proofErr w:type="spellStart"/>
            <w:r>
              <w:rPr>
                <w:color w:val="000000"/>
                <w:sz w:val="20"/>
                <w:szCs w:val="22"/>
              </w:rPr>
              <w:t>на</w:t>
            </w:r>
            <w:proofErr w:type="spellEnd"/>
            <w:r>
              <w:rPr>
                <w:color w:val="000000"/>
                <w:sz w:val="20"/>
                <w:szCs w:val="22"/>
              </w:rPr>
              <w:t xml:space="preserve"> </w:t>
            </w:r>
            <w:proofErr w:type="spellStart"/>
            <w:r>
              <w:rPr>
                <w:color w:val="000000"/>
                <w:sz w:val="20"/>
                <w:szCs w:val="22"/>
              </w:rPr>
              <w:t>кућну</w:t>
            </w:r>
            <w:proofErr w:type="spellEnd"/>
            <w:r>
              <w:rPr>
                <w:color w:val="000000"/>
                <w:sz w:val="20"/>
                <w:szCs w:val="22"/>
              </w:rPr>
              <w:t xml:space="preserve"> </w:t>
            </w:r>
            <w:proofErr w:type="spellStart"/>
            <w:r>
              <w:rPr>
                <w:color w:val="000000"/>
                <w:sz w:val="20"/>
                <w:szCs w:val="22"/>
              </w:rPr>
              <w:t>адресу</w:t>
            </w:r>
            <w:proofErr w:type="spellEnd"/>
            <w:r>
              <w:rPr>
                <w:color w:val="000000"/>
                <w:sz w:val="20"/>
                <w:szCs w:val="22"/>
              </w:rPr>
              <w:t xml:space="preserve"> </w:t>
            </w:r>
            <w:proofErr w:type="spellStart"/>
            <w:r>
              <w:rPr>
                <w:color w:val="000000"/>
                <w:sz w:val="20"/>
                <w:szCs w:val="22"/>
              </w:rPr>
              <w:t>намирница</w:t>
            </w:r>
            <w:proofErr w:type="spellEnd"/>
            <w:r>
              <w:rPr>
                <w:color w:val="000000"/>
                <w:sz w:val="20"/>
                <w:szCs w:val="22"/>
              </w:rPr>
              <w:t xml:space="preserve"> и </w:t>
            </w:r>
            <w:proofErr w:type="spellStart"/>
            <w:r>
              <w:rPr>
                <w:color w:val="000000"/>
                <w:sz w:val="20"/>
                <w:szCs w:val="22"/>
              </w:rPr>
              <w:t>лијекова</w:t>
            </w:r>
            <w:proofErr w:type="spellEnd"/>
            <w:r w:rsidR="00F92756">
              <w:rPr>
                <w:color w:val="000000"/>
                <w:sz w:val="20"/>
                <w:szCs w:val="22"/>
                <w:lang w:val="sr-Cyrl-RS"/>
              </w:rPr>
              <w:t>,</w:t>
            </w:r>
            <w:r>
              <w:rPr>
                <w:color w:val="000000"/>
                <w:sz w:val="20"/>
                <w:szCs w:val="22"/>
                <w:lang w:val="sr-Cyrl-RS"/>
              </w:rPr>
              <w:t xml:space="preserve"> (</w:t>
            </w:r>
            <w:r w:rsidRPr="009E3EC6">
              <w:rPr>
                <w:i/>
                <w:color w:val="000000"/>
                <w:sz w:val="20"/>
                <w:szCs w:val="22"/>
                <w:lang w:val="sr-Cyrl-RS"/>
              </w:rPr>
              <w:t>код једне ЈЛС</w:t>
            </w:r>
            <w:r>
              <w:rPr>
                <w:color w:val="000000"/>
                <w:sz w:val="20"/>
                <w:szCs w:val="22"/>
                <w:lang w:val="sr-Cyrl-RS"/>
              </w:rPr>
              <w:t>)</w:t>
            </w:r>
          </w:p>
          <w:p w14:paraId="44E920A9" w14:textId="77777777" w:rsidR="009E3EC6" w:rsidRDefault="00BA7A68" w:rsidP="001D1230">
            <w:pPr>
              <w:rPr>
                <w:color w:val="000000"/>
                <w:sz w:val="20"/>
                <w:szCs w:val="22"/>
                <w:lang w:val="sr-Cyrl-RS"/>
              </w:rPr>
            </w:pPr>
            <w:r>
              <w:rPr>
                <w:color w:val="000000"/>
                <w:sz w:val="20"/>
                <w:szCs w:val="22"/>
                <w:lang w:val="sr-Cyrl-RS"/>
              </w:rPr>
              <w:t>-подсти</w:t>
            </w:r>
            <w:r w:rsidR="001B0969">
              <w:rPr>
                <w:color w:val="000000"/>
                <w:sz w:val="20"/>
                <w:szCs w:val="22"/>
                <w:lang w:val="sr-Cyrl-RS"/>
              </w:rPr>
              <w:t>цаји за пољопривредну производњу</w:t>
            </w:r>
          </w:p>
          <w:p w14:paraId="3E96D2C7" w14:textId="77777777" w:rsidR="00AA4D78" w:rsidRPr="001B0969" w:rsidRDefault="00AA4D78" w:rsidP="001D1230">
            <w:pPr>
              <w:rPr>
                <w:color w:val="000000"/>
                <w:sz w:val="20"/>
                <w:szCs w:val="22"/>
                <w:lang w:val="sr-Cyrl-RS"/>
              </w:rPr>
            </w:pPr>
            <w:r>
              <w:rPr>
                <w:color w:val="000000"/>
                <w:sz w:val="20"/>
                <w:szCs w:val="22"/>
                <w:lang w:val="sr-Cyrl-RS"/>
              </w:rPr>
              <w:t>-уступање неискориштених пољопривредних површина у власништву ЈЛС, на коришћење заинтересованим грађанима.</w:t>
            </w:r>
          </w:p>
          <w:p w14:paraId="3B20FEE6" w14:textId="77777777" w:rsidR="00862D81" w:rsidRPr="00A275FE" w:rsidRDefault="001B0969" w:rsidP="001D1230">
            <w:pPr>
              <w:rPr>
                <w:color w:val="000000"/>
                <w:sz w:val="20"/>
                <w:szCs w:val="22"/>
              </w:rPr>
            </w:pPr>
            <w:r>
              <w:rPr>
                <w:color w:val="000000"/>
                <w:sz w:val="20"/>
                <w:szCs w:val="22"/>
                <w:lang w:val="sr-Cyrl-RS"/>
              </w:rPr>
              <w:lastRenderedPageBreak/>
              <w:t xml:space="preserve">2. </w:t>
            </w:r>
            <w:r w:rsidR="00862D81">
              <w:rPr>
                <w:color w:val="000000"/>
                <w:sz w:val="20"/>
                <w:szCs w:val="22"/>
                <w:lang w:val="sr-Cyrl-RS"/>
              </w:rPr>
              <w:t xml:space="preserve">Једна  ЈЛС је навела </w:t>
            </w:r>
            <w:r w:rsidR="00862D81" w:rsidRPr="00A275FE">
              <w:rPr>
                <w:color w:val="000000"/>
                <w:sz w:val="20"/>
                <w:szCs w:val="22"/>
                <w:lang w:val="sr-Cyrl-RS"/>
              </w:rPr>
              <w:t xml:space="preserve">да није било </w:t>
            </w:r>
            <w:proofErr w:type="spellStart"/>
            <w:r w:rsidR="00661087" w:rsidRPr="00A275FE">
              <w:rPr>
                <w:color w:val="000000"/>
                <w:sz w:val="20"/>
                <w:szCs w:val="22"/>
              </w:rPr>
              <w:t>дознака</w:t>
            </w:r>
            <w:proofErr w:type="spellEnd"/>
            <w:r w:rsidR="00661087" w:rsidRPr="00A275FE">
              <w:rPr>
                <w:color w:val="000000"/>
                <w:sz w:val="20"/>
                <w:szCs w:val="22"/>
              </w:rPr>
              <w:t xml:space="preserve"> </w:t>
            </w:r>
            <w:proofErr w:type="spellStart"/>
            <w:r w:rsidR="00661087" w:rsidRPr="00A275FE">
              <w:rPr>
                <w:color w:val="000000"/>
                <w:sz w:val="20"/>
                <w:szCs w:val="22"/>
              </w:rPr>
              <w:t>становништву</w:t>
            </w:r>
            <w:proofErr w:type="spellEnd"/>
            <w:r w:rsidR="00661087" w:rsidRPr="00A275FE">
              <w:rPr>
                <w:color w:val="000000"/>
                <w:sz w:val="20"/>
                <w:szCs w:val="22"/>
              </w:rPr>
              <w:t xml:space="preserve"> </w:t>
            </w:r>
          </w:p>
          <w:p w14:paraId="7BDF98E4" w14:textId="77777777" w:rsidR="00BC57D1" w:rsidRDefault="001B0969" w:rsidP="001D1230">
            <w:pPr>
              <w:rPr>
                <w:color w:val="000000"/>
                <w:sz w:val="20"/>
                <w:szCs w:val="22"/>
              </w:rPr>
            </w:pPr>
            <w:r>
              <w:rPr>
                <w:color w:val="000000"/>
                <w:sz w:val="20"/>
                <w:szCs w:val="22"/>
                <w:lang w:val="sr-Cyrl-RS"/>
              </w:rPr>
              <w:t xml:space="preserve">3. </w:t>
            </w:r>
            <w:proofErr w:type="spellStart"/>
            <w:r w:rsidR="00661087" w:rsidRPr="00A275FE">
              <w:rPr>
                <w:color w:val="000000"/>
                <w:sz w:val="20"/>
                <w:szCs w:val="22"/>
              </w:rPr>
              <w:t>Планирана</w:t>
            </w:r>
            <w:proofErr w:type="spellEnd"/>
            <w:r w:rsidR="00661087" w:rsidRPr="00A275FE">
              <w:rPr>
                <w:color w:val="000000"/>
                <w:sz w:val="20"/>
                <w:szCs w:val="22"/>
              </w:rPr>
              <w:t xml:space="preserve"> </w:t>
            </w:r>
            <w:proofErr w:type="spellStart"/>
            <w:r w:rsidR="00661087" w:rsidRPr="00A275FE">
              <w:rPr>
                <w:color w:val="000000"/>
                <w:sz w:val="20"/>
                <w:szCs w:val="22"/>
              </w:rPr>
              <w:t>средства</w:t>
            </w:r>
            <w:proofErr w:type="spellEnd"/>
            <w:r w:rsidR="00661087" w:rsidRPr="00A275FE">
              <w:rPr>
                <w:color w:val="000000"/>
                <w:sz w:val="20"/>
                <w:szCs w:val="22"/>
              </w:rPr>
              <w:t xml:space="preserve"> </w:t>
            </w:r>
            <w:proofErr w:type="spellStart"/>
            <w:r w:rsidR="00661087" w:rsidRPr="00A275FE">
              <w:rPr>
                <w:color w:val="000000"/>
                <w:sz w:val="20"/>
                <w:szCs w:val="22"/>
              </w:rPr>
              <w:t>као</w:t>
            </w:r>
            <w:proofErr w:type="spellEnd"/>
            <w:r w:rsidR="00661087" w:rsidRPr="00A275FE">
              <w:rPr>
                <w:color w:val="000000"/>
                <w:sz w:val="20"/>
                <w:szCs w:val="22"/>
              </w:rPr>
              <w:t xml:space="preserve"> </w:t>
            </w:r>
            <w:proofErr w:type="spellStart"/>
            <w:r w:rsidR="00661087" w:rsidRPr="00A275FE">
              <w:rPr>
                <w:color w:val="000000"/>
                <w:sz w:val="20"/>
                <w:szCs w:val="22"/>
              </w:rPr>
              <w:t>помоћ</w:t>
            </w:r>
            <w:proofErr w:type="spellEnd"/>
            <w:r w:rsidR="00661087" w:rsidRPr="00A275FE">
              <w:rPr>
                <w:color w:val="000000"/>
                <w:sz w:val="20"/>
                <w:szCs w:val="22"/>
              </w:rPr>
              <w:t xml:space="preserve"> </w:t>
            </w:r>
            <w:proofErr w:type="spellStart"/>
            <w:r w:rsidR="00661087" w:rsidRPr="00A275FE">
              <w:rPr>
                <w:color w:val="000000"/>
                <w:sz w:val="20"/>
                <w:szCs w:val="22"/>
              </w:rPr>
              <w:t>становниш</w:t>
            </w:r>
            <w:r w:rsidR="00A275FE" w:rsidRPr="00A275FE">
              <w:rPr>
                <w:color w:val="000000"/>
                <w:sz w:val="20"/>
                <w:szCs w:val="22"/>
              </w:rPr>
              <w:t>тву</w:t>
            </w:r>
            <w:proofErr w:type="spellEnd"/>
            <w:r w:rsidR="00A275FE" w:rsidRPr="00A275FE">
              <w:rPr>
                <w:color w:val="000000"/>
                <w:sz w:val="20"/>
                <w:szCs w:val="22"/>
              </w:rPr>
              <w:t xml:space="preserve">  </w:t>
            </w:r>
            <w:proofErr w:type="spellStart"/>
            <w:r w:rsidR="00A275FE" w:rsidRPr="00A275FE">
              <w:rPr>
                <w:color w:val="000000"/>
                <w:sz w:val="20"/>
                <w:szCs w:val="22"/>
              </w:rPr>
              <w:t>кретала</w:t>
            </w:r>
            <w:proofErr w:type="spellEnd"/>
            <w:r w:rsidR="00A275FE" w:rsidRPr="00A275FE">
              <w:rPr>
                <w:color w:val="000000"/>
                <w:sz w:val="20"/>
                <w:szCs w:val="22"/>
              </w:rPr>
              <w:t xml:space="preserve"> </w:t>
            </w:r>
            <w:proofErr w:type="spellStart"/>
            <w:r w:rsidR="00A275FE" w:rsidRPr="00A275FE">
              <w:rPr>
                <w:color w:val="000000"/>
                <w:sz w:val="20"/>
                <w:szCs w:val="22"/>
              </w:rPr>
              <w:t>су</w:t>
            </w:r>
            <w:proofErr w:type="spellEnd"/>
            <w:r w:rsidR="00A275FE" w:rsidRPr="00A275FE">
              <w:rPr>
                <w:color w:val="000000"/>
                <w:sz w:val="20"/>
                <w:szCs w:val="22"/>
              </w:rPr>
              <w:t xml:space="preserve"> </w:t>
            </w:r>
            <w:proofErr w:type="spellStart"/>
            <w:r w:rsidR="00A275FE" w:rsidRPr="00A275FE">
              <w:rPr>
                <w:color w:val="000000"/>
                <w:sz w:val="20"/>
                <w:szCs w:val="22"/>
              </w:rPr>
              <w:t>се</w:t>
            </w:r>
            <w:proofErr w:type="spellEnd"/>
            <w:r w:rsidR="00A275FE" w:rsidRPr="00A275FE">
              <w:rPr>
                <w:color w:val="000000"/>
                <w:sz w:val="20"/>
                <w:szCs w:val="22"/>
              </w:rPr>
              <w:t xml:space="preserve"> у </w:t>
            </w:r>
            <w:proofErr w:type="spellStart"/>
            <w:r w:rsidR="00A275FE" w:rsidRPr="00A275FE">
              <w:rPr>
                <w:color w:val="000000"/>
                <w:sz w:val="20"/>
                <w:szCs w:val="22"/>
              </w:rPr>
              <w:t>распону</w:t>
            </w:r>
            <w:proofErr w:type="spellEnd"/>
            <w:r w:rsidR="00A275FE" w:rsidRPr="00A275FE">
              <w:rPr>
                <w:color w:val="000000"/>
                <w:sz w:val="20"/>
                <w:szCs w:val="22"/>
              </w:rPr>
              <w:t xml:space="preserve"> </w:t>
            </w:r>
            <w:proofErr w:type="spellStart"/>
            <w:r w:rsidR="00A275FE" w:rsidRPr="00A275FE">
              <w:rPr>
                <w:color w:val="000000"/>
                <w:sz w:val="20"/>
                <w:szCs w:val="22"/>
              </w:rPr>
              <w:t>од</w:t>
            </w:r>
            <w:proofErr w:type="spellEnd"/>
            <w:r w:rsidR="00A275FE" w:rsidRPr="00A275FE">
              <w:rPr>
                <w:color w:val="000000"/>
                <w:sz w:val="20"/>
                <w:szCs w:val="22"/>
              </w:rPr>
              <w:t xml:space="preserve"> 0,05 </w:t>
            </w:r>
            <w:proofErr w:type="spellStart"/>
            <w:r w:rsidR="00A275FE" w:rsidRPr="00A275FE">
              <w:rPr>
                <w:color w:val="000000"/>
                <w:sz w:val="20"/>
                <w:szCs w:val="22"/>
              </w:rPr>
              <w:t>милиона</w:t>
            </w:r>
            <w:proofErr w:type="spellEnd"/>
            <w:r w:rsidR="00A275FE" w:rsidRPr="00A275FE">
              <w:rPr>
                <w:color w:val="000000"/>
                <w:sz w:val="20"/>
                <w:szCs w:val="22"/>
              </w:rPr>
              <w:t xml:space="preserve"> </w:t>
            </w:r>
            <w:r w:rsidR="00866FC3">
              <w:rPr>
                <w:color w:val="000000"/>
                <w:sz w:val="20"/>
                <w:szCs w:val="22"/>
              </w:rPr>
              <w:t xml:space="preserve">КМ </w:t>
            </w:r>
            <w:proofErr w:type="spellStart"/>
            <w:r w:rsidR="00866FC3">
              <w:rPr>
                <w:color w:val="000000"/>
                <w:sz w:val="20"/>
                <w:szCs w:val="22"/>
              </w:rPr>
              <w:t>до</w:t>
            </w:r>
            <w:proofErr w:type="spellEnd"/>
            <w:r w:rsidR="00866FC3">
              <w:rPr>
                <w:color w:val="000000"/>
                <w:sz w:val="20"/>
                <w:szCs w:val="22"/>
              </w:rPr>
              <w:t xml:space="preserve"> 0,5 </w:t>
            </w:r>
            <w:proofErr w:type="spellStart"/>
            <w:r w:rsidR="00866FC3">
              <w:rPr>
                <w:color w:val="000000"/>
                <w:sz w:val="20"/>
                <w:szCs w:val="22"/>
              </w:rPr>
              <w:t>милиона</w:t>
            </w:r>
            <w:proofErr w:type="spellEnd"/>
            <w:r w:rsidR="00866FC3">
              <w:rPr>
                <w:color w:val="000000"/>
                <w:sz w:val="20"/>
                <w:szCs w:val="22"/>
              </w:rPr>
              <w:t xml:space="preserve"> КМ</w:t>
            </w:r>
            <w:r w:rsidR="00661087" w:rsidRPr="00A275FE">
              <w:rPr>
                <w:color w:val="000000"/>
                <w:sz w:val="20"/>
                <w:szCs w:val="22"/>
              </w:rPr>
              <w:t>.</w:t>
            </w:r>
          </w:p>
          <w:p w14:paraId="4BF94CC7" w14:textId="77777777" w:rsidR="009E3EC6" w:rsidRPr="009E3EC6" w:rsidRDefault="001B0969" w:rsidP="001D1230">
            <w:pPr>
              <w:rPr>
                <w:color w:val="000000"/>
                <w:sz w:val="20"/>
                <w:szCs w:val="22"/>
              </w:rPr>
            </w:pPr>
            <w:r>
              <w:rPr>
                <w:color w:val="000000"/>
                <w:sz w:val="20"/>
                <w:szCs w:val="22"/>
                <w:lang w:val="sr-Cyrl-RS"/>
              </w:rPr>
              <w:t xml:space="preserve">4. </w:t>
            </w:r>
            <w:proofErr w:type="spellStart"/>
            <w:r w:rsidR="00661087" w:rsidRPr="006E109A">
              <w:rPr>
                <w:color w:val="000000"/>
                <w:sz w:val="20"/>
                <w:szCs w:val="22"/>
              </w:rPr>
              <w:t>Све</w:t>
            </w:r>
            <w:proofErr w:type="spellEnd"/>
            <w:r w:rsidR="00661087" w:rsidRPr="006E109A">
              <w:rPr>
                <w:color w:val="000000"/>
                <w:sz w:val="20"/>
                <w:szCs w:val="22"/>
              </w:rPr>
              <w:t xml:space="preserve"> </w:t>
            </w:r>
            <w:proofErr w:type="spellStart"/>
            <w:r w:rsidR="00661087" w:rsidRPr="006E109A">
              <w:rPr>
                <w:color w:val="000000"/>
                <w:sz w:val="20"/>
                <w:szCs w:val="22"/>
              </w:rPr>
              <w:t>одлуке</w:t>
            </w:r>
            <w:proofErr w:type="spellEnd"/>
            <w:r w:rsidR="00661087" w:rsidRPr="006E109A">
              <w:rPr>
                <w:color w:val="000000"/>
                <w:sz w:val="20"/>
                <w:szCs w:val="22"/>
              </w:rPr>
              <w:t xml:space="preserve"> и </w:t>
            </w:r>
            <w:proofErr w:type="spellStart"/>
            <w:r w:rsidR="00661087" w:rsidRPr="006E109A">
              <w:rPr>
                <w:color w:val="000000"/>
                <w:sz w:val="20"/>
                <w:szCs w:val="22"/>
              </w:rPr>
              <w:t>програми</w:t>
            </w:r>
            <w:proofErr w:type="spellEnd"/>
            <w:r w:rsidR="00661087" w:rsidRPr="006E109A">
              <w:rPr>
                <w:color w:val="000000"/>
                <w:sz w:val="20"/>
                <w:szCs w:val="22"/>
              </w:rPr>
              <w:t xml:space="preserve"> </w:t>
            </w:r>
            <w:proofErr w:type="spellStart"/>
            <w:r w:rsidR="00661087" w:rsidRPr="006E109A">
              <w:rPr>
                <w:color w:val="000000"/>
                <w:sz w:val="20"/>
                <w:szCs w:val="22"/>
              </w:rPr>
              <w:t>објављиване</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у </w:t>
            </w:r>
            <w:proofErr w:type="spellStart"/>
            <w:r w:rsidR="00661087" w:rsidRPr="006E109A">
              <w:rPr>
                <w:color w:val="000000"/>
                <w:sz w:val="20"/>
                <w:szCs w:val="22"/>
              </w:rPr>
              <w:t>службеним</w:t>
            </w:r>
            <w:proofErr w:type="spellEnd"/>
            <w:r w:rsidR="00661087" w:rsidRPr="006E109A">
              <w:rPr>
                <w:color w:val="000000"/>
                <w:sz w:val="20"/>
                <w:szCs w:val="22"/>
              </w:rPr>
              <w:t xml:space="preserve"> </w:t>
            </w:r>
            <w:proofErr w:type="spellStart"/>
            <w:r w:rsidR="00661087" w:rsidRPr="006E109A">
              <w:rPr>
                <w:color w:val="000000"/>
                <w:sz w:val="20"/>
                <w:szCs w:val="22"/>
              </w:rPr>
              <w:t>гласницима</w:t>
            </w:r>
            <w:proofErr w:type="spellEnd"/>
            <w:r w:rsidR="00661087" w:rsidRPr="006E109A">
              <w:rPr>
                <w:color w:val="000000"/>
                <w:sz w:val="20"/>
                <w:szCs w:val="22"/>
              </w:rPr>
              <w:t xml:space="preserve"> и </w:t>
            </w:r>
            <w:proofErr w:type="spellStart"/>
            <w:r w:rsidR="00661087" w:rsidRPr="006E109A">
              <w:rPr>
                <w:color w:val="000000"/>
                <w:sz w:val="20"/>
                <w:szCs w:val="22"/>
              </w:rPr>
              <w:t>доступне</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w:t>
            </w:r>
            <w:proofErr w:type="spellStart"/>
            <w:r w:rsidR="00661087" w:rsidRPr="006E109A">
              <w:rPr>
                <w:color w:val="000000"/>
                <w:sz w:val="20"/>
                <w:szCs w:val="22"/>
              </w:rPr>
              <w:t>на</w:t>
            </w:r>
            <w:proofErr w:type="spellEnd"/>
            <w:r w:rsidR="00661087" w:rsidRPr="006E109A">
              <w:rPr>
                <w:color w:val="000000"/>
                <w:sz w:val="20"/>
                <w:szCs w:val="22"/>
              </w:rPr>
              <w:t xml:space="preserve"> </w:t>
            </w:r>
            <w:proofErr w:type="spellStart"/>
            <w:r w:rsidR="00661087" w:rsidRPr="006E109A">
              <w:rPr>
                <w:color w:val="000000"/>
                <w:sz w:val="20"/>
                <w:szCs w:val="22"/>
              </w:rPr>
              <w:t>интернет</w:t>
            </w:r>
            <w:proofErr w:type="spellEnd"/>
            <w:r w:rsidR="00661087" w:rsidRPr="006E109A">
              <w:rPr>
                <w:color w:val="000000"/>
                <w:sz w:val="20"/>
                <w:szCs w:val="22"/>
              </w:rPr>
              <w:t xml:space="preserve"> </w:t>
            </w:r>
            <w:proofErr w:type="spellStart"/>
            <w:r w:rsidR="00661087" w:rsidRPr="006E109A">
              <w:rPr>
                <w:color w:val="000000"/>
                <w:sz w:val="20"/>
                <w:szCs w:val="22"/>
              </w:rPr>
              <w:t>с</w:t>
            </w:r>
            <w:r w:rsidR="00862D81">
              <w:rPr>
                <w:color w:val="000000"/>
                <w:sz w:val="20"/>
                <w:szCs w:val="22"/>
              </w:rPr>
              <w:t>траницама</w:t>
            </w:r>
            <w:proofErr w:type="spellEnd"/>
            <w:r w:rsidR="00862D81">
              <w:rPr>
                <w:color w:val="000000"/>
                <w:sz w:val="20"/>
                <w:szCs w:val="22"/>
              </w:rPr>
              <w:t xml:space="preserve"> </w:t>
            </w:r>
            <w:proofErr w:type="spellStart"/>
            <w:r w:rsidR="00862D81">
              <w:rPr>
                <w:color w:val="000000"/>
                <w:sz w:val="20"/>
                <w:szCs w:val="22"/>
              </w:rPr>
              <w:t>градова</w:t>
            </w:r>
            <w:proofErr w:type="spellEnd"/>
            <w:r w:rsidR="00862D81">
              <w:rPr>
                <w:color w:val="000000"/>
                <w:sz w:val="20"/>
                <w:szCs w:val="22"/>
              </w:rPr>
              <w:t>/</w:t>
            </w:r>
            <w:proofErr w:type="spellStart"/>
            <w:r w:rsidR="00862D81">
              <w:rPr>
                <w:color w:val="000000"/>
                <w:sz w:val="20"/>
                <w:szCs w:val="22"/>
              </w:rPr>
              <w:t>општина</w:t>
            </w:r>
            <w:proofErr w:type="spellEnd"/>
            <w:r w:rsidR="00862D81">
              <w:rPr>
                <w:color w:val="000000"/>
                <w:sz w:val="20"/>
                <w:szCs w:val="22"/>
              </w:rPr>
              <w:t xml:space="preserve"> (</w:t>
            </w:r>
            <w:proofErr w:type="spellStart"/>
            <w:r w:rsidR="00862D81">
              <w:rPr>
                <w:color w:val="000000"/>
                <w:sz w:val="20"/>
                <w:szCs w:val="22"/>
              </w:rPr>
              <w:t>осим</w:t>
            </w:r>
            <w:proofErr w:type="spellEnd"/>
            <w:r w:rsidR="00862D81">
              <w:rPr>
                <w:color w:val="000000"/>
                <w:sz w:val="20"/>
                <w:szCs w:val="22"/>
              </w:rPr>
              <w:t xml:space="preserve"> </w:t>
            </w:r>
            <w:proofErr w:type="spellStart"/>
            <w:r w:rsidR="00862D81">
              <w:rPr>
                <w:color w:val="000000"/>
                <w:sz w:val="20"/>
                <w:szCs w:val="22"/>
              </w:rPr>
              <w:t>једне</w:t>
            </w:r>
            <w:proofErr w:type="spellEnd"/>
            <w:r w:rsidR="00862D81">
              <w:rPr>
                <w:color w:val="000000"/>
                <w:sz w:val="20"/>
                <w:szCs w:val="22"/>
              </w:rPr>
              <w:t xml:space="preserve"> </w:t>
            </w:r>
            <w:r w:rsidR="00862D81">
              <w:rPr>
                <w:color w:val="000000"/>
                <w:sz w:val="20"/>
                <w:szCs w:val="22"/>
                <w:lang w:val="sr-Cyrl-RS"/>
              </w:rPr>
              <w:t>ЈЛС која се по овом питању није изјаснила</w:t>
            </w:r>
            <w:r w:rsidR="00661087" w:rsidRPr="006E109A">
              <w:rPr>
                <w:color w:val="000000"/>
                <w:sz w:val="20"/>
                <w:szCs w:val="22"/>
              </w:rPr>
              <w:t>).</w:t>
            </w:r>
          </w:p>
        </w:tc>
      </w:tr>
      <w:tr w:rsidR="00661087" w14:paraId="41C3355C" w14:textId="77777777" w:rsidTr="00146C5F">
        <w:trPr>
          <w:trHeight w:val="994"/>
        </w:trPr>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1C5F" w14:textId="77777777" w:rsidR="002367EC" w:rsidRDefault="002367EC" w:rsidP="001B0969">
            <w:pPr>
              <w:rPr>
                <w:color w:val="000000"/>
                <w:sz w:val="20"/>
                <w:szCs w:val="22"/>
              </w:rPr>
            </w:pPr>
            <w:r>
              <w:rPr>
                <w:color w:val="000000"/>
                <w:sz w:val="20"/>
                <w:szCs w:val="22"/>
              </w:rPr>
              <w:lastRenderedPageBreak/>
              <w:t xml:space="preserve">          VIII</w:t>
            </w:r>
          </w:p>
          <w:p w14:paraId="30063251" w14:textId="77777777" w:rsidR="00661087" w:rsidRPr="006E109A" w:rsidRDefault="00661087" w:rsidP="001B0969">
            <w:pPr>
              <w:rPr>
                <w:color w:val="000000"/>
                <w:sz w:val="20"/>
                <w:szCs w:val="22"/>
              </w:rPr>
            </w:pPr>
            <w:proofErr w:type="spellStart"/>
            <w:r w:rsidRPr="006E109A">
              <w:rPr>
                <w:color w:val="000000"/>
                <w:sz w:val="20"/>
                <w:szCs w:val="22"/>
              </w:rPr>
              <w:t>Колико</w:t>
            </w:r>
            <w:proofErr w:type="spellEnd"/>
            <w:r w:rsidRPr="006E109A">
              <w:rPr>
                <w:color w:val="000000"/>
                <w:sz w:val="20"/>
                <w:szCs w:val="22"/>
              </w:rPr>
              <w:t xml:space="preserve"> </w:t>
            </w:r>
            <w:proofErr w:type="spellStart"/>
            <w:r w:rsidRPr="006E109A">
              <w:rPr>
                <w:color w:val="000000"/>
                <w:sz w:val="20"/>
                <w:szCs w:val="22"/>
              </w:rPr>
              <w:t>су</w:t>
            </w:r>
            <w:proofErr w:type="spellEnd"/>
            <w:r w:rsidRPr="006E109A">
              <w:rPr>
                <w:color w:val="000000"/>
                <w:sz w:val="20"/>
                <w:szCs w:val="22"/>
              </w:rPr>
              <w:t xml:space="preserve"> </w:t>
            </w:r>
            <w:proofErr w:type="spellStart"/>
            <w:r w:rsidRPr="006E109A">
              <w:rPr>
                <w:color w:val="000000"/>
                <w:sz w:val="20"/>
                <w:szCs w:val="22"/>
              </w:rPr>
              <w:t>износили</w:t>
            </w:r>
            <w:proofErr w:type="spellEnd"/>
            <w:r w:rsidRPr="006E109A">
              <w:rPr>
                <w:color w:val="000000"/>
                <w:sz w:val="20"/>
                <w:szCs w:val="22"/>
              </w:rPr>
              <w:t xml:space="preserve"> </w:t>
            </w:r>
            <w:proofErr w:type="spellStart"/>
            <w:r w:rsidRPr="006E109A">
              <w:rPr>
                <w:color w:val="000000"/>
                <w:sz w:val="20"/>
                <w:szCs w:val="22"/>
              </w:rPr>
              <w:t>директни</w:t>
            </w:r>
            <w:proofErr w:type="spellEnd"/>
            <w:r w:rsidRPr="006E109A">
              <w:rPr>
                <w:color w:val="000000"/>
                <w:sz w:val="20"/>
                <w:szCs w:val="22"/>
              </w:rPr>
              <w:t xml:space="preserve"> </w:t>
            </w:r>
            <w:proofErr w:type="spellStart"/>
            <w:r w:rsidRPr="006E109A">
              <w:rPr>
                <w:color w:val="000000"/>
                <w:sz w:val="20"/>
                <w:szCs w:val="22"/>
              </w:rPr>
              <w:t>расходи</w:t>
            </w:r>
            <w:proofErr w:type="spellEnd"/>
            <w:r w:rsidRPr="006E109A">
              <w:rPr>
                <w:color w:val="000000"/>
                <w:sz w:val="20"/>
                <w:szCs w:val="22"/>
              </w:rPr>
              <w:t xml:space="preserve"> и </w:t>
            </w:r>
            <w:proofErr w:type="spellStart"/>
            <w:r w:rsidRPr="006E109A">
              <w:rPr>
                <w:color w:val="000000"/>
                <w:sz w:val="20"/>
                <w:szCs w:val="22"/>
              </w:rPr>
              <w:t>издаци</w:t>
            </w:r>
            <w:proofErr w:type="spellEnd"/>
            <w:r w:rsidRPr="006E109A">
              <w:rPr>
                <w:color w:val="000000"/>
                <w:sz w:val="20"/>
                <w:szCs w:val="22"/>
              </w:rPr>
              <w:t xml:space="preserve"> </w:t>
            </w:r>
            <w:proofErr w:type="spellStart"/>
            <w:r w:rsidRPr="006E109A">
              <w:rPr>
                <w:color w:val="000000"/>
                <w:sz w:val="20"/>
                <w:szCs w:val="22"/>
              </w:rPr>
              <w:t>из</w:t>
            </w:r>
            <w:proofErr w:type="spellEnd"/>
            <w:r w:rsidRPr="006E109A">
              <w:rPr>
                <w:color w:val="000000"/>
                <w:sz w:val="20"/>
                <w:szCs w:val="22"/>
              </w:rPr>
              <w:t xml:space="preserve"> </w:t>
            </w:r>
            <w:proofErr w:type="spellStart"/>
            <w:r w:rsidRPr="006E109A">
              <w:rPr>
                <w:color w:val="000000"/>
                <w:sz w:val="20"/>
                <w:szCs w:val="22"/>
              </w:rPr>
              <w:t>буџета</w:t>
            </w:r>
            <w:proofErr w:type="spellEnd"/>
            <w:r w:rsidRPr="006E109A">
              <w:rPr>
                <w:color w:val="000000"/>
                <w:sz w:val="20"/>
                <w:szCs w:val="22"/>
              </w:rPr>
              <w:t xml:space="preserve"> ЈЛС, </w:t>
            </w:r>
            <w:proofErr w:type="spellStart"/>
            <w:r w:rsidRPr="006E109A">
              <w:rPr>
                <w:color w:val="000000"/>
                <w:sz w:val="20"/>
                <w:szCs w:val="22"/>
              </w:rPr>
              <w:t>који</w:t>
            </w:r>
            <w:proofErr w:type="spellEnd"/>
            <w:r w:rsidRPr="006E109A">
              <w:rPr>
                <w:color w:val="000000"/>
                <w:sz w:val="20"/>
                <w:szCs w:val="22"/>
              </w:rPr>
              <w:t xml:space="preserve"> </w:t>
            </w:r>
            <w:proofErr w:type="spellStart"/>
            <w:r w:rsidRPr="006E109A">
              <w:rPr>
                <w:color w:val="000000"/>
                <w:sz w:val="20"/>
                <w:szCs w:val="22"/>
              </w:rPr>
              <w:t>су</w:t>
            </w:r>
            <w:proofErr w:type="spellEnd"/>
            <w:r w:rsidRPr="006E109A">
              <w:rPr>
                <w:color w:val="000000"/>
                <w:sz w:val="20"/>
                <w:szCs w:val="22"/>
              </w:rPr>
              <w:t xml:space="preserve"> </w:t>
            </w:r>
            <w:proofErr w:type="spellStart"/>
            <w:r w:rsidRPr="006E109A">
              <w:rPr>
                <w:color w:val="000000"/>
                <w:sz w:val="20"/>
                <w:szCs w:val="22"/>
              </w:rPr>
              <w:t>се</w:t>
            </w:r>
            <w:proofErr w:type="spellEnd"/>
            <w:r w:rsidRPr="006E109A">
              <w:rPr>
                <w:color w:val="000000"/>
                <w:sz w:val="20"/>
                <w:szCs w:val="22"/>
              </w:rPr>
              <w:t xml:space="preserve"> </w:t>
            </w:r>
            <w:proofErr w:type="spellStart"/>
            <w:r w:rsidRPr="006E109A">
              <w:rPr>
                <w:color w:val="000000"/>
                <w:sz w:val="20"/>
                <w:szCs w:val="22"/>
              </w:rPr>
              <w:t>односили</w:t>
            </w:r>
            <w:proofErr w:type="spellEnd"/>
            <w:r w:rsidRPr="006E109A">
              <w:rPr>
                <w:color w:val="000000"/>
                <w:sz w:val="20"/>
                <w:szCs w:val="22"/>
              </w:rPr>
              <w:t xml:space="preserve"> </w:t>
            </w:r>
            <w:proofErr w:type="spellStart"/>
            <w:r w:rsidRPr="006E109A">
              <w:rPr>
                <w:color w:val="000000"/>
                <w:sz w:val="20"/>
                <w:szCs w:val="22"/>
              </w:rPr>
              <w:t>на</w:t>
            </w:r>
            <w:proofErr w:type="spellEnd"/>
            <w:r w:rsidRPr="006E109A">
              <w:rPr>
                <w:color w:val="000000"/>
                <w:sz w:val="20"/>
                <w:szCs w:val="22"/>
              </w:rPr>
              <w:t xml:space="preserve"> </w:t>
            </w:r>
            <w:proofErr w:type="spellStart"/>
            <w:r w:rsidRPr="006E109A">
              <w:rPr>
                <w:color w:val="000000"/>
                <w:sz w:val="20"/>
                <w:szCs w:val="22"/>
              </w:rPr>
              <w:t>сузбијање</w:t>
            </w:r>
            <w:proofErr w:type="spellEnd"/>
            <w:r w:rsidRPr="006E109A">
              <w:rPr>
                <w:color w:val="000000"/>
                <w:sz w:val="20"/>
                <w:szCs w:val="22"/>
              </w:rPr>
              <w:t xml:space="preserve"> </w:t>
            </w:r>
            <w:proofErr w:type="spellStart"/>
            <w:r w:rsidRPr="006E109A">
              <w:rPr>
                <w:color w:val="000000"/>
                <w:sz w:val="20"/>
                <w:szCs w:val="22"/>
              </w:rPr>
              <w:t>пандемије</w:t>
            </w:r>
            <w:proofErr w:type="spellEnd"/>
            <w:r w:rsidRPr="006E109A">
              <w:rPr>
                <w:color w:val="000000"/>
                <w:sz w:val="20"/>
                <w:szCs w:val="22"/>
              </w:rPr>
              <w:t xml:space="preserve"> COVID-19 (</w:t>
            </w:r>
            <w:proofErr w:type="spellStart"/>
            <w:r w:rsidRPr="006E109A">
              <w:rPr>
                <w:color w:val="000000"/>
                <w:sz w:val="20"/>
                <w:szCs w:val="22"/>
              </w:rPr>
              <w:t>дезинфекција</w:t>
            </w:r>
            <w:proofErr w:type="spellEnd"/>
            <w:r w:rsidRPr="006E109A">
              <w:rPr>
                <w:color w:val="000000"/>
                <w:sz w:val="20"/>
                <w:szCs w:val="22"/>
              </w:rPr>
              <w:t xml:space="preserve"> </w:t>
            </w:r>
            <w:proofErr w:type="spellStart"/>
            <w:r w:rsidRPr="006E109A">
              <w:rPr>
                <w:color w:val="000000"/>
                <w:sz w:val="20"/>
                <w:szCs w:val="22"/>
              </w:rPr>
              <w:t>јавних</w:t>
            </w:r>
            <w:proofErr w:type="spellEnd"/>
            <w:r w:rsidRPr="006E109A">
              <w:rPr>
                <w:color w:val="000000"/>
                <w:sz w:val="20"/>
                <w:szCs w:val="22"/>
              </w:rPr>
              <w:t xml:space="preserve"> </w:t>
            </w:r>
            <w:proofErr w:type="spellStart"/>
            <w:r w:rsidRPr="006E109A">
              <w:rPr>
                <w:color w:val="000000"/>
                <w:sz w:val="20"/>
                <w:szCs w:val="22"/>
              </w:rPr>
              <w:t>површина</w:t>
            </w:r>
            <w:proofErr w:type="spellEnd"/>
            <w:r w:rsidRPr="006E109A">
              <w:rPr>
                <w:color w:val="000000"/>
                <w:sz w:val="20"/>
                <w:szCs w:val="22"/>
              </w:rPr>
              <w:t xml:space="preserve">, </w:t>
            </w:r>
            <w:proofErr w:type="spellStart"/>
            <w:r w:rsidRPr="006E109A">
              <w:rPr>
                <w:color w:val="000000"/>
                <w:sz w:val="20"/>
                <w:szCs w:val="22"/>
              </w:rPr>
              <w:t>установа</w:t>
            </w:r>
            <w:proofErr w:type="spellEnd"/>
            <w:r w:rsidRPr="006E109A">
              <w:rPr>
                <w:color w:val="000000"/>
                <w:sz w:val="20"/>
                <w:szCs w:val="22"/>
              </w:rPr>
              <w:t xml:space="preserve">, </w:t>
            </w:r>
            <w:proofErr w:type="spellStart"/>
            <w:r w:rsidRPr="006E109A">
              <w:rPr>
                <w:color w:val="000000"/>
                <w:sz w:val="20"/>
                <w:szCs w:val="22"/>
              </w:rPr>
              <w:t>трошкови</w:t>
            </w:r>
            <w:proofErr w:type="spellEnd"/>
            <w:r w:rsidRPr="006E109A">
              <w:rPr>
                <w:color w:val="000000"/>
                <w:sz w:val="20"/>
                <w:szCs w:val="22"/>
              </w:rPr>
              <w:t xml:space="preserve"> </w:t>
            </w:r>
            <w:proofErr w:type="spellStart"/>
            <w:r w:rsidRPr="006E109A">
              <w:rPr>
                <w:color w:val="000000"/>
                <w:sz w:val="20"/>
                <w:szCs w:val="22"/>
              </w:rPr>
              <w:t>карантина</w:t>
            </w:r>
            <w:proofErr w:type="spellEnd"/>
            <w:r w:rsidRPr="006E109A">
              <w:rPr>
                <w:color w:val="000000"/>
                <w:sz w:val="20"/>
                <w:szCs w:val="22"/>
              </w:rPr>
              <w:t xml:space="preserve">, </w:t>
            </w:r>
            <w:proofErr w:type="spellStart"/>
            <w:r w:rsidRPr="006E109A">
              <w:rPr>
                <w:color w:val="000000"/>
                <w:sz w:val="20"/>
                <w:szCs w:val="22"/>
              </w:rPr>
              <w:t>превоз</w:t>
            </w:r>
            <w:proofErr w:type="spellEnd"/>
            <w:r w:rsidRPr="006E109A">
              <w:rPr>
                <w:color w:val="000000"/>
                <w:sz w:val="20"/>
                <w:szCs w:val="22"/>
              </w:rPr>
              <w:t xml:space="preserve"> </w:t>
            </w:r>
            <w:proofErr w:type="spellStart"/>
            <w:r w:rsidRPr="006E109A">
              <w:rPr>
                <w:color w:val="000000"/>
                <w:sz w:val="20"/>
                <w:szCs w:val="22"/>
              </w:rPr>
              <w:t>одређених</w:t>
            </w:r>
            <w:proofErr w:type="spellEnd"/>
            <w:r w:rsidRPr="006E109A">
              <w:rPr>
                <w:color w:val="000000"/>
                <w:sz w:val="20"/>
                <w:szCs w:val="22"/>
              </w:rPr>
              <w:t xml:space="preserve"> </w:t>
            </w:r>
            <w:proofErr w:type="spellStart"/>
            <w:r w:rsidRPr="006E109A">
              <w:rPr>
                <w:color w:val="000000"/>
                <w:sz w:val="20"/>
                <w:szCs w:val="22"/>
              </w:rPr>
              <w:t>категорија</w:t>
            </w:r>
            <w:proofErr w:type="spellEnd"/>
            <w:r w:rsidRPr="006E109A">
              <w:rPr>
                <w:color w:val="000000"/>
                <w:sz w:val="20"/>
                <w:szCs w:val="22"/>
              </w:rPr>
              <w:t xml:space="preserve"> </w:t>
            </w:r>
            <w:proofErr w:type="spellStart"/>
            <w:r w:rsidRPr="006E109A">
              <w:rPr>
                <w:color w:val="000000"/>
                <w:sz w:val="20"/>
                <w:szCs w:val="22"/>
              </w:rPr>
              <w:t>запослених</w:t>
            </w:r>
            <w:proofErr w:type="spellEnd"/>
            <w:r w:rsidRPr="006E109A">
              <w:rPr>
                <w:color w:val="000000"/>
                <w:sz w:val="20"/>
                <w:szCs w:val="22"/>
              </w:rPr>
              <w:t xml:space="preserve"> и </w:t>
            </w:r>
            <w:proofErr w:type="spellStart"/>
            <w:r w:rsidRPr="006E109A">
              <w:rPr>
                <w:color w:val="000000"/>
                <w:sz w:val="20"/>
                <w:szCs w:val="22"/>
              </w:rPr>
              <w:t>сл</w:t>
            </w:r>
            <w:proofErr w:type="spellEnd"/>
            <w:r w:rsidRPr="006E109A">
              <w:rPr>
                <w:color w:val="000000"/>
                <w:sz w:val="20"/>
                <w:szCs w:val="22"/>
              </w:rPr>
              <w:t>.)?</w:t>
            </w:r>
          </w:p>
        </w:tc>
        <w:tc>
          <w:tcPr>
            <w:tcW w:w="5525" w:type="dxa"/>
            <w:tcBorders>
              <w:top w:val="single" w:sz="4" w:space="0" w:color="auto"/>
              <w:left w:val="nil"/>
              <w:bottom w:val="single" w:sz="4" w:space="0" w:color="auto"/>
              <w:right w:val="single" w:sz="4" w:space="0" w:color="auto"/>
            </w:tcBorders>
            <w:shd w:val="clear" w:color="auto" w:fill="auto"/>
            <w:vAlign w:val="center"/>
            <w:hideMark/>
          </w:tcPr>
          <w:p w14:paraId="78C5240A" w14:textId="77777777" w:rsidR="00BC57D1" w:rsidRDefault="001B0969" w:rsidP="001B0969">
            <w:pPr>
              <w:rPr>
                <w:color w:val="000000"/>
                <w:sz w:val="20"/>
                <w:szCs w:val="22"/>
              </w:rPr>
            </w:pPr>
            <w:r>
              <w:rPr>
                <w:color w:val="000000"/>
                <w:sz w:val="20"/>
                <w:szCs w:val="22"/>
                <w:lang w:val="sr-Cyrl-RS"/>
              </w:rPr>
              <w:t xml:space="preserve">1. </w:t>
            </w:r>
            <w:proofErr w:type="spellStart"/>
            <w:r w:rsidR="00661087" w:rsidRPr="006E109A">
              <w:rPr>
                <w:color w:val="000000"/>
                <w:sz w:val="20"/>
                <w:szCs w:val="22"/>
              </w:rPr>
              <w:t>Расходи</w:t>
            </w:r>
            <w:proofErr w:type="spellEnd"/>
            <w:r w:rsidR="00661087" w:rsidRPr="006E109A">
              <w:rPr>
                <w:color w:val="000000"/>
                <w:sz w:val="20"/>
                <w:szCs w:val="22"/>
              </w:rPr>
              <w:t xml:space="preserve"> </w:t>
            </w:r>
            <w:proofErr w:type="spellStart"/>
            <w:r w:rsidR="00661087" w:rsidRPr="006E109A">
              <w:rPr>
                <w:color w:val="000000"/>
                <w:sz w:val="20"/>
                <w:szCs w:val="22"/>
              </w:rPr>
              <w:t>који</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 xml:space="preserve"> </w:t>
            </w:r>
            <w:proofErr w:type="spellStart"/>
            <w:r w:rsidR="00661087" w:rsidRPr="006E109A">
              <w:rPr>
                <w:color w:val="000000"/>
                <w:sz w:val="20"/>
                <w:szCs w:val="22"/>
              </w:rPr>
              <w:t>се</w:t>
            </w:r>
            <w:proofErr w:type="spellEnd"/>
            <w:r w:rsidR="00661087" w:rsidRPr="006E109A">
              <w:rPr>
                <w:color w:val="000000"/>
                <w:sz w:val="20"/>
                <w:szCs w:val="22"/>
              </w:rPr>
              <w:t xml:space="preserve"> </w:t>
            </w:r>
            <w:proofErr w:type="spellStart"/>
            <w:r w:rsidR="00661087" w:rsidRPr="006E109A">
              <w:rPr>
                <w:color w:val="000000"/>
                <w:sz w:val="20"/>
                <w:szCs w:val="22"/>
              </w:rPr>
              <w:t>односили</w:t>
            </w:r>
            <w:proofErr w:type="spellEnd"/>
            <w:r w:rsidR="00661087" w:rsidRPr="006E109A">
              <w:rPr>
                <w:color w:val="000000"/>
                <w:sz w:val="20"/>
                <w:szCs w:val="22"/>
              </w:rPr>
              <w:t xml:space="preserve"> </w:t>
            </w:r>
            <w:proofErr w:type="spellStart"/>
            <w:r w:rsidR="00661087" w:rsidRPr="006E109A">
              <w:rPr>
                <w:color w:val="000000"/>
                <w:sz w:val="20"/>
                <w:szCs w:val="22"/>
              </w:rPr>
              <w:t>на</w:t>
            </w:r>
            <w:proofErr w:type="spellEnd"/>
            <w:r w:rsidR="00661087" w:rsidRPr="006E109A">
              <w:rPr>
                <w:color w:val="000000"/>
                <w:sz w:val="20"/>
                <w:szCs w:val="22"/>
              </w:rPr>
              <w:t xml:space="preserve"> </w:t>
            </w:r>
            <w:proofErr w:type="spellStart"/>
            <w:r w:rsidR="00661087" w:rsidRPr="006E109A">
              <w:rPr>
                <w:color w:val="000000"/>
                <w:sz w:val="20"/>
                <w:szCs w:val="22"/>
              </w:rPr>
              <w:t>сузбијање</w:t>
            </w:r>
            <w:proofErr w:type="spellEnd"/>
            <w:r w:rsidR="00661087" w:rsidRPr="006E109A">
              <w:rPr>
                <w:color w:val="000000"/>
                <w:sz w:val="20"/>
                <w:szCs w:val="22"/>
              </w:rPr>
              <w:t xml:space="preserve"> </w:t>
            </w:r>
            <w:proofErr w:type="spellStart"/>
            <w:r w:rsidR="00661087" w:rsidRPr="006E109A">
              <w:rPr>
                <w:color w:val="000000"/>
                <w:sz w:val="20"/>
                <w:szCs w:val="22"/>
              </w:rPr>
              <w:t>ширења</w:t>
            </w:r>
            <w:proofErr w:type="spellEnd"/>
            <w:r w:rsidR="00661087" w:rsidRPr="006E109A">
              <w:rPr>
                <w:color w:val="000000"/>
                <w:sz w:val="20"/>
                <w:szCs w:val="22"/>
              </w:rPr>
              <w:t xml:space="preserve"> COVID-19 </w:t>
            </w:r>
            <w:proofErr w:type="spellStart"/>
            <w:r w:rsidR="00661087" w:rsidRPr="006E109A">
              <w:rPr>
                <w:color w:val="000000"/>
                <w:sz w:val="20"/>
                <w:szCs w:val="22"/>
              </w:rPr>
              <w:t>били</w:t>
            </w:r>
            <w:proofErr w:type="spellEnd"/>
            <w:r w:rsidR="00661087" w:rsidRPr="006E109A">
              <w:rPr>
                <w:color w:val="000000"/>
                <w:sz w:val="20"/>
                <w:szCs w:val="22"/>
              </w:rPr>
              <w:t xml:space="preserve"> </w:t>
            </w:r>
            <w:proofErr w:type="spellStart"/>
            <w:r w:rsidR="00661087" w:rsidRPr="006E109A">
              <w:rPr>
                <w:color w:val="000000"/>
                <w:sz w:val="20"/>
                <w:szCs w:val="22"/>
              </w:rPr>
              <w:t>су</w:t>
            </w:r>
            <w:proofErr w:type="spellEnd"/>
            <w:r w:rsidR="00661087" w:rsidRPr="006E109A">
              <w:rPr>
                <w:color w:val="000000"/>
                <w:sz w:val="20"/>
                <w:szCs w:val="22"/>
              </w:rPr>
              <w:t>:</w:t>
            </w:r>
          </w:p>
          <w:p w14:paraId="3E0492F0" w14:textId="77777777" w:rsidR="00862D81" w:rsidRDefault="00BC57D1" w:rsidP="001B0969">
            <w:pPr>
              <w:rPr>
                <w:color w:val="000000"/>
                <w:sz w:val="20"/>
                <w:szCs w:val="22"/>
              </w:rPr>
            </w:pPr>
            <w:r>
              <w:rPr>
                <w:color w:val="000000"/>
                <w:sz w:val="20"/>
                <w:szCs w:val="22"/>
              </w:rPr>
              <w:t>-</w:t>
            </w:r>
            <w:proofErr w:type="spellStart"/>
            <w:r w:rsidR="00661087" w:rsidRPr="006E109A">
              <w:rPr>
                <w:color w:val="000000"/>
                <w:sz w:val="20"/>
                <w:szCs w:val="22"/>
              </w:rPr>
              <w:t>дезинфекција</w:t>
            </w:r>
            <w:proofErr w:type="spellEnd"/>
            <w:r w:rsidR="00661087" w:rsidRPr="006E109A">
              <w:rPr>
                <w:color w:val="000000"/>
                <w:sz w:val="20"/>
                <w:szCs w:val="22"/>
              </w:rPr>
              <w:t xml:space="preserve"> </w:t>
            </w:r>
            <w:proofErr w:type="spellStart"/>
            <w:r w:rsidR="00661087" w:rsidRPr="006E109A">
              <w:rPr>
                <w:color w:val="000000"/>
                <w:sz w:val="20"/>
                <w:szCs w:val="22"/>
              </w:rPr>
              <w:t>отворених</w:t>
            </w:r>
            <w:proofErr w:type="spellEnd"/>
            <w:r w:rsidR="00661087" w:rsidRPr="006E109A">
              <w:rPr>
                <w:color w:val="000000"/>
                <w:sz w:val="20"/>
                <w:szCs w:val="22"/>
              </w:rPr>
              <w:t xml:space="preserve"> </w:t>
            </w:r>
            <w:proofErr w:type="spellStart"/>
            <w:r w:rsidR="00661087" w:rsidRPr="006E109A">
              <w:rPr>
                <w:color w:val="000000"/>
                <w:sz w:val="20"/>
                <w:szCs w:val="22"/>
              </w:rPr>
              <w:t>јавних</w:t>
            </w:r>
            <w:proofErr w:type="spellEnd"/>
            <w:r w:rsidR="00661087" w:rsidRPr="006E109A">
              <w:rPr>
                <w:color w:val="000000"/>
                <w:sz w:val="20"/>
                <w:szCs w:val="22"/>
              </w:rPr>
              <w:t xml:space="preserve"> </w:t>
            </w:r>
            <w:proofErr w:type="spellStart"/>
            <w:r w:rsidR="00661087" w:rsidRPr="006E109A">
              <w:rPr>
                <w:color w:val="000000"/>
                <w:sz w:val="20"/>
                <w:szCs w:val="22"/>
              </w:rPr>
              <w:t>површина</w:t>
            </w:r>
            <w:proofErr w:type="spellEnd"/>
            <w:r w:rsidR="00661087" w:rsidRPr="006E109A">
              <w:rPr>
                <w:color w:val="000000"/>
                <w:sz w:val="20"/>
                <w:szCs w:val="22"/>
              </w:rPr>
              <w:t xml:space="preserve">, </w:t>
            </w:r>
            <w:proofErr w:type="spellStart"/>
            <w:r w:rsidR="00661087" w:rsidRPr="006E109A">
              <w:rPr>
                <w:color w:val="000000"/>
                <w:sz w:val="20"/>
                <w:szCs w:val="22"/>
              </w:rPr>
              <w:t>градских</w:t>
            </w:r>
            <w:proofErr w:type="spellEnd"/>
            <w:r w:rsidR="00661087" w:rsidRPr="006E109A">
              <w:rPr>
                <w:color w:val="000000"/>
                <w:sz w:val="20"/>
                <w:szCs w:val="22"/>
              </w:rPr>
              <w:t xml:space="preserve"> </w:t>
            </w:r>
            <w:proofErr w:type="spellStart"/>
            <w:r w:rsidR="00661087" w:rsidRPr="006E109A">
              <w:rPr>
                <w:color w:val="000000"/>
                <w:sz w:val="20"/>
                <w:szCs w:val="22"/>
              </w:rPr>
              <w:t>јавних</w:t>
            </w:r>
            <w:proofErr w:type="spellEnd"/>
            <w:r w:rsidR="00661087" w:rsidRPr="006E109A">
              <w:rPr>
                <w:color w:val="000000"/>
                <w:sz w:val="20"/>
                <w:szCs w:val="22"/>
              </w:rPr>
              <w:t xml:space="preserve"> </w:t>
            </w:r>
            <w:proofErr w:type="spellStart"/>
            <w:r w:rsidR="00661087" w:rsidRPr="006E109A">
              <w:rPr>
                <w:color w:val="000000"/>
                <w:sz w:val="20"/>
                <w:szCs w:val="22"/>
              </w:rPr>
              <w:t>установа</w:t>
            </w:r>
            <w:proofErr w:type="spellEnd"/>
            <w:r w:rsidR="00661087" w:rsidRPr="006E109A">
              <w:rPr>
                <w:color w:val="000000"/>
                <w:sz w:val="20"/>
                <w:szCs w:val="22"/>
              </w:rPr>
              <w:t xml:space="preserve"> и </w:t>
            </w:r>
            <w:proofErr w:type="spellStart"/>
            <w:r w:rsidR="00661087" w:rsidRPr="006E109A">
              <w:rPr>
                <w:color w:val="000000"/>
                <w:sz w:val="20"/>
                <w:szCs w:val="22"/>
              </w:rPr>
              <w:t>н</w:t>
            </w:r>
            <w:r w:rsidR="003267D4">
              <w:rPr>
                <w:color w:val="000000"/>
                <w:sz w:val="20"/>
                <w:szCs w:val="22"/>
              </w:rPr>
              <w:t>абавка</w:t>
            </w:r>
            <w:proofErr w:type="spellEnd"/>
            <w:r w:rsidR="003267D4">
              <w:rPr>
                <w:color w:val="000000"/>
                <w:sz w:val="20"/>
                <w:szCs w:val="22"/>
              </w:rPr>
              <w:t xml:space="preserve"> </w:t>
            </w:r>
            <w:proofErr w:type="spellStart"/>
            <w:r w:rsidR="003267D4">
              <w:rPr>
                <w:color w:val="000000"/>
                <w:sz w:val="20"/>
                <w:szCs w:val="22"/>
              </w:rPr>
              <w:t>дезинфекционих</w:t>
            </w:r>
            <w:proofErr w:type="spellEnd"/>
            <w:r w:rsidR="003267D4">
              <w:rPr>
                <w:color w:val="000000"/>
                <w:sz w:val="20"/>
                <w:szCs w:val="22"/>
              </w:rPr>
              <w:t xml:space="preserve"> </w:t>
            </w:r>
            <w:proofErr w:type="spellStart"/>
            <w:r w:rsidR="003267D4">
              <w:rPr>
                <w:color w:val="000000"/>
                <w:sz w:val="20"/>
                <w:szCs w:val="22"/>
              </w:rPr>
              <w:t>средстава</w:t>
            </w:r>
            <w:proofErr w:type="spellEnd"/>
            <w:r w:rsidR="00661087" w:rsidRPr="006E109A">
              <w:rPr>
                <w:color w:val="000000"/>
                <w:sz w:val="20"/>
                <w:szCs w:val="22"/>
              </w:rPr>
              <w:t xml:space="preserve"> </w:t>
            </w:r>
          </w:p>
          <w:p w14:paraId="5085CC0A" w14:textId="77777777" w:rsidR="003267D4" w:rsidRPr="003267D4" w:rsidRDefault="003267D4" w:rsidP="001B0969">
            <w:pPr>
              <w:rPr>
                <w:color w:val="000000"/>
                <w:sz w:val="20"/>
                <w:szCs w:val="22"/>
                <w:lang w:val="sr-Cyrl-RS"/>
              </w:rPr>
            </w:pPr>
            <w:r>
              <w:rPr>
                <w:color w:val="000000"/>
                <w:sz w:val="20"/>
                <w:szCs w:val="22"/>
                <w:lang w:val="sr-Cyrl-RS"/>
              </w:rPr>
              <w:t>-појачан одвоз смећа и општа јавна хигијена</w:t>
            </w:r>
          </w:p>
          <w:p w14:paraId="37F18715" w14:textId="77777777" w:rsidR="00862D81" w:rsidRDefault="00862D81" w:rsidP="001B0969">
            <w:pPr>
              <w:rPr>
                <w:color w:val="000000"/>
                <w:sz w:val="20"/>
                <w:szCs w:val="22"/>
              </w:rPr>
            </w:pPr>
            <w:r>
              <w:rPr>
                <w:color w:val="000000"/>
                <w:sz w:val="20"/>
                <w:szCs w:val="22"/>
                <w:lang w:val="sr-Cyrl-RS"/>
              </w:rPr>
              <w:t>-</w:t>
            </w:r>
            <w:proofErr w:type="spellStart"/>
            <w:r w:rsidR="00661087" w:rsidRPr="006E109A">
              <w:rPr>
                <w:color w:val="000000"/>
                <w:sz w:val="20"/>
                <w:szCs w:val="22"/>
              </w:rPr>
              <w:t>повећани</w:t>
            </w:r>
            <w:proofErr w:type="spellEnd"/>
            <w:r w:rsidR="00661087" w:rsidRPr="006E109A">
              <w:rPr>
                <w:color w:val="000000"/>
                <w:sz w:val="20"/>
                <w:szCs w:val="22"/>
              </w:rPr>
              <w:t xml:space="preserve"> </w:t>
            </w:r>
            <w:proofErr w:type="spellStart"/>
            <w:r w:rsidR="00661087" w:rsidRPr="006E109A">
              <w:rPr>
                <w:color w:val="000000"/>
                <w:sz w:val="20"/>
                <w:szCs w:val="22"/>
              </w:rPr>
              <w:t>издаци</w:t>
            </w:r>
            <w:proofErr w:type="spellEnd"/>
            <w:r w:rsidR="00661087" w:rsidRPr="006E109A">
              <w:rPr>
                <w:color w:val="000000"/>
                <w:sz w:val="20"/>
                <w:szCs w:val="22"/>
              </w:rPr>
              <w:t xml:space="preserve"> </w:t>
            </w:r>
            <w:proofErr w:type="spellStart"/>
            <w:r w:rsidR="00661087" w:rsidRPr="006E109A">
              <w:rPr>
                <w:color w:val="000000"/>
                <w:sz w:val="20"/>
                <w:szCs w:val="22"/>
              </w:rPr>
              <w:t>за</w:t>
            </w:r>
            <w:proofErr w:type="spellEnd"/>
            <w:r w:rsidR="00661087" w:rsidRPr="006E109A">
              <w:rPr>
                <w:color w:val="000000"/>
                <w:sz w:val="20"/>
                <w:szCs w:val="22"/>
              </w:rPr>
              <w:t xml:space="preserve"> </w:t>
            </w:r>
            <w:proofErr w:type="spellStart"/>
            <w:r w:rsidR="00661087" w:rsidRPr="006E109A">
              <w:rPr>
                <w:color w:val="000000"/>
                <w:sz w:val="20"/>
                <w:szCs w:val="22"/>
              </w:rPr>
              <w:t>грант</w:t>
            </w:r>
            <w:proofErr w:type="spellEnd"/>
            <w:r w:rsidR="00661087" w:rsidRPr="006E109A">
              <w:rPr>
                <w:color w:val="000000"/>
                <w:sz w:val="20"/>
                <w:szCs w:val="22"/>
              </w:rPr>
              <w:t xml:space="preserve"> </w:t>
            </w:r>
            <w:proofErr w:type="spellStart"/>
            <w:r w:rsidR="00661087" w:rsidRPr="006E109A">
              <w:rPr>
                <w:color w:val="000000"/>
                <w:sz w:val="20"/>
                <w:szCs w:val="22"/>
              </w:rPr>
              <w:t>локалним</w:t>
            </w:r>
            <w:proofErr w:type="spellEnd"/>
            <w:r w:rsidR="00661087" w:rsidRPr="006E109A">
              <w:rPr>
                <w:color w:val="000000"/>
                <w:sz w:val="20"/>
                <w:szCs w:val="22"/>
              </w:rPr>
              <w:t xml:space="preserve"> </w:t>
            </w:r>
            <w:proofErr w:type="spellStart"/>
            <w:r w:rsidR="00661087" w:rsidRPr="006E109A">
              <w:rPr>
                <w:color w:val="000000"/>
                <w:sz w:val="20"/>
                <w:szCs w:val="22"/>
              </w:rPr>
              <w:t>домовима</w:t>
            </w:r>
            <w:proofErr w:type="spellEnd"/>
            <w:r w:rsidR="00661087" w:rsidRPr="006E109A">
              <w:rPr>
                <w:color w:val="000000"/>
                <w:sz w:val="20"/>
                <w:szCs w:val="22"/>
              </w:rPr>
              <w:t xml:space="preserve"> </w:t>
            </w:r>
            <w:proofErr w:type="spellStart"/>
            <w:r w:rsidR="00661087" w:rsidRPr="006E109A">
              <w:rPr>
                <w:color w:val="000000"/>
                <w:sz w:val="20"/>
                <w:szCs w:val="22"/>
              </w:rPr>
              <w:t>здравља</w:t>
            </w:r>
            <w:proofErr w:type="spellEnd"/>
            <w:r w:rsidR="00661087" w:rsidRPr="006E109A">
              <w:rPr>
                <w:color w:val="000000"/>
                <w:sz w:val="20"/>
                <w:szCs w:val="22"/>
              </w:rPr>
              <w:t>,</w:t>
            </w:r>
          </w:p>
          <w:p w14:paraId="47D7F63D" w14:textId="77777777" w:rsidR="00862D81" w:rsidRDefault="00862D81" w:rsidP="001B0969">
            <w:pPr>
              <w:rPr>
                <w:color w:val="000000"/>
                <w:sz w:val="20"/>
                <w:szCs w:val="22"/>
              </w:rPr>
            </w:pPr>
            <w:r>
              <w:rPr>
                <w:color w:val="000000"/>
                <w:sz w:val="20"/>
                <w:szCs w:val="22"/>
                <w:lang w:val="sr-Cyrl-RS"/>
              </w:rPr>
              <w:t>-</w:t>
            </w:r>
            <w:proofErr w:type="spellStart"/>
            <w:r w:rsidR="003267D4">
              <w:rPr>
                <w:color w:val="000000"/>
                <w:sz w:val="20"/>
                <w:szCs w:val="22"/>
              </w:rPr>
              <w:t>трошкови</w:t>
            </w:r>
            <w:proofErr w:type="spellEnd"/>
            <w:r w:rsidR="003267D4">
              <w:rPr>
                <w:color w:val="000000"/>
                <w:sz w:val="20"/>
                <w:szCs w:val="22"/>
              </w:rPr>
              <w:t xml:space="preserve"> </w:t>
            </w:r>
            <w:proofErr w:type="spellStart"/>
            <w:r w:rsidR="003267D4">
              <w:rPr>
                <w:color w:val="000000"/>
                <w:sz w:val="20"/>
                <w:szCs w:val="22"/>
              </w:rPr>
              <w:t>градских</w:t>
            </w:r>
            <w:proofErr w:type="spellEnd"/>
            <w:r w:rsidR="003267D4">
              <w:rPr>
                <w:color w:val="000000"/>
                <w:sz w:val="20"/>
                <w:szCs w:val="22"/>
              </w:rPr>
              <w:t xml:space="preserve"> </w:t>
            </w:r>
            <w:proofErr w:type="spellStart"/>
            <w:r w:rsidR="003267D4">
              <w:rPr>
                <w:color w:val="000000"/>
                <w:sz w:val="20"/>
                <w:szCs w:val="22"/>
              </w:rPr>
              <w:t>карантина</w:t>
            </w:r>
            <w:proofErr w:type="spellEnd"/>
          </w:p>
          <w:p w14:paraId="430E522F" w14:textId="77777777" w:rsidR="00862D81" w:rsidRDefault="00862D81" w:rsidP="001B0969">
            <w:pPr>
              <w:rPr>
                <w:color w:val="000000"/>
                <w:sz w:val="20"/>
                <w:szCs w:val="22"/>
              </w:rPr>
            </w:pPr>
            <w:r>
              <w:rPr>
                <w:color w:val="000000"/>
                <w:sz w:val="20"/>
                <w:szCs w:val="22"/>
                <w:lang w:val="sr-Cyrl-RS"/>
              </w:rPr>
              <w:t>-</w:t>
            </w:r>
            <w:proofErr w:type="spellStart"/>
            <w:r w:rsidR="00661087" w:rsidRPr="006E109A">
              <w:rPr>
                <w:color w:val="000000"/>
                <w:sz w:val="20"/>
                <w:szCs w:val="22"/>
              </w:rPr>
              <w:t>превоз</w:t>
            </w:r>
            <w:proofErr w:type="spellEnd"/>
            <w:r w:rsidR="00661087" w:rsidRPr="006E109A">
              <w:rPr>
                <w:color w:val="000000"/>
                <w:sz w:val="20"/>
                <w:szCs w:val="22"/>
              </w:rPr>
              <w:t xml:space="preserve"> </w:t>
            </w:r>
            <w:proofErr w:type="spellStart"/>
            <w:r w:rsidR="00661087" w:rsidRPr="006E109A">
              <w:rPr>
                <w:color w:val="000000"/>
                <w:sz w:val="20"/>
                <w:szCs w:val="22"/>
              </w:rPr>
              <w:t>здравствених</w:t>
            </w:r>
            <w:proofErr w:type="spellEnd"/>
            <w:r w:rsidR="00661087" w:rsidRPr="006E109A">
              <w:rPr>
                <w:color w:val="000000"/>
                <w:sz w:val="20"/>
                <w:szCs w:val="22"/>
              </w:rPr>
              <w:t xml:space="preserve"> </w:t>
            </w:r>
            <w:proofErr w:type="spellStart"/>
            <w:r w:rsidR="00661087" w:rsidRPr="006E109A">
              <w:rPr>
                <w:color w:val="000000"/>
                <w:sz w:val="20"/>
                <w:szCs w:val="22"/>
              </w:rPr>
              <w:t>радника</w:t>
            </w:r>
            <w:proofErr w:type="spellEnd"/>
            <w:r w:rsidR="00661087" w:rsidRPr="006E109A">
              <w:rPr>
                <w:color w:val="000000"/>
                <w:sz w:val="20"/>
                <w:szCs w:val="22"/>
              </w:rPr>
              <w:t xml:space="preserve"> и </w:t>
            </w:r>
            <w:proofErr w:type="spellStart"/>
            <w:r w:rsidR="00661087" w:rsidRPr="006E109A">
              <w:rPr>
                <w:color w:val="000000"/>
                <w:sz w:val="20"/>
                <w:szCs w:val="22"/>
              </w:rPr>
              <w:t>радника</w:t>
            </w:r>
            <w:proofErr w:type="spellEnd"/>
            <w:r w:rsidR="00661087" w:rsidRPr="006E109A">
              <w:rPr>
                <w:color w:val="000000"/>
                <w:sz w:val="20"/>
                <w:szCs w:val="22"/>
              </w:rPr>
              <w:t xml:space="preserve"> </w:t>
            </w:r>
            <w:r w:rsidR="003267D4">
              <w:rPr>
                <w:color w:val="000000"/>
                <w:sz w:val="20"/>
                <w:szCs w:val="22"/>
              </w:rPr>
              <w:t xml:space="preserve">МУП-а </w:t>
            </w:r>
            <w:proofErr w:type="spellStart"/>
            <w:r w:rsidR="003267D4">
              <w:rPr>
                <w:color w:val="000000"/>
                <w:sz w:val="20"/>
                <w:szCs w:val="22"/>
              </w:rPr>
              <w:t>током</w:t>
            </w:r>
            <w:proofErr w:type="spellEnd"/>
            <w:r w:rsidR="003267D4">
              <w:rPr>
                <w:color w:val="000000"/>
                <w:sz w:val="20"/>
                <w:szCs w:val="22"/>
              </w:rPr>
              <w:t xml:space="preserve"> </w:t>
            </w:r>
            <w:proofErr w:type="spellStart"/>
            <w:r w:rsidR="003267D4">
              <w:rPr>
                <w:color w:val="000000"/>
                <w:sz w:val="20"/>
                <w:szCs w:val="22"/>
              </w:rPr>
              <w:t>ванредне</w:t>
            </w:r>
            <w:proofErr w:type="spellEnd"/>
            <w:r w:rsidR="003267D4">
              <w:rPr>
                <w:color w:val="000000"/>
                <w:sz w:val="20"/>
                <w:szCs w:val="22"/>
              </w:rPr>
              <w:t xml:space="preserve"> </w:t>
            </w:r>
            <w:proofErr w:type="spellStart"/>
            <w:r w:rsidR="003267D4">
              <w:rPr>
                <w:color w:val="000000"/>
                <w:sz w:val="20"/>
                <w:szCs w:val="22"/>
              </w:rPr>
              <w:t>ситуације</w:t>
            </w:r>
            <w:proofErr w:type="spellEnd"/>
          </w:p>
          <w:p w14:paraId="1773AE9E" w14:textId="77777777" w:rsidR="00BC57D1" w:rsidRDefault="00862D81" w:rsidP="001B0969">
            <w:pPr>
              <w:rPr>
                <w:color w:val="000000"/>
                <w:sz w:val="20"/>
                <w:szCs w:val="22"/>
              </w:rPr>
            </w:pPr>
            <w:r>
              <w:rPr>
                <w:color w:val="000000"/>
                <w:sz w:val="20"/>
                <w:szCs w:val="22"/>
                <w:lang w:val="sr-Cyrl-RS"/>
              </w:rPr>
              <w:t>-</w:t>
            </w:r>
            <w:proofErr w:type="spellStart"/>
            <w:r w:rsidR="00661087" w:rsidRPr="006E109A">
              <w:rPr>
                <w:color w:val="000000"/>
                <w:sz w:val="20"/>
                <w:szCs w:val="22"/>
              </w:rPr>
              <w:t>набавка</w:t>
            </w:r>
            <w:proofErr w:type="spellEnd"/>
            <w:r w:rsidR="00661087" w:rsidRPr="006E109A">
              <w:rPr>
                <w:color w:val="000000"/>
                <w:sz w:val="20"/>
                <w:szCs w:val="22"/>
              </w:rPr>
              <w:t xml:space="preserve"> </w:t>
            </w:r>
            <w:proofErr w:type="spellStart"/>
            <w:r w:rsidR="00661087" w:rsidRPr="006E109A">
              <w:rPr>
                <w:color w:val="000000"/>
                <w:sz w:val="20"/>
                <w:szCs w:val="22"/>
              </w:rPr>
              <w:t>опреме</w:t>
            </w:r>
            <w:proofErr w:type="spellEnd"/>
            <w:r w:rsidR="00661087" w:rsidRPr="006E109A">
              <w:rPr>
                <w:color w:val="000000"/>
                <w:sz w:val="20"/>
                <w:szCs w:val="22"/>
              </w:rPr>
              <w:t xml:space="preserve"> и </w:t>
            </w:r>
            <w:proofErr w:type="spellStart"/>
            <w:r w:rsidR="00661087" w:rsidRPr="006E109A">
              <w:rPr>
                <w:color w:val="000000"/>
                <w:sz w:val="20"/>
                <w:szCs w:val="22"/>
              </w:rPr>
              <w:t>сл</w:t>
            </w:r>
            <w:proofErr w:type="spellEnd"/>
            <w:r w:rsidR="00661087" w:rsidRPr="006E109A">
              <w:rPr>
                <w:color w:val="000000"/>
                <w:sz w:val="20"/>
                <w:szCs w:val="22"/>
              </w:rPr>
              <w:t>.</w:t>
            </w:r>
          </w:p>
          <w:p w14:paraId="4BFE9932" w14:textId="77777777" w:rsidR="00BC57D1" w:rsidRDefault="001B0969" w:rsidP="001B0969">
            <w:pPr>
              <w:rPr>
                <w:color w:val="000000"/>
                <w:sz w:val="20"/>
                <w:szCs w:val="22"/>
              </w:rPr>
            </w:pPr>
            <w:r>
              <w:rPr>
                <w:color w:val="000000"/>
                <w:sz w:val="20"/>
                <w:szCs w:val="22"/>
                <w:lang w:val="sr-Cyrl-RS"/>
              </w:rPr>
              <w:t xml:space="preserve">2. </w:t>
            </w:r>
            <w:proofErr w:type="spellStart"/>
            <w:r w:rsidR="00661087" w:rsidRPr="006E109A">
              <w:rPr>
                <w:color w:val="000000"/>
                <w:sz w:val="20"/>
                <w:szCs w:val="22"/>
              </w:rPr>
              <w:t>Износ</w:t>
            </w:r>
            <w:proofErr w:type="spellEnd"/>
            <w:r w:rsidR="00661087" w:rsidRPr="006E109A">
              <w:rPr>
                <w:color w:val="000000"/>
                <w:sz w:val="20"/>
                <w:szCs w:val="22"/>
              </w:rPr>
              <w:t xml:space="preserve"> </w:t>
            </w:r>
            <w:proofErr w:type="spellStart"/>
            <w:r w:rsidR="00661087" w:rsidRPr="006E109A">
              <w:rPr>
                <w:color w:val="000000"/>
                <w:sz w:val="20"/>
                <w:szCs w:val="22"/>
              </w:rPr>
              <w:t>ових</w:t>
            </w:r>
            <w:proofErr w:type="spellEnd"/>
            <w:r w:rsidR="00661087" w:rsidRPr="006E109A">
              <w:rPr>
                <w:color w:val="000000"/>
                <w:sz w:val="20"/>
                <w:szCs w:val="22"/>
              </w:rPr>
              <w:t xml:space="preserve"> </w:t>
            </w:r>
            <w:proofErr w:type="spellStart"/>
            <w:r w:rsidR="00661087" w:rsidRPr="006E109A">
              <w:rPr>
                <w:color w:val="000000"/>
                <w:sz w:val="20"/>
                <w:szCs w:val="22"/>
              </w:rPr>
              <w:t>средства</w:t>
            </w:r>
            <w:proofErr w:type="spellEnd"/>
            <w:r w:rsidR="00661087" w:rsidRPr="006E109A">
              <w:rPr>
                <w:color w:val="000000"/>
                <w:sz w:val="20"/>
                <w:szCs w:val="22"/>
              </w:rPr>
              <w:t xml:space="preserve"> </w:t>
            </w:r>
            <w:proofErr w:type="spellStart"/>
            <w:r w:rsidR="00661087" w:rsidRPr="006E109A">
              <w:rPr>
                <w:color w:val="000000"/>
                <w:sz w:val="20"/>
                <w:szCs w:val="22"/>
              </w:rPr>
              <w:t>кретао</w:t>
            </w:r>
            <w:proofErr w:type="spellEnd"/>
            <w:r w:rsidR="00661087" w:rsidRPr="006E109A">
              <w:rPr>
                <w:color w:val="000000"/>
                <w:sz w:val="20"/>
                <w:szCs w:val="22"/>
              </w:rPr>
              <w:t xml:space="preserve"> </w:t>
            </w:r>
            <w:proofErr w:type="spellStart"/>
            <w:r w:rsidR="00661087" w:rsidRPr="006E109A">
              <w:rPr>
                <w:color w:val="000000"/>
                <w:sz w:val="20"/>
                <w:szCs w:val="22"/>
              </w:rPr>
              <w:t>се</w:t>
            </w:r>
            <w:proofErr w:type="spellEnd"/>
            <w:r w:rsidR="00661087" w:rsidRPr="006E109A">
              <w:rPr>
                <w:color w:val="000000"/>
                <w:sz w:val="20"/>
                <w:szCs w:val="22"/>
              </w:rPr>
              <w:t xml:space="preserve"> у </w:t>
            </w:r>
            <w:proofErr w:type="spellStart"/>
            <w:r w:rsidR="00661087" w:rsidRPr="006E109A">
              <w:rPr>
                <w:color w:val="000000"/>
                <w:sz w:val="20"/>
                <w:szCs w:val="22"/>
              </w:rPr>
              <w:t>распону</w:t>
            </w:r>
            <w:proofErr w:type="spellEnd"/>
            <w:r w:rsidR="00661087" w:rsidRPr="006E109A">
              <w:rPr>
                <w:color w:val="000000"/>
                <w:sz w:val="20"/>
                <w:szCs w:val="22"/>
              </w:rPr>
              <w:t xml:space="preserve"> </w:t>
            </w:r>
            <w:proofErr w:type="spellStart"/>
            <w:r w:rsidR="00661087" w:rsidRPr="006E109A">
              <w:rPr>
                <w:color w:val="000000"/>
                <w:sz w:val="20"/>
                <w:szCs w:val="22"/>
              </w:rPr>
              <w:t>од</w:t>
            </w:r>
            <w:proofErr w:type="spellEnd"/>
            <w:r w:rsidR="00661087" w:rsidRPr="006E109A">
              <w:rPr>
                <w:color w:val="000000"/>
                <w:sz w:val="20"/>
                <w:szCs w:val="22"/>
              </w:rPr>
              <w:t xml:space="preserve">  0,02 </w:t>
            </w:r>
            <w:proofErr w:type="spellStart"/>
            <w:r w:rsidR="00661087" w:rsidRPr="006E109A">
              <w:rPr>
                <w:color w:val="000000"/>
                <w:sz w:val="20"/>
                <w:szCs w:val="22"/>
              </w:rPr>
              <w:t>мил</w:t>
            </w:r>
            <w:proofErr w:type="spellEnd"/>
            <w:r w:rsidR="00661087" w:rsidRPr="006E109A">
              <w:rPr>
                <w:color w:val="000000"/>
                <w:sz w:val="20"/>
                <w:szCs w:val="22"/>
              </w:rPr>
              <w:t>. КМ  (</w:t>
            </w:r>
            <w:proofErr w:type="spellStart"/>
            <w:r w:rsidR="00661087" w:rsidRPr="006E109A">
              <w:rPr>
                <w:color w:val="000000"/>
                <w:sz w:val="20"/>
                <w:szCs w:val="22"/>
              </w:rPr>
              <w:t>Вишегард</w:t>
            </w:r>
            <w:proofErr w:type="spellEnd"/>
            <w:r w:rsidR="00661087" w:rsidRPr="006E109A">
              <w:rPr>
                <w:color w:val="000000"/>
                <w:sz w:val="20"/>
                <w:szCs w:val="22"/>
              </w:rPr>
              <w:t xml:space="preserve">) </w:t>
            </w:r>
            <w:proofErr w:type="spellStart"/>
            <w:r w:rsidR="00661087" w:rsidRPr="006E109A">
              <w:rPr>
                <w:color w:val="000000"/>
                <w:sz w:val="20"/>
                <w:szCs w:val="22"/>
              </w:rPr>
              <w:t>до</w:t>
            </w:r>
            <w:proofErr w:type="spellEnd"/>
            <w:r w:rsidR="00661087" w:rsidRPr="006E109A">
              <w:rPr>
                <w:color w:val="000000"/>
                <w:sz w:val="20"/>
                <w:szCs w:val="22"/>
              </w:rPr>
              <w:t xml:space="preserve"> </w:t>
            </w:r>
            <w:r w:rsidR="00862D81">
              <w:rPr>
                <w:color w:val="000000"/>
                <w:sz w:val="20"/>
                <w:szCs w:val="22"/>
                <w:lang w:val="sr-Cyrl-RS"/>
              </w:rPr>
              <w:t xml:space="preserve">0,5 </w:t>
            </w:r>
            <w:proofErr w:type="spellStart"/>
            <w:r w:rsidR="00862D81">
              <w:rPr>
                <w:color w:val="000000"/>
                <w:sz w:val="20"/>
                <w:szCs w:val="22"/>
                <w:lang w:val="sr-Cyrl-RS"/>
              </w:rPr>
              <w:t>мил</w:t>
            </w:r>
            <w:proofErr w:type="spellEnd"/>
            <w:r w:rsidR="00862D81">
              <w:rPr>
                <w:color w:val="000000"/>
                <w:sz w:val="20"/>
                <w:szCs w:val="22"/>
                <w:lang w:val="sr-Cyrl-RS"/>
              </w:rPr>
              <w:t xml:space="preserve">. КМ  (Приједор) и </w:t>
            </w:r>
            <w:r w:rsidR="00661087" w:rsidRPr="006E109A">
              <w:rPr>
                <w:color w:val="000000"/>
                <w:sz w:val="20"/>
                <w:szCs w:val="22"/>
              </w:rPr>
              <w:t>0,</w:t>
            </w:r>
            <w:r w:rsidR="00862D81">
              <w:rPr>
                <w:color w:val="000000"/>
                <w:sz w:val="20"/>
                <w:szCs w:val="22"/>
                <w:lang w:val="sr-Cyrl-RS"/>
              </w:rPr>
              <w:t>9</w:t>
            </w:r>
            <w:r w:rsidR="00862D81">
              <w:rPr>
                <w:color w:val="000000"/>
                <w:sz w:val="20"/>
                <w:szCs w:val="22"/>
              </w:rPr>
              <w:t xml:space="preserve"> </w:t>
            </w:r>
            <w:proofErr w:type="spellStart"/>
            <w:r w:rsidR="00862D81">
              <w:rPr>
                <w:color w:val="000000"/>
                <w:sz w:val="20"/>
                <w:szCs w:val="22"/>
              </w:rPr>
              <w:t>мил</w:t>
            </w:r>
            <w:proofErr w:type="spellEnd"/>
            <w:r w:rsidR="00862D81">
              <w:rPr>
                <w:color w:val="000000"/>
                <w:sz w:val="20"/>
                <w:szCs w:val="22"/>
              </w:rPr>
              <w:t xml:space="preserve">. КМ (Б. </w:t>
            </w:r>
            <w:proofErr w:type="spellStart"/>
            <w:r w:rsidR="00862D81">
              <w:rPr>
                <w:color w:val="000000"/>
                <w:sz w:val="20"/>
                <w:szCs w:val="22"/>
              </w:rPr>
              <w:t>Лука</w:t>
            </w:r>
            <w:proofErr w:type="spellEnd"/>
            <w:r w:rsidR="00BC57D1">
              <w:rPr>
                <w:color w:val="000000"/>
                <w:sz w:val="20"/>
                <w:szCs w:val="22"/>
              </w:rPr>
              <w:t>).</w:t>
            </w:r>
          </w:p>
          <w:p w14:paraId="0147FD0B" w14:textId="77777777" w:rsidR="00661087" w:rsidRPr="001D26BE" w:rsidRDefault="001B0969" w:rsidP="001B0969">
            <w:pPr>
              <w:rPr>
                <w:color w:val="000000"/>
                <w:sz w:val="20"/>
                <w:szCs w:val="22"/>
                <w:lang w:val="sr-Cyrl-RS"/>
              </w:rPr>
            </w:pPr>
            <w:r>
              <w:rPr>
                <w:color w:val="000000"/>
                <w:sz w:val="20"/>
                <w:szCs w:val="22"/>
                <w:lang w:val="sr-Cyrl-RS"/>
              </w:rPr>
              <w:t xml:space="preserve">3. </w:t>
            </w:r>
            <w:proofErr w:type="spellStart"/>
            <w:r w:rsidR="00661087" w:rsidRPr="006E109A">
              <w:rPr>
                <w:color w:val="000000"/>
                <w:sz w:val="20"/>
                <w:szCs w:val="22"/>
              </w:rPr>
              <w:t>Расходи</w:t>
            </w:r>
            <w:proofErr w:type="spellEnd"/>
            <w:r w:rsidR="001D26BE">
              <w:rPr>
                <w:color w:val="000000"/>
                <w:sz w:val="20"/>
                <w:szCs w:val="22"/>
                <w:lang w:val="sr-Cyrl-RS"/>
              </w:rPr>
              <w:t xml:space="preserve"> су</w:t>
            </w:r>
            <w:r w:rsidR="00661087" w:rsidRPr="006E109A">
              <w:rPr>
                <w:color w:val="000000"/>
                <w:sz w:val="20"/>
                <w:szCs w:val="22"/>
              </w:rPr>
              <w:t xml:space="preserve"> </w:t>
            </w:r>
            <w:proofErr w:type="spellStart"/>
            <w:r w:rsidR="00661087" w:rsidRPr="006E109A">
              <w:rPr>
                <w:color w:val="000000"/>
                <w:sz w:val="20"/>
                <w:szCs w:val="22"/>
              </w:rPr>
              <w:t>финансирани</w:t>
            </w:r>
            <w:proofErr w:type="spellEnd"/>
            <w:r w:rsidR="00661087" w:rsidRPr="006E109A">
              <w:rPr>
                <w:color w:val="000000"/>
                <w:sz w:val="20"/>
                <w:szCs w:val="22"/>
              </w:rPr>
              <w:t xml:space="preserve"> </w:t>
            </w:r>
            <w:proofErr w:type="spellStart"/>
            <w:r w:rsidR="00661087" w:rsidRPr="006E109A">
              <w:rPr>
                <w:color w:val="000000"/>
                <w:sz w:val="20"/>
                <w:szCs w:val="22"/>
              </w:rPr>
              <w:t>из</w:t>
            </w:r>
            <w:proofErr w:type="spellEnd"/>
            <w:r w:rsidR="00661087" w:rsidRPr="006E109A">
              <w:rPr>
                <w:color w:val="000000"/>
                <w:sz w:val="20"/>
                <w:szCs w:val="22"/>
              </w:rPr>
              <w:t xml:space="preserve"> </w:t>
            </w:r>
            <w:proofErr w:type="spellStart"/>
            <w:r w:rsidR="00661087" w:rsidRPr="006E109A">
              <w:rPr>
                <w:color w:val="000000"/>
                <w:sz w:val="20"/>
                <w:szCs w:val="22"/>
              </w:rPr>
              <w:t>редовног</w:t>
            </w:r>
            <w:proofErr w:type="spellEnd"/>
            <w:r w:rsidR="00661087" w:rsidRPr="006E109A">
              <w:rPr>
                <w:color w:val="000000"/>
                <w:sz w:val="20"/>
                <w:szCs w:val="22"/>
              </w:rPr>
              <w:t xml:space="preserve"> </w:t>
            </w:r>
            <w:proofErr w:type="spellStart"/>
            <w:r w:rsidR="00661087" w:rsidRPr="006E109A">
              <w:rPr>
                <w:color w:val="000000"/>
                <w:sz w:val="20"/>
                <w:szCs w:val="22"/>
              </w:rPr>
              <w:t>буџета</w:t>
            </w:r>
            <w:proofErr w:type="spellEnd"/>
            <w:r w:rsidR="00661087" w:rsidRPr="006E109A">
              <w:rPr>
                <w:color w:val="000000"/>
                <w:sz w:val="20"/>
                <w:szCs w:val="22"/>
              </w:rPr>
              <w:t xml:space="preserve"> </w:t>
            </w:r>
            <w:proofErr w:type="spellStart"/>
            <w:r w:rsidR="00661087" w:rsidRPr="006E109A">
              <w:rPr>
                <w:color w:val="000000"/>
                <w:sz w:val="20"/>
                <w:szCs w:val="22"/>
              </w:rPr>
              <w:t>или</w:t>
            </w:r>
            <w:proofErr w:type="spellEnd"/>
            <w:r w:rsidR="00661087" w:rsidRPr="006E109A">
              <w:rPr>
                <w:color w:val="000000"/>
                <w:sz w:val="20"/>
                <w:szCs w:val="22"/>
              </w:rPr>
              <w:t xml:space="preserve"> </w:t>
            </w:r>
            <w:proofErr w:type="spellStart"/>
            <w:r w:rsidR="00661087" w:rsidRPr="006E109A">
              <w:rPr>
                <w:color w:val="000000"/>
                <w:sz w:val="20"/>
                <w:szCs w:val="22"/>
              </w:rPr>
              <w:t>донација</w:t>
            </w:r>
            <w:proofErr w:type="spellEnd"/>
            <w:r w:rsidR="00661087" w:rsidRPr="006E109A">
              <w:rPr>
                <w:color w:val="000000"/>
                <w:sz w:val="20"/>
                <w:szCs w:val="22"/>
              </w:rPr>
              <w:t xml:space="preserve"> (</w:t>
            </w:r>
            <w:proofErr w:type="spellStart"/>
            <w:r w:rsidR="00661087" w:rsidRPr="006E109A">
              <w:rPr>
                <w:color w:val="000000"/>
                <w:sz w:val="20"/>
                <w:szCs w:val="22"/>
              </w:rPr>
              <w:t>Градишка</w:t>
            </w:r>
            <w:proofErr w:type="spellEnd"/>
            <w:r w:rsidR="00661087" w:rsidRPr="006E109A">
              <w:rPr>
                <w:color w:val="000000"/>
                <w:sz w:val="20"/>
                <w:szCs w:val="22"/>
              </w:rPr>
              <w:t>)</w:t>
            </w:r>
            <w:r w:rsidR="001D26BE">
              <w:rPr>
                <w:color w:val="000000"/>
                <w:sz w:val="20"/>
                <w:szCs w:val="22"/>
                <w:lang w:val="sr-Cyrl-RS"/>
              </w:rPr>
              <w:t>.</w:t>
            </w:r>
          </w:p>
        </w:tc>
      </w:tr>
    </w:tbl>
    <w:p w14:paraId="78E2E442" w14:textId="77777777" w:rsidR="00194AE2" w:rsidRDefault="00194AE2" w:rsidP="005613DC">
      <w:pPr>
        <w:tabs>
          <w:tab w:val="left" w:pos="709"/>
          <w:tab w:val="left" w:pos="1530"/>
        </w:tabs>
        <w:spacing w:line="276" w:lineRule="auto"/>
        <w:jc w:val="both"/>
        <w:rPr>
          <w:bCs/>
          <w:sz w:val="22"/>
          <w:szCs w:val="22"/>
          <w:lang w:val="sr-Cyrl-RS" w:eastAsia="en-US"/>
        </w:rPr>
      </w:pPr>
    </w:p>
    <w:p w14:paraId="335BBB7A" w14:textId="77777777" w:rsidR="00146C5F" w:rsidRPr="005613DC" w:rsidRDefault="00146C5F" w:rsidP="005613DC">
      <w:pPr>
        <w:tabs>
          <w:tab w:val="left" w:pos="709"/>
          <w:tab w:val="left" w:pos="1530"/>
        </w:tabs>
        <w:spacing w:line="276" w:lineRule="auto"/>
        <w:jc w:val="both"/>
        <w:rPr>
          <w:bCs/>
          <w:sz w:val="22"/>
          <w:szCs w:val="22"/>
          <w:lang w:val="sr-Cyrl-RS" w:eastAsia="en-US"/>
        </w:rPr>
      </w:pPr>
      <w:r>
        <w:rPr>
          <w:bCs/>
          <w:sz w:val="22"/>
          <w:szCs w:val="22"/>
          <w:lang w:val="sr-Cyrl-RS" w:eastAsia="en-US"/>
        </w:rPr>
        <w:tab/>
        <w:t xml:space="preserve">На основу обрађених одговора 7 анкетираних ЈЛС, може се закључити висок степен сличности у поступању током </w:t>
      </w:r>
      <w:proofErr w:type="spellStart"/>
      <w:r>
        <w:rPr>
          <w:bCs/>
          <w:sz w:val="22"/>
          <w:szCs w:val="22"/>
          <w:lang w:val="sr-Cyrl-RS" w:eastAsia="en-US"/>
        </w:rPr>
        <w:t>пандемије</w:t>
      </w:r>
      <w:proofErr w:type="spellEnd"/>
      <w:r>
        <w:rPr>
          <w:bCs/>
          <w:sz w:val="22"/>
          <w:szCs w:val="22"/>
          <w:lang w:val="sr-Cyrl-RS" w:eastAsia="en-US"/>
        </w:rPr>
        <w:t xml:space="preserve">, у смислу управљања приходима и примицима, инвестирања, те помоћи привреди и становништву. Ако се регионално посматра, и ЈЛС у окружењу углавном су проводиле сличне активности, </w:t>
      </w:r>
      <w:proofErr w:type="spellStart"/>
      <w:r>
        <w:rPr>
          <w:bCs/>
          <w:sz w:val="22"/>
          <w:szCs w:val="22"/>
          <w:lang w:val="sr-Cyrl-RS" w:eastAsia="en-US"/>
        </w:rPr>
        <w:t>мјере</w:t>
      </w:r>
      <w:proofErr w:type="spellEnd"/>
      <w:r>
        <w:rPr>
          <w:bCs/>
          <w:sz w:val="22"/>
          <w:szCs w:val="22"/>
          <w:lang w:val="sr-Cyrl-RS" w:eastAsia="en-US"/>
        </w:rPr>
        <w:t xml:space="preserve">  и прој</w:t>
      </w:r>
      <w:r w:rsidR="00D43FCD">
        <w:rPr>
          <w:bCs/>
          <w:sz w:val="22"/>
          <w:szCs w:val="22"/>
          <w:lang w:val="sr-Cyrl-RS" w:eastAsia="en-US"/>
        </w:rPr>
        <w:t>екте.</w:t>
      </w:r>
    </w:p>
    <w:p w14:paraId="613408C4" w14:textId="77777777" w:rsidR="00C0450D" w:rsidRPr="00BC57D1" w:rsidRDefault="00C0450D" w:rsidP="00BC57D1">
      <w:pPr>
        <w:autoSpaceDE w:val="0"/>
        <w:autoSpaceDN w:val="0"/>
        <w:adjustRightInd w:val="0"/>
        <w:spacing w:line="276" w:lineRule="auto"/>
        <w:jc w:val="both"/>
        <w:rPr>
          <w:b/>
          <w:sz w:val="22"/>
          <w:szCs w:val="22"/>
          <w:lang w:val="sr-Cyrl-BA"/>
        </w:rPr>
      </w:pPr>
    </w:p>
    <w:p w14:paraId="2441320E" w14:textId="77777777" w:rsidR="00365ABE" w:rsidRDefault="00EC7321" w:rsidP="00BC57D1">
      <w:pPr>
        <w:pStyle w:val="Heading1"/>
        <w:jc w:val="both"/>
        <w:rPr>
          <w:sz w:val="22"/>
          <w:szCs w:val="22"/>
        </w:rPr>
      </w:pPr>
      <w:bookmarkStart w:id="16" w:name="_Toc59550016"/>
      <w:r w:rsidRPr="00BC57D1">
        <w:rPr>
          <w:sz w:val="22"/>
          <w:szCs w:val="22"/>
        </w:rPr>
        <w:t>6</w:t>
      </w:r>
      <w:r w:rsidR="006364BF" w:rsidRPr="00BC57D1">
        <w:rPr>
          <w:sz w:val="22"/>
          <w:szCs w:val="22"/>
        </w:rPr>
        <w:t xml:space="preserve">. </w:t>
      </w:r>
      <w:r w:rsidR="00365ABE" w:rsidRPr="00BC57D1">
        <w:rPr>
          <w:sz w:val="22"/>
          <w:szCs w:val="22"/>
        </w:rPr>
        <w:t>ПРЕПОРУКЕ ЗА ДАЉЕ УПРАВЉАЊЕ ЛОКАЛНИМ ФИНАНСИЈАМА</w:t>
      </w:r>
      <w:bookmarkEnd w:id="16"/>
    </w:p>
    <w:p w14:paraId="7429F74F" w14:textId="77777777" w:rsidR="003A0354" w:rsidRPr="003A0354" w:rsidRDefault="003A0354" w:rsidP="003A0354">
      <w:pPr>
        <w:rPr>
          <w:sz w:val="22"/>
          <w:lang w:val="sr-Cyrl-CS" w:eastAsia="en-US"/>
        </w:rPr>
      </w:pPr>
    </w:p>
    <w:p w14:paraId="090182B2" w14:textId="79E75E98" w:rsidR="00A0538D" w:rsidRDefault="00B25C45" w:rsidP="00A0538D">
      <w:pPr>
        <w:tabs>
          <w:tab w:val="left" w:pos="709"/>
          <w:tab w:val="left" w:pos="1530"/>
        </w:tabs>
        <w:spacing w:before="40" w:after="40" w:line="276" w:lineRule="auto"/>
        <w:jc w:val="both"/>
        <w:rPr>
          <w:sz w:val="22"/>
          <w:lang w:val="sr-Cyrl-CS" w:eastAsia="en-US"/>
        </w:rPr>
      </w:pPr>
      <w:r>
        <w:rPr>
          <w:sz w:val="22"/>
          <w:szCs w:val="22"/>
          <w:lang w:val="sr-Cyrl-RS"/>
        </w:rPr>
        <w:tab/>
      </w:r>
      <w:r w:rsidR="00F5516C">
        <w:rPr>
          <w:sz w:val="22"/>
          <w:szCs w:val="22"/>
          <w:lang w:val="sr-Cyrl-RS"/>
        </w:rPr>
        <w:t xml:space="preserve">Истраживања проведена у </w:t>
      </w:r>
      <w:r w:rsidRPr="00B25C45">
        <w:rPr>
          <w:sz w:val="22"/>
          <w:szCs w:val="22"/>
          <w:lang w:val="sr-Cyrl-RS"/>
        </w:rPr>
        <w:t xml:space="preserve">овом раду показују да је криза изазвана </w:t>
      </w:r>
      <w:r w:rsidRPr="00B25C45">
        <w:rPr>
          <w:sz w:val="22"/>
          <w:szCs w:val="22"/>
          <w:lang w:val="en-US"/>
        </w:rPr>
        <w:t xml:space="preserve">COVID-19 </w:t>
      </w:r>
      <w:r w:rsidRPr="00B25C45">
        <w:rPr>
          <w:sz w:val="22"/>
          <w:szCs w:val="22"/>
          <w:lang w:val="sr-Cyrl-RS"/>
        </w:rPr>
        <w:t xml:space="preserve">имала јак утицај на финансије </w:t>
      </w:r>
      <w:r w:rsidR="005613DC">
        <w:rPr>
          <w:sz w:val="22"/>
          <w:szCs w:val="22"/>
          <w:lang w:val="sr-Cyrl-RS"/>
        </w:rPr>
        <w:t xml:space="preserve">и начин функционисања </w:t>
      </w:r>
      <w:r w:rsidRPr="00B25C45">
        <w:rPr>
          <w:sz w:val="22"/>
          <w:szCs w:val="22"/>
          <w:lang w:val="sr-Cyrl-RS"/>
        </w:rPr>
        <w:t xml:space="preserve">свих ЈЛС, без обзира на степен развијености и величину. </w:t>
      </w:r>
      <w:r w:rsidR="003A0354" w:rsidRPr="00B25C45">
        <w:rPr>
          <w:sz w:val="22"/>
          <w:lang w:val="sr-Cyrl-CS" w:eastAsia="en-US"/>
        </w:rPr>
        <w:t>На крају</w:t>
      </w:r>
      <w:r w:rsidR="003F74B1" w:rsidRPr="00B25C45">
        <w:rPr>
          <w:sz w:val="22"/>
          <w:lang w:val="sr-Cyrl-CS" w:eastAsia="en-US"/>
        </w:rPr>
        <w:t>, као резултат овог истраживања и анализе</w:t>
      </w:r>
      <w:r w:rsidR="00B70A82" w:rsidRPr="00B25C45">
        <w:rPr>
          <w:sz w:val="22"/>
          <w:lang w:val="sr-Cyrl-CS" w:eastAsia="en-US"/>
        </w:rPr>
        <w:t xml:space="preserve">, даје се сумарни преглед и шире образложење </w:t>
      </w:r>
      <w:r w:rsidR="003A0354" w:rsidRPr="00B25C45">
        <w:rPr>
          <w:sz w:val="22"/>
          <w:lang w:val="sr-Cyrl-CS" w:eastAsia="en-US"/>
        </w:rPr>
        <w:t xml:space="preserve">активности и </w:t>
      </w:r>
      <w:r w:rsidRPr="00B25C45">
        <w:rPr>
          <w:sz w:val="22"/>
          <w:lang w:val="sr-Cyrl-CS" w:eastAsia="en-US"/>
        </w:rPr>
        <w:t xml:space="preserve">предузетих </w:t>
      </w:r>
      <w:proofErr w:type="spellStart"/>
      <w:r w:rsidR="003A0354" w:rsidRPr="00B25C45">
        <w:rPr>
          <w:sz w:val="22"/>
          <w:lang w:val="sr-Cyrl-CS" w:eastAsia="en-US"/>
        </w:rPr>
        <w:t>мјера</w:t>
      </w:r>
      <w:proofErr w:type="spellEnd"/>
      <w:r w:rsidR="003F74B1" w:rsidRPr="00B25C45">
        <w:rPr>
          <w:sz w:val="22"/>
          <w:lang w:val="sr-Cyrl-CS" w:eastAsia="en-US"/>
        </w:rPr>
        <w:t>, односно, препорука,</w:t>
      </w:r>
      <w:r w:rsidR="00B70A82" w:rsidRPr="00B25C45">
        <w:rPr>
          <w:sz w:val="22"/>
          <w:lang w:val="sr-Cyrl-CS" w:eastAsia="en-US"/>
        </w:rPr>
        <w:t xml:space="preserve"> које би </w:t>
      </w:r>
      <w:r w:rsidRPr="00B25C45">
        <w:rPr>
          <w:sz w:val="22"/>
          <w:lang w:val="sr-Cyrl-CS" w:eastAsia="en-US"/>
        </w:rPr>
        <w:t xml:space="preserve">се </w:t>
      </w:r>
      <w:r w:rsidR="00B70A82" w:rsidRPr="00B25C45">
        <w:rPr>
          <w:sz w:val="22"/>
          <w:lang w:val="sr-Cyrl-CS" w:eastAsia="en-US"/>
        </w:rPr>
        <w:t xml:space="preserve">могле </w:t>
      </w:r>
      <w:proofErr w:type="spellStart"/>
      <w:r w:rsidR="00B70A82" w:rsidRPr="00B25C45">
        <w:rPr>
          <w:sz w:val="22"/>
          <w:lang w:val="sr-Cyrl-CS" w:eastAsia="en-US"/>
        </w:rPr>
        <w:t>прим</w:t>
      </w:r>
      <w:r w:rsidR="000E75BB" w:rsidRPr="00B25C45">
        <w:rPr>
          <w:sz w:val="22"/>
          <w:lang w:val="sr-Cyrl-CS" w:eastAsia="en-US"/>
        </w:rPr>
        <w:t>и</w:t>
      </w:r>
      <w:r w:rsidR="00B70A82" w:rsidRPr="00B25C45">
        <w:rPr>
          <w:sz w:val="22"/>
          <w:lang w:val="sr-Cyrl-CS" w:eastAsia="en-US"/>
        </w:rPr>
        <w:t>јенити</w:t>
      </w:r>
      <w:proofErr w:type="spellEnd"/>
      <w:r w:rsidR="00B70A82" w:rsidRPr="00B25C45">
        <w:rPr>
          <w:sz w:val="22"/>
          <w:lang w:val="sr-Cyrl-CS" w:eastAsia="en-US"/>
        </w:rPr>
        <w:t xml:space="preserve"> </w:t>
      </w:r>
      <w:r w:rsidRPr="00B25C45">
        <w:rPr>
          <w:sz w:val="22"/>
          <w:lang w:val="sr-Cyrl-CS" w:eastAsia="en-US"/>
        </w:rPr>
        <w:t xml:space="preserve">од стране </w:t>
      </w:r>
      <w:r w:rsidR="00C0450D" w:rsidRPr="00B25C45">
        <w:rPr>
          <w:sz w:val="22"/>
          <w:lang w:val="sr-Cyrl-CS" w:eastAsia="en-US"/>
        </w:rPr>
        <w:t>ЈЛС</w:t>
      </w:r>
      <w:r w:rsidR="000215DB">
        <w:rPr>
          <w:sz w:val="22"/>
          <w:lang w:val="sr-Cyrl-CS" w:eastAsia="en-US"/>
        </w:rPr>
        <w:t xml:space="preserve"> у РС.</w:t>
      </w:r>
      <w:r w:rsidR="003F74B1" w:rsidRPr="00B25C45">
        <w:rPr>
          <w:sz w:val="22"/>
          <w:lang w:val="sr-Cyrl-CS" w:eastAsia="en-US"/>
        </w:rPr>
        <w:t xml:space="preserve"> </w:t>
      </w:r>
    </w:p>
    <w:p w14:paraId="19FF96D8" w14:textId="77777777" w:rsidR="00A0538D" w:rsidRDefault="00A0538D" w:rsidP="00A0538D">
      <w:pPr>
        <w:tabs>
          <w:tab w:val="left" w:pos="709"/>
          <w:tab w:val="left" w:pos="1530"/>
        </w:tabs>
        <w:spacing w:before="40" w:after="40" w:line="276" w:lineRule="auto"/>
        <w:jc w:val="both"/>
        <w:rPr>
          <w:sz w:val="22"/>
          <w:lang w:val="sr-Cyrl-CS" w:eastAsia="en-US"/>
        </w:rPr>
      </w:pPr>
    </w:p>
    <w:p w14:paraId="7D4AAE70" w14:textId="77777777" w:rsidR="00E3077D" w:rsidRDefault="00A0538D" w:rsidP="00A0538D">
      <w:pPr>
        <w:tabs>
          <w:tab w:val="left" w:pos="709"/>
          <w:tab w:val="left" w:pos="1530"/>
        </w:tabs>
        <w:spacing w:before="40" w:after="40" w:line="276" w:lineRule="auto"/>
        <w:jc w:val="both"/>
        <w:rPr>
          <w:sz w:val="22"/>
          <w:szCs w:val="22"/>
          <w:lang w:val="sr-Cyrl-RS"/>
        </w:rPr>
      </w:pPr>
      <w:r>
        <w:rPr>
          <w:sz w:val="22"/>
          <w:lang w:val="sr-Cyrl-CS" w:eastAsia="en-US"/>
        </w:rPr>
        <w:tab/>
      </w:r>
      <w:proofErr w:type="spellStart"/>
      <w:r w:rsidR="000215DB">
        <w:rPr>
          <w:sz w:val="22"/>
          <w:lang w:val="sr-Latn-RS" w:eastAsia="en-US"/>
        </w:rPr>
        <w:t>Препоруке</w:t>
      </w:r>
      <w:proofErr w:type="spellEnd"/>
      <w:r w:rsidR="000215DB">
        <w:rPr>
          <w:sz w:val="22"/>
          <w:lang w:val="sr-Latn-RS" w:eastAsia="en-US"/>
        </w:rPr>
        <w:t xml:space="preserve"> </w:t>
      </w:r>
      <w:proofErr w:type="spellStart"/>
      <w:r w:rsidR="000215DB">
        <w:rPr>
          <w:sz w:val="22"/>
          <w:lang w:val="sr-Latn-RS" w:eastAsia="en-US"/>
        </w:rPr>
        <w:t>се</w:t>
      </w:r>
      <w:proofErr w:type="spellEnd"/>
      <w:r w:rsidR="000215DB">
        <w:rPr>
          <w:sz w:val="22"/>
          <w:lang w:val="sr-Latn-RS" w:eastAsia="en-US"/>
        </w:rPr>
        <w:t xml:space="preserve"> </w:t>
      </w:r>
      <w:r w:rsidR="000215DB">
        <w:rPr>
          <w:sz w:val="22"/>
          <w:lang w:val="sr-Cyrl-CS" w:eastAsia="en-US"/>
        </w:rPr>
        <w:t>прв</w:t>
      </w:r>
      <w:r w:rsidR="003F74B1" w:rsidRPr="00B25C45">
        <w:rPr>
          <w:sz w:val="22"/>
          <w:lang w:val="sr-Cyrl-CS" w:eastAsia="en-US"/>
        </w:rPr>
        <w:t>енствено односе на управљање јавним финансијама</w:t>
      </w:r>
      <w:r w:rsidR="0067296B">
        <w:rPr>
          <w:sz w:val="22"/>
          <w:lang w:val="sr-Latn-RS" w:eastAsia="en-US"/>
        </w:rPr>
        <w:t xml:space="preserve">, </w:t>
      </w:r>
      <w:proofErr w:type="spellStart"/>
      <w:r w:rsidR="0067296B">
        <w:rPr>
          <w:sz w:val="22"/>
          <w:lang w:val="sr-Latn-RS" w:eastAsia="en-US"/>
        </w:rPr>
        <w:t>али</w:t>
      </w:r>
      <w:proofErr w:type="spellEnd"/>
      <w:r w:rsidR="0067296B">
        <w:rPr>
          <w:sz w:val="22"/>
          <w:lang w:val="sr-Latn-RS" w:eastAsia="en-US"/>
        </w:rPr>
        <w:t xml:space="preserve"> и </w:t>
      </w:r>
      <w:proofErr w:type="spellStart"/>
      <w:r w:rsidR="0067296B">
        <w:rPr>
          <w:sz w:val="22"/>
          <w:lang w:val="sr-Latn-RS" w:eastAsia="en-US"/>
        </w:rPr>
        <w:t>на</w:t>
      </w:r>
      <w:proofErr w:type="spellEnd"/>
      <w:r w:rsidR="0067296B">
        <w:rPr>
          <w:sz w:val="22"/>
          <w:lang w:val="sr-Latn-RS" w:eastAsia="en-US"/>
        </w:rPr>
        <w:t xml:space="preserve"> </w:t>
      </w:r>
      <w:proofErr w:type="spellStart"/>
      <w:r w:rsidR="0067296B">
        <w:rPr>
          <w:sz w:val="22"/>
          <w:lang w:val="sr-Latn-RS" w:eastAsia="en-US"/>
        </w:rPr>
        <w:t>друге</w:t>
      </w:r>
      <w:proofErr w:type="spellEnd"/>
      <w:r w:rsidR="0067296B">
        <w:rPr>
          <w:sz w:val="22"/>
          <w:lang w:val="sr-Latn-RS" w:eastAsia="en-US"/>
        </w:rPr>
        <w:t xml:space="preserve"> </w:t>
      </w:r>
      <w:proofErr w:type="spellStart"/>
      <w:r w:rsidR="0067296B">
        <w:rPr>
          <w:sz w:val="22"/>
          <w:lang w:val="sr-Latn-RS" w:eastAsia="en-US"/>
        </w:rPr>
        <w:t>сегм</w:t>
      </w:r>
      <w:r w:rsidR="0067296B">
        <w:rPr>
          <w:sz w:val="22"/>
          <w:lang w:val="sr-Cyrl-RS" w:eastAsia="en-US"/>
        </w:rPr>
        <w:t>е</w:t>
      </w:r>
      <w:r w:rsidR="000215DB">
        <w:rPr>
          <w:sz w:val="22"/>
          <w:lang w:val="sr-Cyrl-RS" w:eastAsia="en-US"/>
        </w:rPr>
        <w:t>н</w:t>
      </w:r>
      <w:r w:rsidR="00C965B0">
        <w:rPr>
          <w:sz w:val="22"/>
          <w:lang w:val="sr-Latn-RS" w:eastAsia="en-US"/>
        </w:rPr>
        <w:t>те</w:t>
      </w:r>
      <w:proofErr w:type="spellEnd"/>
      <w:r w:rsidR="0067296B">
        <w:rPr>
          <w:sz w:val="22"/>
          <w:lang w:val="sr-Cyrl-RS" w:eastAsia="en-US"/>
        </w:rPr>
        <w:t xml:space="preserve"> функционисања</w:t>
      </w:r>
      <w:r w:rsidR="00C965B0">
        <w:rPr>
          <w:sz w:val="22"/>
          <w:lang w:val="sr-Latn-RS" w:eastAsia="en-US"/>
        </w:rPr>
        <w:t xml:space="preserve">, </w:t>
      </w:r>
      <w:r w:rsidR="000E75BB" w:rsidRPr="00B25C45">
        <w:rPr>
          <w:sz w:val="22"/>
          <w:lang w:val="sr-Cyrl-RS" w:eastAsia="en-US"/>
        </w:rPr>
        <w:t>у периоду кризе иза</w:t>
      </w:r>
      <w:r w:rsidR="00E614C9">
        <w:rPr>
          <w:sz w:val="22"/>
          <w:lang w:val="sr-Cyrl-RS" w:eastAsia="en-US"/>
        </w:rPr>
        <w:t>з</w:t>
      </w:r>
      <w:r w:rsidR="000E75BB" w:rsidRPr="00B25C45">
        <w:rPr>
          <w:sz w:val="22"/>
          <w:lang w:val="sr-Cyrl-RS" w:eastAsia="en-US"/>
        </w:rPr>
        <w:t xml:space="preserve">ване </w:t>
      </w:r>
      <w:proofErr w:type="spellStart"/>
      <w:r w:rsidR="00B70A82" w:rsidRPr="00B25C45">
        <w:rPr>
          <w:sz w:val="22"/>
          <w:lang w:val="sr-Cyrl-CS" w:eastAsia="en-US"/>
        </w:rPr>
        <w:t>пандемијом</w:t>
      </w:r>
      <w:proofErr w:type="spellEnd"/>
      <w:r w:rsidR="00B70A82" w:rsidRPr="00B25C45">
        <w:rPr>
          <w:sz w:val="22"/>
          <w:lang w:val="sr-Cyrl-CS" w:eastAsia="en-US"/>
        </w:rPr>
        <w:t xml:space="preserve"> </w:t>
      </w:r>
      <w:r w:rsidR="000E75BB" w:rsidRPr="00B25C45">
        <w:rPr>
          <w:sz w:val="22"/>
          <w:lang w:val="en-US" w:eastAsia="en-US"/>
        </w:rPr>
        <w:t>COVID-19.</w:t>
      </w:r>
      <w:r w:rsidR="00B70A82" w:rsidRPr="00B25C45">
        <w:rPr>
          <w:sz w:val="22"/>
          <w:lang w:val="sr-Cyrl-RS" w:eastAsia="en-US"/>
        </w:rPr>
        <w:t xml:space="preserve"> </w:t>
      </w:r>
      <w:r w:rsidR="000E75BB" w:rsidRPr="00B25C45">
        <w:rPr>
          <w:sz w:val="22"/>
          <w:lang w:val="sr-Cyrl-RS" w:eastAsia="en-US"/>
        </w:rPr>
        <w:t xml:space="preserve">Треба имати у виду да </w:t>
      </w:r>
      <w:proofErr w:type="spellStart"/>
      <w:r w:rsidR="000E75BB" w:rsidRPr="00B25C45">
        <w:rPr>
          <w:sz w:val="22"/>
          <w:lang w:val="sr-Cyrl-RS" w:eastAsia="en-US"/>
        </w:rPr>
        <w:t>дио</w:t>
      </w:r>
      <w:proofErr w:type="spellEnd"/>
      <w:r w:rsidR="000E75BB" w:rsidRPr="00B25C45">
        <w:rPr>
          <w:sz w:val="22"/>
          <w:lang w:val="sr-Cyrl-RS" w:eastAsia="en-US"/>
        </w:rPr>
        <w:t xml:space="preserve"> </w:t>
      </w:r>
      <w:r w:rsidR="00B25C45" w:rsidRPr="00B25C45">
        <w:rPr>
          <w:sz w:val="22"/>
          <w:lang w:val="sr-Cyrl-RS" w:eastAsia="en-US"/>
        </w:rPr>
        <w:t>п</w:t>
      </w:r>
      <w:r w:rsidR="009D25F3">
        <w:rPr>
          <w:sz w:val="22"/>
          <w:lang w:val="sr-Cyrl-RS" w:eastAsia="en-US"/>
        </w:rPr>
        <w:t>репорука има дуг</w:t>
      </w:r>
      <w:r w:rsidR="000E75BB" w:rsidRPr="00B25C45">
        <w:rPr>
          <w:sz w:val="22"/>
          <w:lang w:val="sr-Cyrl-RS" w:eastAsia="en-US"/>
        </w:rPr>
        <w:t>ор</w:t>
      </w:r>
      <w:r w:rsidR="009D25F3">
        <w:rPr>
          <w:sz w:val="22"/>
          <w:lang w:val="sr-Cyrl-RS" w:eastAsia="en-US"/>
        </w:rPr>
        <w:t>о</w:t>
      </w:r>
      <w:r w:rsidR="000E75BB" w:rsidRPr="00B25C45">
        <w:rPr>
          <w:sz w:val="22"/>
          <w:lang w:val="sr-Cyrl-RS" w:eastAsia="en-US"/>
        </w:rPr>
        <w:t>чни карактер, што значи да се</w:t>
      </w:r>
      <w:r w:rsidR="004D355D">
        <w:rPr>
          <w:sz w:val="22"/>
          <w:lang w:val="sr-Cyrl-RS" w:eastAsia="en-US"/>
        </w:rPr>
        <w:t xml:space="preserve"> могу</w:t>
      </w:r>
      <w:r w:rsidR="00B70A82" w:rsidRPr="00B25C45">
        <w:rPr>
          <w:sz w:val="22"/>
          <w:lang w:val="sr-Cyrl-RS" w:eastAsia="en-US"/>
        </w:rPr>
        <w:t xml:space="preserve"> </w:t>
      </w:r>
      <w:r w:rsidR="00421ED5" w:rsidRPr="00B25C45">
        <w:rPr>
          <w:sz w:val="22"/>
          <w:lang w:val="sr-Cyrl-RS" w:eastAsia="en-US"/>
        </w:rPr>
        <w:t>и треба</w:t>
      </w:r>
      <w:r w:rsidR="004D355D">
        <w:rPr>
          <w:sz w:val="22"/>
          <w:lang w:val="sr-Cyrl-RS" w:eastAsia="en-US"/>
        </w:rPr>
        <w:t>ју</w:t>
      </w:r>
      <w:r w:rsidR="00421ED5" w:rsidRPr="00B25C45">
        <w:rPr>
          <w:sz w:val="22"/>
          <w:lang w:val="sr-Cyrl-RS" w:eastAsia="en-US"/>
        </w:rPr>
        <w:t xml:space="preserve"> </w:t>
      </w:r>
      <w:proofErr w:type="spellStart"/>
      <w:r w:rsidR="00B70A82" w:rsidRPr="00B25C45">
        <w:rPr>
          <w:sz w:val="22"/>
          <w:lang w:val="sr-Cyrl-RS" w:eastAsia="en-US"/>
        </w:rPr>
        <w:t>прим</w:t>
      </w:r>
      <w:r w:rsidR="00B25C45" w:rsidRPr="00B25C45">
        <w:rPr>
          <w:sz w:val="22"/>
          <w:lang w:val="sr-Cyrl-RS" w:eastAsia="en-US"/>
        </w:rPr>
        <w:t>и</w:t>
      </w:r>
      <w:r w:rsidR="00B70A82" w:rsidRPr="00B25C45">
        <w:rPr>
          <w:sz w:val="22"/>
          <w:lang w:val="sr-Cyrl-RS" w:eastAsia="en-US"/>
        </w:rPr>
        <w:t>јенити</w:t>
      </w:r>
      <w:proofErr w:type="spellEnd"/>
      <w:r w:rsidR="00B70A82" w:rsidRPr="00B25C45">
        <w:rPr>
          <w:sz w:val="22"/>
          <w:lang w:val="sr-Cyrl-RS" w:eastAsia="en-US"/>
        </w:rPr>
        <w:t xml:space="preserve"> </w:t>
      </w:r>
      <w:r w:rsidR="00421ED5" w:rsidRPr="00B25C45">
        <w:rPr>
          <w:sz w:val="22"/>
          <w:lang w:val="sr-Cyrl-RS" w:eastAsia="en-US"/>
        </w:rPr>
        <w:t xml:space="preserve">и у </w:t>
      </w:r>
      <w:proofErr w:type="spellStart"/>
      <w:r w:rsidR="00421ED5" w:rsidRPr="00B25C45">
        <w:rPr>
          <w:sz w:val="22"/>
          <w:lang w:val="sr-Cyrl-RS" w:eastAsia="en-US"/>
        </w:rPr>
        <w:t>постпандемијском</w:t>
      </w:r>
      <w:proofErr w:type="spellEnd"/>
      <w:r w:rsidR="00B70A82" w:rsidRPr="00B25C45">
        <w:rPr>
          <w:sz w:val="22"/>
          <w:lang w:val="sr-Cyrl-RS" w:eastAsia="en-US"/>
        </w:rPr>
        <w:t xml:space="preserve"> период</w:t>
      </w:r>
      <w:r w:rsidR="00421ED5" w:rsidRPr="00B25C45">
        <w:rPr>
          <w:sz w:val="22"/>
          <w:lang w:val="sr-Cyrl-RS" w:eastAsia="en-US"/>
        </w:rPr>
        <w:t>у</w:t>
      </w:r>
      <w:r w:rsidR="00B70A82" w:rsidRPr="00B25C45">
        <w:rPr>
          <w:sz w:val="22"/>
          <w:lang w:val="sr-Cyrl-RS" w:eastAsia="en-US"/>
        </w:rPr>
        <w:t xml:space="preserve">, за који се </w:t>
      </w:r>
      <w:r w:rsidR="000E75BB" w:rsidRPr="00B25C45">
        <w:rPr>
          <w:sz w:val="22"/>
          <w:lang w:val="sr-Cyrl-RS" w:eastAsia="en-US"/>
        </w:rPr>
        <w:t>надамо</w:t>
      </w:r>
      <w:r w:rsidR="00B70A82" w:rsidRPr="00B25C45">
        <w:rPr>
          <w:sz w:val="22"/>
          <w:lang w:val="sr-Cyrl-RS" w:eastAsia="en-US"/>
        </w:rPr>
        <w:t xml:space="preserve"> </w:t>
      </w:r>
      <w:r w:rsidR="00421ED5" w:rsidRPr="00B25C45">
        <w:rPr>
          <w:sz w:val="22"/>
          <w:lang w:val="sr-Cyrl-RS" w:eastAsia="en-US"/>
        </w:rPr>
        <w:t xml:space="preserve">да ће </w:t>
      </w:r>
      <w:r w:rsidR="00B70A82" w:rsidRPr="00B25C45">
        <w:rPr>
          <w:sz w:val="22"/>
          <w:lang w:val="sr-Cyrl-RS" w:eastAsia="en-US"/>
        </w:rPr>
        <w:t xml:space="preserve">ускоро наступити. </w:t>
      </w:r>
      <w:r w:rsidR="00B25C45" w:rsidRPr="00B25C45">
        <w:rPr>
          <w:sz w:val="22"/>
          <w:lang w:val="sr-Cyrl-RS" w:eastAsia="en-US"/>
        </w:rPr>
        <w:t>Препоруке</w:t>
      </w:r>
      <w:r w:rsidR="00B70A82" w:rsidRPr="00B25C45">
        <w:rPr>
          <w:sz w:val="22"/>
          <w:lang w:val="sr-Cyrl-RS" w:eastAsia="en-US"/>
        </w:rPr>
        <w:t xml:space="preserve"> су:</w:t>
      </w:r>
      <w:r w:rsidR="00B70A82" w:rsidRPr="00B25C45">
        <w:rPr>
          <w:sz w:val="22"/>
          <w:lang w:val="sr-Cyrl-CS" w:eastAsia="en-US"/>
        </w:rPr>
        <w:t xml:space="preserve"> </w:t>
      </w:r>
    </w:p>
    <w:p w14:paraId="3512F3F4" w14:textId="77777777" w:rsidR="00A0538D" w:rsidRPr="00A0538D" w:rsidRDefault="00A0538D" w:rsidP="00A0538D">
      <w:pPr>
        <w:tabs>
          <w:tab w:val="left" w:pos="709"/>
          <w:tab w:val="left" w:pos="1530"/>
        </w:tabs>
        <w:spacing w:before="40" w:after="40" w:line="276" w:lineRule="auto"/>
        <w:jc w:val="both"/>
        <w:rPr>
          <w:sz w:val="22"/>
          <w:szCs w:val="22"/>
          <w:lang w:val="sr-Cyrl-RS"/>
        </w:rPr>
      </w:pPr>
    </w:p>
    <w:p w14:paraId="61891F5A" w14:textId="77777777" w:rsidR="006731D4" w:rsidRPr="006731D4" w:rsidRDefault="00B25C45" w:rsidP="006731D4">
      <w:pPr>
        <w:pStyle w:val="ListParagraph"/>
        <w:numPr>
          <w:ilvl w:val="0"/>
          <w:numId w:val="10"/>
        </w:numPr>
        <w:spacing w:line="276" w:lineRule="auto"/>
        <w:ind w:left="0" w:firstLine="360"/>
        <w:jc w:val="both"/>
        <w:rPr>
          <w:sz w:val="22"/>
          <w:szCs w:val="22"/>
        </w:rPr>
      </w:pPr>
      <w:r w:rsidRPr="005202DD">
        <w:rPr>
          <w:sz w:val="22"/>
          <w:szCs w:val="22"/>
          <w:lang w:val="sr-Cyrl-RS"/>
        </w:rPr>
        <w:t>Т</w:t>
      </w:r>
      <w:r w:rsidR="00CB460F" w:rsidRPr="005202DD">
        <w:rPr>
          <w:sz w:val="22"/>
          <w:szCs w:val="22"/>
          <w:lang w:val="sr-Cyrl-RS"/>
        </w:rPr>
        <w:t>ребало</w:t>
      </w:r>
      <w:r w:rsidRPr="005202DD">
        <w:rPr>
          <w:sz w:val="22"/>
          <w:szCs w:val="22"/>
          <w:lang w:val="sr-Cyrl-RS"/>
        </w:rPr>
        <w:t xml:space="preserve"> би</w:t>
      </w:r>
      <w:r w:rsidR="00CB460F" w:rsidRPr="005202DD">
        <w:rPr>
          <w:sz w:val="22"/>
          <w:szCs w:val="22"/>
          <w:lang w:val="sr-Cyrl-RS"/>
        </w:rPr>
        <w:t xml:space="preserve"> развити систем обавезног и континуираног прикупљања, обраде и </w:t>
      </w:r>
      <w:r w:rsidR="00BA55B2" w:rsidRPr="005202DD">
        <w:rPr>
          <w:sz w:val="22"/>
          <w:szCs w:val="22"/>
          <w:lang w:val="sr-Cyrl-RS"/>
        </w:rPr>
        <w:t>јавно</w:t>
      </w:r>
      <w:r w:rsidR="00251D42">
        <w:rPr>
          <w:sz w:val="22"/>
          <w:szCs w:val="22"/>
          <w:lang w:val="sr-Cyrl-RS"/>
        </w:rPr>
        <w:t>г</w:t>
      </w:r>
      <w:r w:rsidR="00BA55B2" w:rsidRPr="005202DD">
        <w:rPr>
          <w:sz w:val="22"/>
          <w:szCs w:val="22"/>
          <w:lang w:val="sr-Cyrl-RS"/>
        </w:rPr>
        <w:t xml:space="preserve"> </w:t>
      </w:r>
      <w:r w:rsidR="00CB460F" w:rsidRPr="005202DD">
        <w:rPr>
          <w:sz w:val="22"/>
          <w:szCs w:val="22"/>
          <w:lang w:val="sr-Cyrl-RS"/>
        </w:rPr>
        <w:t>објављивања  података о буџетима свих ЈЛС у РС, на основу чега би се вршиле компаративне анализе</w:t>
      </w:r>
      <w:r w:rsidR="004D355D">
        <w:rPr>
          <w:sz w:val="22"/>
          <w:szCs w:val="22"/>
          <w:lang w:val="sr-Cyrl-RS"/>
        </w:rPr>
        <w:t xml:space="preserve"> појединачних ЈЛС са </w:t>
      </w:r>
      <w:proofErr w:type="spellStart"/>
      <w:r w:rsidR="004D355D">
        <w:rPr>
          <w:sz w:val="22"/>
          <w:szCs w:val="22"/>
          <w:lang w:val="sr-Cyrl-RS"/>
        </w:rPr>
        <w:t>просјеком</w:t>
      </w:r>
      <w:proofErr w:type="spellEnd"/>
      <w:r w:rsidR="00CB460F" w:rsidRPr="005202DD">
        <w:rPr>
          <w:sz w:val="22"/>
          <w:szCs w:val="22"/>
          <w:lang w:val="sr-Cyrl-RS"/>
        </w:rPr>
        <w:t>, изр</w:t>
      </w:r>
      <w:r w:rsidR="00601BE1" w:rsidRPr="005202DD">
        <w:rPr>
          <w:sz w:val="22"/>
          <w:szCs w:val="22"/>
          <w:lang w:val="sr-Cyrl-RS"/>
        </w:rPr>
        <w:t xml:space="preserve">ачунавали одређени </w:t>
      </w:r>
      <w:proofErr w:type="spellStart"/>
      <w:r w:rsidR="00601BE1" w:rsidRPr="005202DD">
        <w:rPr>
          <w:sz w:val="22"/>
          <w:szCs w:val="22"/>
          <w:lang w:val="sr-Cyrl-RS"/>
        </w:rPr>
        <w:t>просјечни</w:t>
      </w:r>
      <w:proofErr w:type="spellEnd"/>
      <w:r w:rsidR="00601BE1" w:rsidRPr="005202DD">
        <w:rPr>
          <w:sz w:val="22"/>
          <w:szCs w:val="22"/>
          <w:lang w:val="sr-Cyrl-RS"/>
        </w:rPr>
        <w:t xml:space="preserve"> показатељи </w:t>
      </w:r>
      <w:r w:rsidR="004D355D">
        <w:rPr>
          <w:sz w:val="22"/>
          <w:szCs w:val="22"/>
          <w:lang w:val="sr-Cyrl-RS"/>
        </w:rPr>
        <w:t>и сл</w:t>
      </w:r>
      <w:r w:rsidR="00251D42">
        <w:rPr>
          <w:sz w:val="22"/>
          <w:szCs w:val="22"/>
          <w:lang w:val="sr-Cyrl-RS"/>
        </w:rPr>
        <w:t>. Скроман од</w:t>
      </w:r>
      <w:r w:rsidR="00131A1D">
        <w:rPr>
          <w:sz w:val="22"/>
          <w:szCs w:val="22"/>
          <w:lang w:val="sr-Cyrl-RS"/>
        </w:rPr>
        <w:t>зив ЈЛС из РС на анкету Савеза</w:t>
      </w:r>
      <w:r w:rsidR="00601BE1" w:rsidRPr="005202DD">
        <w:rPr>
          <w:sz w:val="22"/>
          <w:szCs w:val="22"/>
          <w:lang w:val="sr-Cyrl-RS"/>
        </w:rPr>
        <w:t xml:space="preserve"> и </w:t>
      </w:r>
      <w:r w:rsidR="00601BE1" w:rsidRPr="005202DD">
        <w:rPr>
          <w:sz w:val="22"/>
          <w:szCs w:val="22"/>
          <w:lang w:val="en-US"/>
        </w:rPr>
        <w:t>NALAS</w:t>
      </w:r>
      <w:r w:rsidR="00601BE1" w:rsidRPr="005202DD">
        <w:rPr>
          <w:sz w:val="22"/>
          <w:szCs w:val="22"/>
          <w:lang w:val="sr-Cyrl-RS"/>
        </w:rPr>
        <w:t xml:space="preserve">-а, као и потешкоће у прикупљању података за ову анализу, показује да не постоји </w:t>
      </w:r>
      <w:proofErr w:type="spellStart"/>
      <w:r w:rsidR="00601BE1" w:rsidRPr="005202DD">
        <w:rPr>
          <w:sz w:val="22"/>
          <w:szCs w:val="22"/>
          <w:lang w:val="sr-Cyrl-RS"/>
        </w:rPr>
        <w:t>разум</w:t>
      </w:r>
      <w:r w:rsidRPr="005202DD">
        <w:rPr>
          <w:sz w:val="22"/>
          <w:szCs w:val="22"/>
          <w:lang w:val="sr-Cyrl-RS"/>
        </w:rPr>
        <w:t>и</w:t>
      </w:r>
      <w:r w:rsidR="00601BE1" w:rsidRPr="005202DD">
        <w:rPr>
          <w:sz w:val="22"/>
          <w:szCs w:val="22"/>
          <w:lang w:val="sr-Cyrl-RS"/>
        </w:rPr>
        <w:t>јевање</w:t>
      </w:r>
      <w:proofErr w:type="spellEnd"/>
      <w:r w:rsidR="00601BE1" w:rsidRPr="005202DD">
        <w:rPr>
          <w:sz w:val="22"/>
          <w:szCs w:val="22"/>
          <w:lang w:val="sr-Cyrl-RS"/>
        </w:rPr>
        <w:t xml:space="preserve"> значаја системског прикупљања податка и њихове анализе, као основе за развој политика и предлагање </w:t>
      </w:r>
      <w:proofErr w:type="spellStart"/>
      <w:r w:rsidR="00601BE1" w:rsidRPr="005202DD">
        <w:rPr>
          <w:sz w:val="22"/>
          <w:szCs w:val="22"/>
          <w:lang w:val="sr-Cyrl-RS"/>
        </w:rPr>
        <w:t>мјера</w:t>
      </w:r>
      <w:proofErr w:type="spellEnd"/>
      <w:r w:rsidR="00601BE1" w:rsidRPr="005202DD">
        <w:rPr>
          <w:sz w:val="22"/>
          <w:szCs w:val="22"/>
          <w:lang w:val="sr-Cyrl-RS"/>
        </w:rPr>
        <w:t xml:space="preserve"> и </w:t>
      </w:r>
      <w:proofErr w:type="spellStart"/>
      <w:r w:rsidR="00601BE1" w:rsidRPr="005202DD">
        <w:rPr>
          <w:sz w:val="22"/>
          <w:szCs w:val="22"/>
          <w:lang w:val="sr-Cyrl-RS"/>
        </w:rPr>
        <w:t>измјена</w:t>
      </w:r>
      <w:proofErr w:type="spellEnd"/>
      <w:r w:rsidR="00601BE1" w:rsidRPr="005202DD">
        <w:rPr>
          <w:sz w:val="22"/>
          <w:szCs w:val="22"/>
          <w:lang w:val="sr-Cyrl-RS"/>
        </w:rPr>
        <w:t xml:space="preserve"> регулативе према Влади РС.  </w:t>
      </w:r>
    </w:p>
    <w:p w14:paraId="3A237930" w14:textId="77777777" w:rsidR="006731D4" w:rsidRPr="006731D4" w:rsidRDefault="006731D4" w:rsidP="006731D4">
      <w:pPr>
        <w:pStyle w:val="ListParagraph"/>
        <w:spacing w:line="276" w:lineRule="auto"/>
        <w:ind w:left="360"/>
        <w:jc w:val="both"/>
        <w:rPr>
          <w:sz w:val="22"/>
          <w:szCs w:val="22"/>
        </w:rPr>
      </w:pPr>
    </w:p>
    <w:p w14:paraId="5FD5D96D" w14:textId="77777777" w:rsidR="006731D4" w:rsidRPr="006731D4" w:rsidRDefault="006731D4" w:rsidP="006731D4">
      <w:pPr>
        <w:pStyle w:val="ListParagraph"/>
        <w:numPr>
          <w:ilvl w:val="0"/>
          <w:numId w:val="10"/>
        </w:numPr>
        <w:spacing w:line="276" w:lineRule="auto"/>
        <w:ind w:left="0" w:firstLine="360"/>
        <w:jc w:val="both"/>
        <w:rPr>
          <w:sz w:val="22"/>
          <w:szCs w:val="22"/>
        </w:rPr>
      </w:pPr>
      <w:r>
        <w:rPr>
          <w:sz w:val="22"/>
          <w:szCs w:val="22"/>
          <w:lang w:val="sr-Cyrl-RS"/>
        </w:rPr>
        <w:t>Што се тиче прихода ЈЛС, током периода кризе може се констатовати сљедеће:</w:t>
      </w:r>
    </w:p>
    <w:p w14:paraId="0212EEE8" w14:textId="2DC2AC25" w:rsidR="006731D4" w:rsidRPr="006438A2" w:rsidRDefault="00347EEA" w:rsidP="006438A2">
      <w:pPr>
        <w:pStyle w:val="ListParagraph"/>
        <w:numPr>
          <w:ilvl w:val="0"/>
          <w:numId w:val="13"/>
        </w:numPr>
        <w:spacing w:line="276" w:lineRule="auto"/>
        <w:jc w:val="both"/>
        <w:rPr>
          <w:sz w:val="22"/>
          <w:szCs w:val="22"/>
          <w:lang w:val="sr-Cyrl-RS"/>
        </w:rPr>
      </w:pPr>
      <w:r w:rsidRPr="006438A2">
        <w:rPr>
          <w:sz w:val="22"/>
          <w:szCs w:val="22"/>
          <w:lang w:val="sr-Cyrl-RS"/>
        </w:rPr>
        <w:t xml:space="preserve">За </w:t>
      </w:r>
      <w:r w:rsidR="0057262E" w:rsidRPr="006438A2">
        <w:rPr>
          <w:sz w:val="22"/>
          <w:szCs w:val="22"/>
          <w:lang w:val="sr-Cyrl-RS"/>
        </w:rPr>
        <w:t xml:space="preserve">све анкетиране </w:t>
      </w:r>
      <w:r w:rsidRPr="006438A2">
        <w:rPr>
          <w:sz w:val="22"/>
          <w:szCs w:val="22"/>
          <w:lang w:val="sr-Cyrl-RS"/>
        </w:rPr>
        <w:t>ЈЛС у РС</w:t>
      </w:r>
      <w:r w:rsidR="0057262E" w:rsidRPr="006438A2">
        <w:rPr>
          <w:sz w:val="22"/>
          <w:szCs w:val="22"/>
          <w:lang w:val="sr-Cyrl-RS"/>
        </w:rPr>
        <w:t>,</w:t>
      </w:r>
      <w:r w:rsidRPr="006438A2">
        <w:rPr>
          <w:sz w:val="22"/>
          <w:szCs w:val="22"/>
          <w:lang w:val="sr-Cyrl-RS"/>
        </w:rPr>
        <w:t xml:space="preserve"> драматичан пад прихода </w:t>
      </w:r>
      <w:r w:rsidR="0057262E" w:rsidRPr="006438A2">
        <w:rPr>
          <w:sz w:val="22"/>
          <w:szCs w:val="22"/>
          <w:lang w:val="sr-Cyrl-RS"/>
        </w:rPr>
        <w:t xml:space="preserve">у првом полугодишту ове године, </w:t>
      </w:r>
      <w:r w:rsidRPr="006438A2">
        <w:rPr>
          <w:sz w:val="22"/>
          <w:szCs w:val="22"/>
          <w:lang w:val="sr-Cyrl-RS"/>
        </w:rPr>
        <w:t xml:space="preserve">изазван </w:t>
      </w:r>
      <w:proofErr w:type="spellStart"/>
      <w:r w:rsidRPr="006438A2">
        <w:rPr>
          <w:sz w:val="22"/>
          <w:szCs w:val="22"/>
          <w:lang w:val="sr-Cyrl-RS"/>
        </w:rPr>
        <w:t>пандемијом</w:t>
      </w:r>
      <w:proofErr w:type="spellEnd"/>
      <w:r w:rsidRPr="006438A2">
        <w:rPr>
          <w:sz w:val="22"/>
          <w:szCs w:val="22"/>
          <w:lang w:val="sr-Cyrl-RS"/>
        </w:rPr>
        <w:t xml:space="preserve"> </w:t>
      </w:r>
      <w:r w:rsidRPr="006438A2">
        <w:rPr>
          <w:sz w:val="22"/>
          <w:szCs w:val="22"/>
          <w:lang w:val="en-US"/>
        </w:rPr>
        <w:t>COVID-19</w:t>
      </w:r>
      <w:r w:rsidR="0057262E" w:rsidRPr="006438A2">
        <w:rPr>
          <w:sz w:val="22"/>
          <w:szCs w:val="22"/>
          <w:lang w:val="sr-Cyrl-RS"/>
        </w:rPr>
        <w:t xml:space="preserve">, у значајној </w:t>
      </w:r>
      <w:proofErr w:type="spellStart"/>
      <w:r w:rsidR="0057262E" w:rsidRPr="006438A2">
        <w:rPr>
          <w:sz w:val="22"/>
          <w:szCs w:val="22"/>
          <w:lang w:val="sr-Cyrl-RS"/>
        </w:rPr>
        <w:t>мјери</w:t>
      </w:r>
      <w:proofErr w:type="spellEnd"/>
      <w:r w:rsidR="0057262E" w:rsidRPr="006438A2">
        <w:rPr>
          <w:sz w:val="22"/>
          <w:szCs w:val="22"/>
          <w:lang w:val="sr-Cyrl-RS"/>
        </w:rPr>
        <w:t xml:space="preserve"> је </w:t>
      </w:r>
      <w:r w:rsidR="00697A8D" w:rsidRPr="006438A2">
        <w:rPr>
          <w:sz w:val="22"/>
          <w:szCs w:val="22"/>
          <w:lang w:val="sr-Cyrl-RS"/>
        </w:rPr>
        <w:t>компе</w:t>
      </w:r>
      <w:r w:rsidR="0057262E" w:rsidRPr="006438A2">
        <w:rPr>
          <w:sz w:val="22"/>
          <w:szCs w:val="22"/>
          <w:lang w:val="sr-Cyrl-RS"/>
        </w:rPr>
        <w:t>н</w:t>
      </w:r>
      <w:r w:rsidR="00697A8D" w:rsidRPr="006438A2">
        <w:rPr>
          <w:sz w:val="22"/>
          <w:szCs w:val="22"/>
          <w:lang w:val="sr-Cyrl-RS"/>
        </w:rPr>
        <w:t>зиран</w:t>
      </w:r>
      <w:r w:rsidR="0057262E" w:rsidRPr="006438A2">
        <w:rPr>
          <w:sz w:val="22"/>
          <w:szCs w:val="22"/>
          <w:lang w:val="sr-Cyrl-RS"/>
        </w:rPr>
        <w:t xml:space="preserve"> </w:t>
      </w:r>
      <w:r w:rsidR="00697A8D" w:rsidRPr="006438A2">
        <w:rPr>
          <w:sz w:val="22"/>
          <w:szCs w:val="22"/>
          <w:lang w:val="sr-Cyrl-RS"/>
        </w:rPr>
        <w:t xml:space="preserve">трансферима из Фонда солидарности. </w:t>
      </w:r>
      <w:r w:rsidR="004D355D" w:rsidRPr="006438A2">
        <w:rPr>
          <w:sz w:val="22"/>
          <w:szCs w:val="22"/>
          <w:lang w:val="sr-Cyrl-RS"/>
        </w:rPr>
        <w:t>Очигледно је</w:t>
      </w:r>
      <w:r w:rsidR="00697A8D" w:rsidRPr="006438A2">
        <w:rPr>
          <w:sz w:val="22"/>
          <w:szCs w:val="22"/>
          <w:lang w:val="sr-Cyrl-RS"/>
        </w:rPr>
        <w:t xml:space="preserve"> </w:t>
      </w:r>
      <w:r w:rsidR="004D355D" w:rsidRPr="006438A2">
        <w:rPr>
          <w:sz w:val="22"/>
          <w:szCs w:val="22"/>
          <w:lang w:val="sr-Cyrl-RS"/>
        </w:rPr>
        <w:t xml:space="preserve">да </w:t>
      </w:r>
      <w:r w:rsidR="00697A8D" w:rsidRPr="006438A2">
        <w:rPr>
          <w:sz w:val="22"/>
          <w:szCs w:val="22"/>
          <w:lang w:val="sr-Cyrl-RS"/>
        </w:rPr>
        <w:t xml:space="preserve">без помоћи виших нивоа власти, у кризним ситуацијама оваквих </w:t>
      </w:r>
      <w:proofErr w:type="spellStart"/>
      <w:r w:rsidR="00697A8D" w:rsidRPr="006438A2">
        <w:rPr>
          <w:sz w:val="22"/>
          <w:szCs w:val="22"/>
          <w:lang w:val="sr-Cyrl-RS"/>
        </w:rPr>
        <w:t>размјера</w:t>
      </w:r>
      <w:proofErr w:type="spellEnd"/>
      <w:r w:rsidR="00697A8D" w:rsidRPr="006438A2">
        <w:rPr>
          <w:sz w:val="22"/>
          <w:szCs w:val="22"/>
          <w:lang w:val="sr-Cyrl-RS"/>
        </w:rPr>
        <w:t xml:space="preserve">, </w:t>
      </w:r>
      <w:r w:rsidR="00697A8D" w:rsidRPr="006438A2">
        <w:rPr>
          <w:sz w:val="22"/>
          <w:szCs w:val="22"/>
          <w:lang w:val="sr-Cyrl-RS"/>
        </w:rPr>
        <w:lastRenderedPageBreak/>
        <w:t>локалне заједнице не могу</w:t>
      </w:r>
      <w:r w:rsidR="004D355D" w:rsidRPr="006438A2">
        <w:rPr>
          <w:sz w:val="22"/>
          <w:szCs w:val="22"/>
          <w:lang w:val="sr-Cyrl-RS"/>
        </w:rPr>
        <w:t xml:space="preserve"> адекватно</w:t>
      </w:r>
      <w:r w:rsidR="00697A8D" w:rsidRPr="006438A2">
        <w:rPr>
          <w:sz w:val="22"/>
          <w:szCs w:val="22"/>
          <w:lang w:val="sr-Cyrl-RS"/>
        </w:rPr>
        <w:t xml:space="preserve"> функционисати. Ово је посебно изражено код малих и</w:t>
      </w:r>
      <w:r w:rsidR="005F6D37" w:rsidRPr="006438A2">
        <w:rPr>
          <w:sz w:val="22"/>
          <w:szCs w:val="22"/>
          <w:lang w:val="sr-Cyrl-RS"/>
        </w:rPr>
        <w:t>/или</w:t>
      </w:r>
      <w:r w:rsidR="00697A8D" w:rsidRPr="006438A2">
        <w:rPr>
          <w:sz w:val="22"/>
          <w:szCs w:val="22"/>
          <w:lang w:val="sr-Cyrl-RS"/>
        </w:rPr>
        <w:t xml:space="preserve"> неразвијених ЈЛС.</w:t>
      </w:r>
      <w:r w:rsidR="004D355D" w:rsidRPr="006438A2">
        <w:rPr>
          <w:sz w:val="22"/>
          <w:szCs w:val="22"/>
          <w:lang w:val="sr-Cyrl-RS"/>
        </w:rPr>
        <w:t xml:space="preserve"> </w:t>
      </w:r>
    </w:p>
    <w:p w14:paraId="09941F8F" w14:textId="6DCE0B05" w:rsidR="006731D4" w:rsidRPr="006438A2" w:rsidRDefault="003720F1" w:rsidP="006438A2">
      <w:pPr>
        <w:pStyle w:val="ListParagraph"/>
        <w:numPr>
          <w:ilvl w:val="0"/>
          <w:numId w:val="13"/>
        </w:numPr>
        <w:spacing w:line="276" w:lineRule="auto"/>
        <w:jc w:val="both"/>
        <w:rPr>
          <w:bCs/>
          <w:sz w:val="22"/>
          <w:szCs w:val="22"/>
          <w:lang w:val="sr-Cyrl-RS" w:eastAsia="en-US"/>
        </w:rPr>
      </w:pPr>
      <w:r w:rsidRPr="006438A2">
        <w:rPr>
          <w:sz w:val="22"/>
          <w:szCs w:val="22"/>
          <w:lang w:val="sr-Cyrl-RS"/>
        </w:rPr>
        <w:t xml:space="preserve">Тренутно </w:t>
      </w:r>
      <w:r w:rsidR="00697A8D" w:rsidRPr="006438A2">
        <w:rPr>
          <w:sz w:val="22"/>
          <w:szCs w:val="22"/>
          <w:lang w:val="sr-Cyrl-RS"/>
        </w:rPr>
        <w:t xml:space="preserve"> </w:t>
      </w:r>
      <w:r w:rsidR="00697A8D" w:rsidRPr="006438A2">
        <w:rPr>
          <w:bCs/>
          <w:sz w:val="22"/>
          <w:szCs w:val="22"/>
          <w:lang w:val="sr-Cyrl-BA" w:eastAsia="en-US"/>
        </w:rPr>
        <w:t xml:space="preserve">ЈЛС у РС немају </w:t>
      </w:r>
      <w:r w:rsidR="00623A7A" w:rsidRPr="006438A2">
        <w:rPr>
          <w:bCs/>
          <w:sz w:val="22"/>
          <w:szCs w:val="22"/>
          <w:lang w:val="sr-Cyrl-BA" w:eastAsia="en-US"/>
        </w:rPr>
        <w:t>властита</w:t>
      </w:r>
      <w:r w:rsidRPr="006438A2">
        <w:rPr>
          <w:bCs/>
          <w:sz w:val="22"/>
          <w:szCs w:val="22"/>
          <w:lang w:val="sr-Cyrl-BA" w:eastAsia="en-US"/>
        </w:rPr>
        <w:t xml:space="preserve"> </w:t>
      </w:r>
      <w:r w:rsidR="00623A7A" w:rsidRPr="006438A2">
        <w:rPr>
          <w:bCs/>
          <w:sz w:val="22"/>
          <w:szCs w:val="22"/>
          <w:lang w:val="sr-Cyrl-RS" w:eastAsia="en-US"/>
        </w:rPr>
        <w:t>трајна</w:t>
      </w:r>
      <w:r w:rsidR="00261F2C" w:rsidRPr="006438A2">
        <w:rPr>
          <w:bCs/>
          <w:sz w:val="22"/>
          <w:szCs w:val="22"/>
          <w:lang w:val="sr-Cyrl-RS" w:eastAsia="en-US"/>
        </w:rPr>
        <w:t xml:space="preserve"> </w:t>
      </w:r>
      <w:r w:rsidRPr="006438A2">
        <w:rPr>
          <w:bCs/>
          <w:sz w:val="22"/>
          <w:szCs w:val="22"/>
          <w:lang w:val="sr-Cyrl-BA" w:eastAsia="en-US"/>
        </w:rPr>
        <w:t>новчана резервна средства</w:t>
      </w:r>
      <w:r w:rsidR="00623A7A" w:rsidRPr="006438A2">
        <w:rPr>
          <w:bCs/>
          <w:sz w:val="22"/>
          <w:szCs w:val="22"/>
          <w:lang w:val="sr-Cyrl-BA" w:eastAsia="en-US"/>
        </w:rPr>
        <w:t xml:space="preserve"> </w:t>
      </w:r>
      <w:r w:rsidRPr="006438A2">
        <w:rPr>
          <w:bCs/>
          <w:sz w:val="22"/>
          <w:szCs w:val="22"/>
          <w:lang w:val="sr-Cyrl-BA" w:eastAsia="en-US"/>
        </w:rPr>
        <w:t>-</w:t>
      </w:r>
      <w:r w:rsidR="00623A7A" w:rsidRPr="006438A2">
        <w:rPr>
          <w:bCs/>
          <w:sz w:val="22"/>
          <w:szCs w:val="22"/>
          <w:lang w:val="sr-Cyrl-BA" w:eastAsia="en-US"/>
        </w:rPr>
        <w:t xml:space="preserve"> </w:t>
      </w:r>
      <w:r w:rsidR="00697A8D" w:rsidRPr="006438A2">
        <w:rPr>
          <w:bCs/>
          <w:sz w:val="22"/>
          <w:szCs w:val="22"/>
          <w:lang w:val="sr-Cyrl-BA" w:eastAsia="en-US"/>
        </w:rPr>
        <w:t>фондове, која би могла да дјелују као компензација у периодима кризе</w:t>
      </w:r>
      <w:r w:rsidR="00261F2C" w:rsidRPr="006438A2">
        <w:rPr>
          <w:bCs/>
          <w:sz w:val="22"/>
          <w:szCs w:val="22"/>
          <w:lang w:val="sr-Cyrl-BA" w:eastAsia="en-US"/>
        </w:rPr>
        <w:t>.</w:t>
      </w:r>
      <w:r w:rsidR="00944A09" w:rsidRPr="006438A2">
        <w:rPr>
          <w:bCs/>
          <w:sz w:val="22"/>
          <w:szCs w:val="22"/>
          <w:lang w:val="sr-Cyrl-BA" w:eastAsia="en-US"/>
        </w:rPr>
        <w:t xml:space="preserve"> У буџетима ЈЛС сваке године се планирају средства резерве, која се троше у складу са чланом 43. Закона о буџетском систему, за расходе и издатке који нису били планирани </w:t>
      </w:r>
      <w:r w:rsidR="00D548C6" w:rsidRPr="006438A2">
        <w:rPr>
          <w:bCs/>
          <w:sz w:val="22"/>
          <w:szCs w:val="22"/>
          <w:lang w:val="sr-Cyrl-BA" w:eastAsia="en-US"/>
        </w:rPr>
        <w:t>или су недовољно плани</w:t>
      </w:r>
      <w:r w:rsidR="00944A09" w:rsidRPr="006438A2">
        <w:rPr>
          <w:bCs/>
          <w:sz w:val="22"/>
          <w:szCs w:val="22"/>
          <w:lang w:val="sr-Cyrl-BA" w:eastAsia="en-US"/>
        </w:rPr>
        <w:t>р</w:t>
      </w:r>
      <w:r w:rsidR="00D548C6" w:rsidRPr="006438A2">
        <w:rPr>
          <w:bCs/>
          <w:sz w:val="22"/>
          <w:szCs w:val="22"/>
          <w:lang w:val="sr-Cyrl-BA" w:eastAsia="en-US"/>
        </w:rPr>
        <w:t>а</w:t>
      </w:r>
      <w:r w:rsidR="00944A09" w:rsidRPr="006438A2">
        <w:rPr>
          <w:bCs/>
          <w:sz w:val="22"/>
          <w:szCs w:val="22"/>
          <w:lang w:val="sr-Cyrl-BA" w:eastAsia="en-US"/>
        </w:rPr>
        <w:t>ни у буџету, односно, за привремено извршавање обавеза у  случају смањеног обима буџетских средстава. Дакле, планирају се и троше на годишњем нивоу.</w:t>
      </w:r>
      <w:r w:rsidR="00261F2C" w:rsidRPr="006438A2">
        <w:rPr>
          <w:bCs/>
          <w:sz w:val="22"/>
          <w:szCs w:val="22"/>
          <w:lang w:val="sr-Cyrl-BA" w:eastAsia="en-US"/>
        </w:rPr>
        <w:t xml:space="preserve"> Формирање додатних резерви за мале и неразвијене ЈЛС није ни реално, имајући у виду структуру </w:t>
      </w:r>
      <w:r w:rsidR="00623A7A" w:rsidRPr="006438A2">
        <w:rPr>
          <w:bCs/>
          <w:sz w:val="22"/>
          <w:szCs w:val="22"/>
          <w:lang w:val="sr-Cyrl-BA" w:eastAsia="en-US"/>
        </w:rPr>
        <w:t>извора ф</w:t>
      </w:r>
      <w:r w:rsidRPr="006438A2">
        <w:rPr>
          <w:bCs/>
          <w:sz w:val="22"/>
          <w:szCs w:val="22"/>
          <w:lang w:val="sr-Cyrl-BA" w:eastAsia="en-US"/>
        </w:rPr>
        <w:t>инансирања и величину</w:t>
      </w:r>
      <w:r w:rsidR="00261F2C" w:rsidRPr="006438A2">
        <w:rPr>
          <w:bCs/>
          <w:sz w:val="22"/>
          <w:szCs w:val="22"/>
          <w:lang w:val="sr-Cyrl-BA" w:eastAsia="en-US"/>
        </w:rPr>
        <w:t xml:space="preserve"> њихових буџета. На нивоу Републике постоје Фонд солидарности за обнову РС, основан 2014. године, и Компе</w:t>
      </w:r>
      <w:r w:rsidR="00B25C45" w:rsidRPr="006438A2">
        <w:rPr>
          <w:bCs/>
          <w:sz w:val="22"/>
          <w:szCs w:val="22"/>
          <w:lang w:val="sr-Cyrl-BA" w:eastAsia="en-US"/>
        </w:rPr>
        <w:t>н</w:t>
      </w:r>
      <w:r w:rsidR="00261F2C" w:rsidRPr="006438A2">
        <w:rPr>
          <w:bCs/>
          <w:sz w:val="22"/>
          <w:szCs w:val="22"/>
          <w:lang w:val="sr-Cyrl-BA" w:eastAsia="en-US"/>
        </w:rPr>
        <w:t>зациони фонд, основан 2020. године</w:t>
      </w:r>
      <w:r w:rsidRPr="006438A2">
        <w:rPr>
          <w:bCs/>
          <w:sz w:val="22"/>
          <w:szCs w:val="22"/>
          <w:lang w:val="sr-Cyrl-BA" w:eastAsia="en-US"/>
        </w:rPr>
        <w:t>,</w:t>
      </w:r>
      <w:r w:rsidR="00261F2C" w:rsidRPr="006438A2">
        <w:rPr>
          <w:bCs/>
          <w:sz w:val="22"/>
          <w:szCs w:val="22"/>
          <w:lang w:val="sr-Cyrl-BA" w:eastAsia="en-US"/>
        </w:rPr>
        <w:t xml:space="preserve"> са искључивом намјеном санирања посљедица и потешкоћа због </w:t>
      </w:r>
      <w:proofErr w:type="spellStart"/>
      <w:r w:rsidR="00261F2C" w:rsidRPr="006438A2">
        <w:rPr>
          <w:bCs/>
          <w:sz w:val="22"/>
          <w:szCs w:val="22"/>
          <w:lang w:val="sr-Cyrl-BA" w:eastAsia="en-US"/>
        </w:rPr>
        <w:t>пандемије</w:t>
      </w:r>
      <w:proofErr w:type="spellEnd"/>
      <w:r w:rsidR="00261F2C" w:rsidRPr="006438A2">
        <w:rPr>
          <w:bCs/>
          <w:sz w:val="22"/>
          <w:szCs w:val="22"/>
          <w:lang w:val="sr-Cyrl-BA" w:eastAsia="en-US"/>
        </w:rPr>
        <w:t xml:space="preserve"> </w:t>
      </w:r>
      <w:r w:rsidR="00261F2C" w:rsidRPr="006438A2">
        <w:rPr>
          <w:bCs/>
          <w:sz w:val="22"/>
          <w:szCs w:val="22"/>
          <w:lang w:val="en-US" w:eastAsia="en-US"/>
        </w:rPr>
        <w:t>COVID-19</w:t>
      </w:r>
      <w:r w:rsidR="00261F2C" w:rsidRPr="006438A2">
        <w:rPr>
          <w:bCs/>
          <w:sz w:val="22"/>
          <w:szCs w:val="22"/>
          <w:lang w:val="sr-Cyrl-RS" w:eastAsia="en-US"/>
        </w:rPr>
        <w:t xml:space="preserve">. </w:t>
      </w:r>
      <w:r w:rsidR="004D355D" w:rsidRPr="006438A2">
        <w:rPr>
          <w:bCs/>
          <w:sz w:val="22"/>
          <w:szCs w:val="22"/>
          <w:lang w:val="sr-Cyrl-RS" w:eastAsia="en-US"/>
        </w:rPr>
        <w:t>Дакле, п</w:t>
      </w:r>
      <w:r w:rsidR="00261F2C" w:rsidRPr="006438A2">
        <w:rPr>
          <w:bCs/>
          <w:sz w:val="22"/>
          <w:szCs w:val="22"/>
          <w:lang w:val="sr-Cyrl-RS" w:eastAsia="en-US"/>
        </w:rPr>
        <w:t>остоји п</w:t>
      </w:r>
      <w:r w:rsidR="004D355D" w:rsidRPr="006438A2">
        <w:rPr>
          <w:bCs/>
          <w:sz w:val="22"/>
          <w:szCs w:val="22"/>
          <w:lang w:val="sr-Cyrl-RS" w:eastAsia="en-US"/>
        </w:rPr>
        <w:t>отреба да се у наредном периоду</w:t>
      </w:r>
      <w:r w:rsidR="00261F2C" w:rsidRPr="006438A2">
        <w:rPr>
          <w:bCs/>
          <w:sz w:val="22"/>
          <w:szCs w:val="22"/>
          <w:lang w:val="sr-Cyrl-RS" w:eastAsia="en-US"/>
        </w:rPr>
        <w:t xml:space="preserve"> прописима детаљније и ефикасније уреди питање оснивања и функционисања овакве врсте фондова,</w:t>
      </w:r>
      <w:r w:rsidR="00F901CB" w:rsidRPr="006438A2">
        <w:rPr>
          <w:bCs/>
          <w:sz w:val="22"/>
          <w:szCs w:val="22"/>
          <w:lang w:val="sr-Cyrl-RS" w:eastAsia="en-US"/>
        </w:rPr>
        <w:t xml:space="preserve"> као помоћ у кризним ситуацијама и уједначавање прихода ЈЛС,</w:t>
      </w:r>
      <w:r w:rsidR="00261F2C" w:rsidRPr="006438A2">
        <w:rPr>
          <w:bCs/>
          <w:sz w:val="22"/>
          <w:szCs w:val="22"/>
          <w:lang w:val="sr-Cyrl-RS" w:eastAsia="en-US"/>
        </w:rPr>
        <w:t xml:space="preserve"> како на нивоу РС, тако и на локалном нивоу</w:t>
      </w:r>
      <w:r w:rsidR="00944A09" w:rsidRPr="006438A2">
        <w:rPr>
          <w:bCs/>
          <w:sz w:val="22"/>
          <w:szCs w:val="22"/>
          <w:lang w:val="sr-Cyrl-RS" w:eastAsia="en-US"/>
        </w:rPr>
        <w:t>.</w:t>
      </w:r>
      <w:r w:rsidR="00F901CB" w:rsidRPr="006438A2">
        <w:rPr>
          <w:bCs/>
          <w:sz w:val="22"/>
          <w:szCs w:val="22"/>
          <w:lang w:val="sr-Cyrl-RS" w:eastAsia="en-US"/>
        </w:rPr>
        <w:t xml:space="preserve"> </w:t>
      </w:r>
    </w:p>
    <w:p w14:paraId="63F44B6B" w14:textId="31CB0133" w:rsidR="006731D4" w:rsidRPr="006438A2" w:rsidRDefault="002E1145" w:rsidP="006438A2">
      <w:pPr>
        <w:pStyle w:val="ListParagraph"/>
        <w:numPr>
          <w:ilvl w:val="0"/>
          <w:numId w:val="13"/>
        </w:numPr>
        <w:spacing w:line="276" w:lineRule="auto"/>
        <w:jc w:val="both"/>
        <w:rPr>
          <w:bCs/>
          <w:sz w:val="22"/>
          <w:szCs w:val="22"/>
          <w:lang w:val="sr-Cyrl-RS" w:eastAsia="en-US"/>
        </w:rPr>
      </w:pPr>
      <w:r w:rsidRPr="006438A2">
        <w:rPr>
          <w:bCs/>
          <w:sz w:val="22"/>
          <w:szCs w:val="22"/>
          <w:lang w:val="sr-Cyrl-RS" w:eastAsia="en-US"/>
        </w:rPr>
        <w:t xml:space="preserve">Исто тако, потребно је иницирати </w:t>
      </w:r>
      <w:proofErr w:type="spellStart"/>
      <w:r w:rsidRPr="006438A2">
        <w:rPr>
          <w:bCs/>
          <w:sz w:val="22"/>
          <w:szCs w:val="22"/>
          <w:lang w:val="sr-Cyrl-RS" w:eastAsia="en-US"/>
        </w:rPr>
        <w:t>измјене</w:t>
      </w:r>
      <w:proofErr w:type="spellEnd"/>
      <w:r w:rsidRPr="006438A2">
        <w:rPr>
          <w:bCs/>
          <w:sz w:val="22"/>
          <w:szCs w:val="22"/>
          <w:lang w:val="sr-Cyrl-RS" w:eastAsia="en-US"/>
        </w:rPr>
        <w:t xml:space="preserve"> прописа којима је уређено прикупљање и трошење </w:t>
      </w:r>
      <w:proofErr w:type="spellStart"/>
      <w:r w:rsidRPr="006438A2">
        <w:rPr>
          <w:bCs/>
          <w:sz w:val="22"/>
          <w:szCs w:val="22"/>
          <w:lang w:val="sr-Cyrl-RS" w:eastAsia="en-US"/>
        </w:rPr>
        <w:t>намјенских</w:t>
      </w:r>
      <w:proofErr w:type="spellEnd"/>
      <w:r w:rsidRPr="006438A2">
        <w:rPr>
          <w:bCs/>
          <w:sz w:val="22"/>
          <w:szCs w:val="22"/>
          <w:lang w:val="sr-Cyrl-RS" w:eastAsia="en-US"/>
        </w:rPr>
        <w:t xml:space="preserve"> средстава на нивоу ЈЛС</w:t>
      </w:r>
      <w:r w:rsidR="00171370" w:rsidRPr="006438A2">
        <w:rPr>
          <w:bCs/>
          <w:sz w:val="22"/>
          <w:szCs w:val="22"/>
          <w:lang w:val="sr-Cyrl-RS" w:eastAsia="en-US"/>
        </w:rPr>
        <w:t xml:space="preserve"> (нпр. средства противпожарне заштите и сл.)</w:t>
      </w:r>
      <w:r w:rsidRPr="006438A2">
        <w:rPr>
          <w:bCs/>
          <w:sz w:val="22"/>
          <w:szCs w:val="22"/>
          <w:lang w:val="sr-Cyrl-RS" w:eastAsia="en-US"/>
        </w:rPr>
        <w:t xml:space="preserve">, којима би се привремено </w:t>
      </w:r>
      <w:proofErr w:type="spellStart"/>
      <w:r w:rsidRPr="006438A2">
        <w:rPr>
          <w:bCs/>
          <w:sz w:val="22"/>
          <w:szCs w:val="22"/>
          <w:lang w:val="sr-Cyrl-RS" w:eastAsia="en-US"/>
        </w:rPr>
        <w:t>промијенила</w:t>
      </w:r>
      <w:proofErr w:type="spellEnd"/>
      <w:r w:rsidRPr="006438A2">
        <w:rPr>
          <w:bCs/>
          <w:sz w:val="22"/>
          <w:szCs w:val="22"/>
          <w:lang w:val="sr-Cyrl-RS" w:eastAsia="en-US"/>
        </w:rPr>
        <w:t xml:space="preserve"> </w:t>
      </w:r>
      <w:proofErr w:type="spellStart"/>
      <w:r w:rsidRPr="006438A2">
        <w:rPr>
          <w:bCs/>
          <w:sz w:val="22"/>
          <w:szCs w:val="22"/>
          <w:lang w:val="sr-Cyrl-RS" w:eastAsia="en-US"/>
        </w:rPr>
        <w:t>намјена</w:t>
      </w:r>
      <w:proofErr w:type="spellEnd"/>
      <w:r w:rsidRPr="006438A2">
        <w:rPr>
          <w:bCs/>
          <w:sz w:val="22"/>
          <w:szCs w:val="22"/>
          <w:lang w:val="sr-Cyrl-RS" w:eastAsia="en-US"/>
        </w:rPr>
        <w:t xml:space="preserve"> и омогућило трошење за редовне буџетске </w:t>
      </w:r>
      <w:proofErr w:type="spellStart"/>
      <w:r w:rsidRPr="006438A2">
        <w:rPr>
          <w:bCs/>
          <w:sz w:val="22"/>
          <w:szCs w:val="22"/>
          <w:lang w:val="sr-Cyrl-RS" w:eastAsia="en-US"/>
        </w:rPr>
        <w:t>намјене</w:t>
      </w:r>
      <w:proofErr w:type="spellEnd"/>
      <w:r w:rsidRPr="006438A2">
        <w:rPr>
          <w:bCs/>
          <w:sz w:val="22"/>
          <w:szCs w:val="22"/>
          <w:lang w:val="sr-Cyrl-RS" w:eastAsia="en-US"/>
        </w:rPr>
        <w:t xml:space="preserve"> и/или за расходе и издатке везане за борбу против </w:t>
      </w:r>
      <w:proofErr w:type="spellStart"/>
      <w:r w:rsidRPr="006438A2">
        <w:rPr>
          <w:bCs/>
          <w:sz w:val="22"/>
          <w:szCs w:val="22"/>
          <w:lang w:val="sr-Cyrl-RS" w:eastAsia="en-US"/>
        </w:rPr>
        <w:t>пандемије</w:t>
      </w:r>
      <w:proofErr w:type="spellEnd"/>
      <w:r w:rsidRPr="006438A2">
        <w:rPr>
          <w:bCs/>
          <w:sz w:val="22"/>
          <w:szCs w:val="22"/>
          <w:lang w:val="sr-Cyrl-RS" w:eastAsia="en-US"/>
        </w:rPr>
        <w:t>, укључујући и помоћ привреди. Поједине ЈЛС остварују значајне приходе по овом основу, који се не утроше током текуће буџетске године, па се преносе у наредни период</w:t>
      </w:r>
      <w:r w:rsidR="00171370" w:rsidRPr="006438A2">
        <w:rPr>
          <w:bCs/>
          <w:sz w:val="22"/>
          <w:szCs w:val="22"/>
          <w:lang w:val="sr-Cyrl-RS" w:eastAsia="en-US"/>
        </w:rPr>
        <w:t xml:space="preserve"> са дефинисаном </w:t>
      </w:r>
      <w:proofErr w:type="spellStart"/>
      <w:r w:rsidR="00171370" w:rsidRPr="006438A2">
        <w:rPr>
          <w:bCs/>
          <w:sz w:val="22"/>
          <w:szCs w:val="22"/>
          <w:lang w:val="sr-Cyrl-RS" w:eastAsia="en-US"/>
        </w:rPr>
        <w:t>намјеном</w:t>
      </w:r>
      <w:proofErr w:type="spellEnd"/>
      <w:r w:rsidRPr="006438A2">
        <w:rPr>
          <w:bCs/>
          <w:sz w:val="22"/>
          <w:szCs w:val="22"/>
          <w:lang w:val="sr-Cyrl-RS" w:eastAsia="en-US"/>
        </w:rPr>
        <w:t>.</w:t>
      </w:r>
      <w:r w:rsidR="006731D4" w:rsidRPr="006438A2">
        <w:rPr>
          <w:bCs/>
          <w:sz w:val="22"/>
          <w:szCs w:val="22"/>
          <w:lang w:val="sr-Cyrl-RS" w:eastAsia="en-US"/>
        </w:rPr>
        <w:t xml:space="preserve"> </w:t>
      </w:r>
    </w:p>
    <w:p w14:paraId="095B0258" w14:textId="36D161A1" w:rsidR="00B25C45" w:rsidRPr="006438A2" w:rsidRDefault="006731D4" w:rsidP="006438A2">
      <w:pPr>
        <w:pStyle w:val="ListParagraph"/>
        <w:numPr>
          <w:ilvl w:val="0"/>
          <w:numId w:val="13"/>
        </w:numPr>
        <w:spacing w:line="276" w:lineRule="auto"/>
        <w:jc w:val="both"/>
        <w:rPr>
          <w:sz w:val="22"/>
          <w:szCs w:val="22"/>
        </w:rPr>
      </w:pPr>
      <w:r w:rsidRPr="006438A2">
        <w:rPr>
          <w:bCs/>
          <w:sz w:val="22"/>
          <w:szCs w:val="22"/>
          <w:lang w:val="sr-Cyrl-RS" w:eastAsia="en-US"/>
        </w:rPr>
        <w:t xml:space="preserve">Криза је учинила поново актуелном потребу доношења посебног закона о финансирању ЈЛС, као и нових критеријума за </w:t>
      </w:r>
      <w:proofErr w:type="spellStart"/>
      <w:r w:rsidRPr="006438A2">
        <w:rPr>
          <w:bCs/>
          <w:sz w:val="22"/>
          <w:szCs w:val="22"/>
          <w:lang w:val="sr-Cyrl-RS" w:eastAsia="en-US"/>
        </w:rPr>
        <w:t>расподјелу</w:t>
      </w:r>
      <w:proofErr w:type="spellEnd"/>
      <w:r w:rsidRPr="006438A2">
        <w:rPr>
          <w:bCs/>
          <w:sz w:val="22"/>
          <w:szCs w:val="22"/>
          <w:lang w:val="sr-Cyrl-RS" w:eastAsia="en-US"/>
        </w:rPr>
        <w:t xml:space="preserve"> прихода, а у сарадњи са Савезом</w:t>
      </w:r>
      <w:r w:rsidRPr="006438A2">
        <w:rPr>
          <w:bCs/>
          <w:sz w:val="22"/>
          <w:lang w:val="sr-Cyrl-RS" w:eastAsia="en-US"/>
        </w:rPr>
        <w:t>.</w:t>
      </w:r>
    </w:p>
    <w:p w14:paraId="03759F2C" w14:textId="77777777" w:rsidR="002E1145" w:rsidRPr="002E1145" w:rsidRDefault="002E1145" w:rsidP="002E1145">
      <w:pPr>
        <w:pStyle w:val="ListParagraph"/>
        <w:tabs>
          <w:tab w:val="left" w:pos="709"/>
          <w:tab w:val="left" w:pos="1530"/>
        </w:tabs>
        <w:spacing w:line="276" w:lineRule="auto"/>
        <w:ind w:left="360"/>
        <w:jc w:val="both"/>
        <w:rPr>
          <w:bCs/>
          <w:sz w:val="22"/>
          <w:szCs w:val="22"/>
          <w:lang w:val="sr-Cyrl-RS" w:eastAsia="en-US"/>
        </w:rPr>
      </w:pPr>
    </w:p>
    <w:p w14:paraId="52680D1C" w14:textId="77777777" w:rsidR="001E73CD" w:rsidRPr="005202DD" w:rsidRDefault="00B25C45" w:rsidP="005202DD">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sidRPr="005202DD">
        <w:rPr>
          <w:bCs/>
          <w:sz w:val="22"/>
          <w:szCs w:val="22"/>
          <w:lang w:val="sr-Cyrl-RS" w:eastAsia="en-US"/>
        </w:rPr>
        <w:t>П</w:t>
      </w:r>
      <w:r w:rsidR="00261F2C" w:rsidRPr="005202DD">
        <w:rPr>
          <w:bCs/>
          <w:sz w:val="22"/>
          <w:szCs w:val="22"/>
          <w:lang w:val="sr-Cyrl-RS" w:eastAsia="en-US"/>
        </w:rPr>
        <w:t>оред недостатка финансијских средстава као нај</w:t>
      </w:r>
      <w:r w:rsidR="00327B68">
        <w:rPr>
          <w:bCs/>
          <w:sz w:val="22"/>
          <w:szCs w:val="22"/>
          <w:lang w:val="sr-Cyrl-RS" w:eastAsia="en-US"/>
        </w:rPr>
        <w:t>значајнијег</w:t>
      </w:r>
      <w:r w:rsidR="00261F2C" w:rsidRPr="005202DD">
        <w:rPr>
          <w:bCs/>
          <w:sz w:val="22"/>
          <w:szCs w:val="22"/>
          <w:lang w:val="sr-Cyrl-RS" w:eastAsia="en-US"/>
        </w:rPr>
        <w:t xml:space="preserve"> проблем</w:t>
      </w:r>
      <w:r w:rsidRPr="005202DD">
        <w:rPr>
          <w:bCs/>
          <w:sz w:val="22"/>
          <w:szCs w:val="22"/>
          <w:lang w:val="sr-Cyrl-RS" w:eastAsia="en-US"/>
        </w:rPr>
        <w:t>а</w:t>
      </w:r>
      <w:r w:rsidR="00261F2C" w:rsidRPr="005202DD">
        <w:rPr>
          <w:bCs/>
          <w:sz w:val="22"/>
          <w:szCs w:val="22"/>
          <w:lang w:val="sr-Cyrl-RS" w:eastAsia="en-US"/>
        </w:rPr>
        <w:t xml:space="preserve"> у периоду кризе,</w:t>
      </w:r>
      <w:r w:rsidR="004D355D">
        <w:rPr>
          <w:bCs/>
          <w:sz w:val="22"/>
          <w:szCs w:val="22"/>
          <w:lang w:val="sr-Cyrl-RS" w:eastAsia="en-US"/>
        </w:rPr>
        <w:t xml:space="preserve"> </w:t>
      </w:r>
      <w:proofErr w:type="spellStart"/>
      <w:r w:rsidR="0032074A">
        <w:rPr>
          <w:bCs/>
          <w:sz w:val="22"/>
          <w:szCs w:val="22"/>
          <w:lang w:val="sr-Cyrl-RS" w:eastAsia="en-US"/>
        </w:rPr>
        <w:t>дио</w:t>
      </w:r>
      <w:proofErr w:type="spellEnd"/>
      <w:r w:rsidR="00261F2C" w:rsidRPr="005202DD">
        <w:rPr>
          <w:bCs/>
          <w:sz w:val="22"/>
          <w:szCs w:val="22"/>
          <w:lang w:val="sr-Cyrl-RS" w:eastAsia="en-US"/>
        </w:rPr>
        <w:t xml:space="preserve"> ЈЛС сматра изазовним и недостатак осталих </w:t>
      </w:r>
      <w:proofErr w:type="spellStart"/>
      <w:r w:rsidR="00261F2C" w:rsidRPr="005202DD">
        <w:rPr>
          <w:bCs/>
          <w:sz w:val="22"/>
          <w:szCs w:val="22"/>
          <w:lang w:val="sr-Cyrl-RS" w:eastAsia="en-US"/>
        </w:rPr>
        <w:t>ресура</w:t>
      </w:r>
      <w:proofErr w:type="spellEnd"/>
      <w:r w:rsidR="00261F2C" w:rsidRPr="005202DD">
        <w:rPr>
          <w:bCs/>
          <w:sz w:val="22"/>
          <w:szCs w:val="22"/>
          <w:lang w:val="sr-Cyrl-RS" w:eastAsia="en-US"/>
        </w:rPr>
        <w:t xml:space="preserve"> (кадрови, технички капацитети, организација)</w:t>
      </w:r>
      <w:r w:rsidR="001E73CD" w:rsidRPr="005202DD">
        <w:rPr>
          <w:bCs/>
          <w:sz w:val="22"/>
          <w:szCs w:val="22"/>
          <w:lang w:val="sr-Cyrl-RS" w:eastAsia="en-US"/>
        </w:rPr>
        <w:t xml:space="preserve">, као и питање координације </w:t>
      </w:r>
      <w:r w:rsidR="00327B68">
        <w:rPr>
          <w:bCs/>
          <w:sz w:val="22"/>
          <w:szCs w:val="22"/>
          <w:lang w:val="sr-Cyrl-RS" w:eastAsia="en-US"/>
        </w:rPr>
        <w:t xml:space="preserve">и информисаност </w:t>
      </w:r>
      <w:r w:rsidR="001E73CD" w:rsidRPr="005202DD">
        <w:rPr>
          <w:bCs/>
          <w:sz w:val="22"/>
          <w:szCs w:val="22"/>
          <w:lang w:val="sr-Cyrl-RS" w:eastAsia="en-US"/>
        </w:rPr>
        <w:t xml:space="preserve">свих нивоа власти. У вези с тим, препорука би била да треба </w:t>
      </w:r>
      <w:r w:rsidR="006A08F9" w:rsidRPr="005202DD">
        <w:rPr>
          <w:bCs/>
          <w:sz w:val="22"/>
          <w:szCs w:val="22"/>
          <w:lang w:val="sr-Cyrl-RS" w:eastAsia="en-US"/>
        </w:rPr>
        <w:t>повећати степен кон</w:t>
      </w:r>
      <w:r w:rsidR="001E73CD" w:rsidRPr="005202DD">
        <w:rPr>
          <w:bCs/>
          <w:sz w:val="22"/>
          <w:szCs w:val="22"/>
          <w:lang w:val="sr-Cyrl-RS" w:eastAsia="en-US"/>
        </w:rPr>
        <w:t>султација између Владе РС и ЈЛС, као и између ЈЛС и заинтересованих субјеката</w:t>
      </w:r>
      <w:r w:rsidR="00153131" w:rsidRPr="005202DD">
        <w:rPr>
          <w:bCs/>
          <w:sz w:val="22"/>
          <w:szCs w:val="22"/>
          <w:lang w:val="sr-Cyrl-RS" w:eastAsia="en-US"/>
        </w:rPr>
        <w:t xml:space="preserve"> </w:t>
      </w:r>
      <w:r w:rsidR="001E73CD" w:rsidRPr="005202DD">
        <w:rPr>
          <w:bCs/>
          <w:sz w:val="22"/>
          <w:szCs w:val="22"/>
          <w:lang w:val="sr-Cyrl-RS" w:eastAsia="en-US"/>
        </w:rPr>
        <w:t xml:space="preserve"> (привреда, корисници буџета, организације цивилног друштва).</w:t>
      </w:r>
    </w:p>
    <w:p w14:paraId="7CCBD8DD" w14:textId="77777777" w:rsidR="001E73CD" w:rsidRPr="001E73CD" w:rsidRDefault="001E73CD" w:rsidP="005202DD">
      <w:pPr>
        <w:pStyle w:val="ListParagraph"/>
        <w:spacing w:line="276" w:lineRule="auto"/>
        <w:ind w:left="0" w:firstLine="360"/>
        <w:rPr>
          <w:bCs/>
          <w:sz w:val="22"/>
          <w:szCs w:val="22"/>
          <w:lang w:val="sr-Cyrl-RS" w:eastAsia="en-US"/>
        </w:rPr>
      </w:pPr>
    </w:p>
    <w:p w14:paraId="334B937E" w14:textId="77777777" w:rsidR="006A08F9" w:rsidRPr="005202DD" w:rsidRDefault="00153131" w:rsidP="005202DD">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sidRPr="005202DD">
        <w:rPr>
          <w:bCs/>
          <w:sz w:val="22"/>
          <w:szCs w:val="22"/>
          <w:lang w:val="sr-Cyrl-RS" w:eastAsia="en-US"/>
        </w:rPr>
        <w:t>И прије кризе, постојала је потреба да се повећа тр</w:t>
      </w:r>
      <w:r w:rsidR="00327B68">
        <w:rPr>
          <w:bCs/>
          <w:sz w:val="22"/>
          <w:szCs w:val="22"/>
          <w:lang w:val="sr-Cyrl-RS" w:eastAsia="en-US"/>
        </w:rPr>
        <w:t xml:space="preserve">анспарентност и да се </w:t>
      </w:r>
      <w:proofErr w:type="spellStart"/>
      <w:r w:rsidR="00327B68">
        <w:rPr>
          <w:bCs/>
          <w:sz w:val="22"/>
          <w:szCs w:val="22"/>
          <w:lang w:val="sr-Cyrl-RS" w:eastAsia="en-US"/>
        </w:rPr>
        <w:t>обезб</w:t>
      </w:r>
      <w:r w:rsidR="0032074A">
        <w:rPr>
          <w:bCs/>
          <w:sz w:val="22"/>
          <w:szCs w:val="22"/>
          <w:lang w:val="sr-Cyrl-RS" w:eastAsia="en-US"/>
        </w:rPr>
        <w:t>и</w:t>
      </w:r>
      <w:r w:rsidR="00327B68">
        <w:rPr>
          <w:bCs/>
          <w:sz w:val="22"/>
          <w:szCs w:val="22"/>
          <w:lang w:val="sr-Cyrl-RS" w:eastAsia="en-US"/>
        </w:rPr>
        <w:t>једи</w:t>
      </w:r>
      <w:proofErr w:type="spellEnd"/>
      <w:r w:rsidR="00327B68">
        <w:rPr>
          <w:bCs/>
          <w:sz w:val="22"/>
          <w:szCs w:val="22"/>
          <w:lang w:val="sr-Cyrl-RS" w:eastAsia="en-US"/>
        </w:rPr>
        <w:t xml:space="preserve"> </w:t>
      </w:r>
      <w:r w:rsidRPr="005202DD">
        <w:rPr>
          <w:bCs/>
          <w:sz w:val="22"/>
          <w:szCs w:val="22"/>
          <w:lang w:val="sr-Cyrl-RS" w:eastAsia="en-US"/>
        </w:rPr>
        <w:t xml:space="preserve">већа партиципација </w:t>
      </w:r>
      <w:r w:rsidR="0032074A">
        <w:rPr>
          <w:bCs/>
          <w:sz w:val="22"/>
          <w:szCs w:val="22"/>
          <w:lang w:val="sr-Cyrl-RS" w:eastAsia="en-US"/>
        </w:rPr>
        <w:t xml:space="preserve">јавности, односно грађана, </w:t>
      </w:r>
      <w:r w:rsidRPr="005202DD">
        <w:rPr>
          <w:bCs/>
          <w:sz w:val="22"/>
          <w:szCs w:val="22"/>
          <w:lang w:val="sr-Cyrl-RS" w:eastAsia="en-US"/>
        </w:rPr>
        <w:t>у трошењу буџетских средстава ЈЛС, што је криза додатно потенцирала.</w:t>
      </w:r>
      <w:r w:rsidR="006A08F9" w:rsidRPr="005202DD">
        <w:rPr>
          <w:bCs/>
          <w:sz w:val="22"/>
          <w:szCs w:val="22"/>
          <w:lang w:val="sr-Cyrl-RS" w:eastAsia="en-US"/>
        </w:rPr>
        <w:t xml:space="preserve"> Уз помоћ надлежних министарстава и Савеза, а на бази </w:t>
      </w:r>
      <w:proofErr w:type="spellStart"/>
      <w:r w:rsidR="006A08F9" w:rsidRPr="005202DD">
        <w:rPr>
          <w:bCs/>
          <w:sz w:val="22"/>
          <w:szCs w:val="22"/>
          <w:lang w:val="sr-Cyrl-RS" w:eastAsia="en-US"/>
        </w:rPr>
        <w:t>примјера</w:t>
      </w:r>
      <w:proofErr w:type="spellEnd"/>
      <w:r w:rsidR="006A08F9" w:rsidRPr="005202DD">
        <w:rPr>
          <w:bCs/>
          <w:sz w:val="22"/>
          <w:szCs w:val="22"/>
          <w:lang w:val="sr-Cyrl-RS" w:eastAsia="en-US"/>
        </w:rPr>
        <w:t xml:space="preserve"> добре праксе из окружења и ЕУ, требало би </w:t>
      </w:r>
      <w:r w:rsidR="009674D8" w:rsidRPr="005202DD">
        <w:rPr>
          <w:bCs/>
          <w:sz w:val="22"/>
          <w:szCs w:val="22"/>
          <w:lang w:val="sr-Cyrl-RS" w:eastAsia="en-US"/>
        </w:rPr>
        <w:t xml:space="preserve">наставити пројекат </w:t>
      </w:r>
      <w:r w:rsidR="006A08F9" w:rsidRPr="005202DD">
        <w:rPr>
          <w:bCs/>
          <w:sz w:val="22"/>
          <w:szCs w:val="22"/>
          <w:lang w:val="sr-Cyrl-RS" w:eastAsia="en-US"/>
        </w:rPr>
        <w:t xml:space="preserve">развоја </w:t>
      </w:r>
      <w:proofErr w:type="spellStart"/>
      <w:r w:rsidR="006A08F9" w:rsidRPr="005202DD">
        <w:rPr>
          <w:bCs/>
          <w:sz w:val="22"/>
          <w:szCs w:val="22"/>
          <w:lang w:val="sr-Cyrl-RS" w:eastAsia="en-US"/>
        </w:rPr>
        <w:t>партиципативног</w:t>
      </w:r>
      <w:proofErr w:type="spellEnd"/>
      <w:r w:rsidR="006A08F9" w:rsidRPr="005202DD">
        <w:rPr>
          <w:bCs/>
          <w:sz w:val="22"/>
          <w:szCs w:val="22"/>
          <w:lang w:val="sr-Cyrl-RS" w:eastAsia="en-US"/>
        </w:rPr>
        <w:t xml:space="preserve"> буџетирања </w:t>
      </w:r>
      <w:r w:rsidR="009674D8" w:rsidRPr="005202DD">
        <w:rPr>
          <w:bCs/>
          <w:sz w:val="22"/>
          <w:szCs w:val="22"/>
          <w:lang w:val="sr-Cyrl-RS" w:eastAsia="en-US"/>
        </w:rPr>
        <w:t xml:space="preserve">у </w:t>
      </w:r>
      <w:r w:rsidR="006A08F9" w:rsidRPr="005202DD">
        <w:rPr>
          <w:bCs/>
          <w:sz w:val="22"/>
          <w:szCs w:val="22"/>
          <w:lang w:val="sr-Cyrl-RS" w:eastAsia="en-US"/>
        </w:rPr>
        <w:t>РС</w:t>
      </w:r>
      <w:r w:rsidR="00C17B1E">
        <w:rPr>
          <w:bCs/>
          <w:sz w:val="22"/>
          <w:szCs w:val="22"/>
          <w:lang w:val="sr-Cyrl-RS" w:eastAsia="en-US"/>
        </w:rPr>
        <w:t>, који је покренут средином ове године</w:t>
      </w:r>
      <w:r w:rsidR="007477CB" w:rsidRPr="005202DD">
        <w:rPr>
          <w:bCs/>
          <w:sz w:val="22"/>
          <w:szCs w:val="22"/>
          <w:lang w:val="sr-Cyrl-RS" w:eastAsia="en-US"/>
        </w:rPr>
        <w:t xml:space="preserve">. Поједини градови у </w:t>
      </w:r>
      <w:r w:rsidR="0032074A">
        <w:rPr>
          <w:bCs/>
          <w:sz w:val="22"/>
          <w:szCs w:val="22"/>
          <w:lang w:val="sr-Cyrl-RS" w:eastAsia="en-US"/>
        </w:rPr>
        <w:t xml:space="preserve">земљама у </w:t>
      </w:r>
      <w:r w:rsidR="007477CB" w:rsidRPr="005202DD">
        <w:rPr>
          <w:bCs/>
          <w:sz w:val="22"/>
          <w:szCs w:val="22"/>
          <w:lang w:val="sr-Cyrl-RS" w:eastAsia="en-US"/>
        </w:rPr>
        <w:t xml:space="preserve">окружењу су самоиницијативно покренули </w:t>
      </w:r>
      <w:r w:rsidR="007477CB" w:rsidRPr="005202DD">
        <w:rPr>
          <w:bCs/>
          <w:sz w:val="22"/>
          <w:szCs w:val="22"/>
          <w:lang w:val="en-US" w:eastAsia="en-US"/>
        </w:rPr>
        <w:t xml:space="preserve">online </w:t>
      </w:r>
      <w:r w:rsidR="007477CB" w:rsidRPr="005202DD">
        <w:rPr>
          <w:bCs/>
          <w:sz w:val="22"/>
          <w:szCs w:val="22"/>
          <w:lang w:val="sr-Cyrl-RS" w:eastAsia="en-US"/>
        </w:rPr>
        <w:t xml:space="preserve">платформе за </w:t>
      </w:r>
      <w:proofErr w:type="spellStart"/>
      <w:r w:rsidR="007477CB" w:rsidRPr="005202DD">
        <w:rPr>
          <w:bCs/>
          <w:sz w:val="22"/>
          <w:szCs w:val="22"/>
          <w:lang w:val="sr-Cyrl-RS" w:eastAsia="en-US"/>
        </w:rPr>
        <w:t>партиципативно</w:t>
      </w:r>
      <w:proofErr w:type="spellEnd"/>
      <w:r w:rsidR="007477CB" w:rsidRPr="005202DD">
        <w:rPr>
          <w:bCs/>
          <w:sz w:val="22"/>
          <w:szCs w:val="22"/>
          <w:lang w:val="sr-Cyrl-RS" w:eastAsia="en-US"/>
        </w:rPr>
        <w:t xml:space="preserve"> буџетирање са позивом грађанима</w:t>
      </w:r>
      <w:r w:rsidR="0032074A">
        <w:rPr>
          <w:bCs/>
          <w:sz w:val="22"/>
          <w:szCs w:val="22"/>
          <w:lang w:val="sr-Cyrl-RS" w:eastAsia="en-US"/>
        </w:rPr>
        <w:t xml:space="preserve"> и удружењима</w:t>
      </w:r>
      <w:r w:rsidR="007477CB" w:rsidRPr="005202DD">
        <w:rPr>
          <w:bCs/>
          <w:sz w:val="22"/>
          <w:szCs w:val="22"/>
          <w:lang w:val="sr-Cyrl-RS" w:eastAsia="en-US"/>
        </w:rPr>
        <w:t xml:space="preserve"> да доставе </w:t>
      </w:r>
      <w:proofErr w:type="spellStart"/>
      <w:r w:rsidR="007477CB" w:rsidRPr="005202DD">
        <w:rPr>
          <w:bCs/>
          <w:sz w:val="22"/>
          <w:szCs w:val="22"/>
          <w:lang w:val="sr-Cyrl-RS" w:eastAsia="en-US"/>
        </w:rPr>
        <w:t>приједлоге</w:t>
      </w:r>
      <w:proofErr w:type="spellEnd"/>
      <w:r w:rsidR="0032074A">
        <w:rPr>
          <w:bCs/>
          <w:sz w:val="22"/>
          <w:szCs w:val="22"/>
          <w:lang w:val="sr-Cyrl-RS" w:eastAsia="en-US"/>
        </w:rPr>
        <w:t>,</w:t>
      </w:r>
      <w:r w:rsidR="007477CB" w:rsidRPr="005202DD">
        <w:rPr>
          <w:bCs/>
          <w:sz w:val="22"/>
          <w:szCs w:val="22"/>
          <w:lang w:val="sr-Cyrl-RS" w:eastAsia="en-US"/>
        </w:rPr>
        <w:t xml:space="preserve"> које ће </w:t>
      </w:r>
      <w:r w:rsidR="0032074A">
        <w:rPr>
          <w:bCs/>
          <w:sz w:val="22"/>
          <w:szCs w:val="22"/>
          <w:lang w:val="sr-Cyrl-RS" w:eastAsia="en-US"/>
        </w:rPr>
        <w:t>се буџетски</w:t>
      </w:r>
      <w:r w:rsidR="007477CB" w:rsidRPr="005202DD">
        <w:rPr>
          <w:bCs/>
          <w:sz w:val="22"/>
          <w:szCs w:val="22"/>
          <w:lang w:val="sr-Cyrl-RS" w:eastAsia="en-US"/>
        </w:rPr>
        <w:t xml:space="preserve"> подржати у наредном периоду.</w:t>
      </w:r>
    </w:p>
    <w:p w14:paraId="75661054" w14:textId="77777777" w:rsidR="00B25C45" w:rsidRPr="00B25C45" w:rsidRDefault="00B25C45" w:rsidP="005202DD">
      <w:pPr>
        <w:tabs>
          <w:tab w:val="left" w:pos="709"/>
          <w:tab w:val="left" w:pos="1530"/>
        </w:tabs>
        <w:spacing w:line="276" w:lineRule="auto"/>
        <w:ind w:firstLine="360"/>
        <w:jc w:val="both"/>
        <w:rPr>
          <w:bCs/>
          <w:sz w:val="22"/>
          <w:szCs w:val="22"/>
          <w:lang w:val="sr-Cyrl-RS" w:eastAsia="en-US"/>
        </w:rPr>
      </w:pPr>
    </w:p>
    <w:p w14:paraId="678D5243" w14:textId="11445621" w:rsidR="008303A4" w:rsidRPr="005202DD" w:rsidRDefault="009674D8" w:rsidP="005202DD">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sidRPr="005202DD">
        <w:rPr>
          <w:bCs/>
          <w:sz w:val="22"/>
          <w:szCs w:val="22"/>
          <w:lang w:val="sr-Cyrl-RS" w:eastAsia="en-US"/>
        </w:rPr>
        <w:t>Требало би увести законску обавезу дугорочног планирања</w:t>
      </w:r>
      <w:r w:rsidR="006A08F9" w:rsidRPr="005202DD">
        <w:rPr>
          <w:bCs/>
          <w:sz w:val="22"/>
          <w:szCs w:val="22"/>
          <w:lang w:val="sr-Cyrl-RS" w:eastAsia="en-US"/>
        </w:rPr>
        <w:t>,</w:t>
      </w:r>
      <w:r w:rsidRPr="005202DD">
        <w:rPr>
          <w:bCs/>
          <w:sz w:val="22"/>
          <w:szCs w:val="22"/>
          <w:lang w:val="sr-Cyrl-RS" w:eastAsia="en-US"/>
        </w:rPr>
        <w:t xml:space="preserve"> тј. израде трогодишње</w:t>
      </w:r>
      <w:r w:rsidR="0038029B">
        <w:rPr>
          <w:bCs/>
          <w:sz w:val="22"/>
          <w:szCs w:val="22"/>
          <w:lang w:val="sr-Cyrl-RS" w:eastAsia="en-US"/>
        </w:rPr>
        <w:t>г буџета, што се током истражив</w:t>
      </w:r>
      <w:r w:rsidRPr="005202DD">
        <w:rPr>
          <w:bCs/>
          <w:sz w:val="22"/>
          <w:szCs w:val="22"/>
          <w:lang w:val="sr-Cyrl-RS" w:eastAsia="en-US"/>
        </w:rPr>
        <w:t>ања потенцирало о</w:t>
      </w:r>
      <w:r w:rsidR="006A08F9" w:rsidRPr="005202DD">
        <w:rPr>
          <w:bCs/>
          <w:sz w:val="22"/>
          <w:szCs w:val="22"/>
          <w:lang w:val="sr-Cyrl-RS" w:eastAsia="en-US"/>
        </w:rPr>
        <w:t>д стране пој</w:t>
      </w:r>
      <w:r w:rsidRPr="005202DD">
        <w:rPr>
          <w:bCs/>
          <w:sz w:val="22"/>
          <w:szCs w:val="22"/>
          <w:lang w:val="sr-Cyrl-RS" w:eastAsia="en-US"/>
        </w:rPr>
        <w:t>единих ЈЛС.</w:t>
      </w:r>
      <w:r w:rsidR="008303A4" w:rsidRPr="005202DD">
        <w:rPr>
          <w:bCs/>
          <w:sz w:val="22"/>
          <w:szCs w:val="22"/>
          <w:lang w:val="sr-Cyrl-RS" w:eastAsia="en-US"/>
        </w:rPr>
        <w:t xml:space="preserve"> </w:t>
      </w:r>
      <w:r w:rsidRPr="005202DD">
        <w:rPr>
          <w:bCs/>
          <w:sz w:val="22"/>
          <w:szCs w:val="22"/>
          <w:lang w:val="sr-Cyrl-RS" w:eastAsia="en-US"/>
        </w:rPr>
        <w:t xml:space="preserve">Оваква врста планирања је обавеза и пракса </w:t>
      </w:r>
      <w:r w:rsidR="008303A4" w:rsidRPr="005202DD">
        <w:rPr>
          <w:bCs/>
          <w:sz w:val="22"/>
          <w:szCs w:val="22"/>
          <w:lang w:val="sr-Cyrl-RS" w:eastAsia="en-US"/>
        </w:rPr>
        <w:t xml:space="preserve">ЕУ, </w:t>
      </w:r>
      <w:r w:rsidRPr="005202DD">
        <w:rPr>
          <w:bCs/>
          <w:sz w:val="22"/>
          <w:szCs w:val="22"/>
          <w:lang w:val="sr-Cyrl-RS" w:eastAsia="en-US"/>
        </w:rPr>
        <w:t xml:space="preserve">али </w:t>
      </w:r>
      <w:r w:rsidR="008303A4" w:rsidRPr="005202DD">
        <w:rPr>
          <w:bCs/>
          <w:sz w:val="22"/>
          <w:szCs w:val="22"/>
          <w:lang w:val="sr-Cyrl-RS" w:eastAsia="en-US"/>
        </w:rPr>
        <w:t xml:space="preserve">и </w:t>
      </w:r>
      <w:r w:rsidRPr="005202DD">
        <w:rPr>
          <w:bCs/>
          <w:sz w:val="22"/>
          <w:szCs w:val="22"/>
          <w:lang w:val="sr-Cyrl-RS" w:eastAsia="en-US"/>
        </w:rPr>
        <w:t xml:space="preserve">у </w:t>
      </w:r>
      <w:r w:rsidR="008303A4" w:rsidRPr="005202DD">
        <w:rPr>
          <w:bCs/>
          <w:sz w:val="22"/>
          <w:szCs w:val="22"/>
          <w:lang w:val="sr-Cyrl-RS" w:eastAsia="en-US"/>
        </w:rPr>
        <w:t xml:space="preserve">окружењу. </w:t>
      </w:r>
      <w:r w:rsidRPr="005202DD">
        <w:rPr>
          <w:bCs/>
          <w:sz w:val="22"/>
          <w:szCs w:val="22"/>
          <w:lang w:val="sr-Cyrl-RS" w:eastAsia="en-US"/>
        </w:rPr>
        <w:t xml:space="preserve">Тиме се </w:t>
      </w:r>
      <w:proofErr w:type="spellStart"/>
      <w:r w:rsidR="008303A4" w:rsidRPr="005202DD">
        <w:rPr>
          <w:bCs/>
          <w:sz w:val="22"/>
          <w:szCs w:val="22"/>
          <w:lang w:val="sr-Cyrl-RS" w:eastAsia="en-US"/>
        </w:rPr>
        <w:t>обезбјеђује</w:t>
      </w:r>
      <w:proofErr w:type="spellEnd"/>
      <w:r w:rsidR="008303A4" w:rsidRPr="005202DD">
        <w:rPr>
          <w:bCs/>
          <w:sz w:val="22"/>
          <w:szCs w:val="22"/>
          <w:lang w:val="sr-Cyrl-RS" w:eastAsia="en-US"/>
        </w:rPr>
        <w:t xml:space="preserve"> већи степен поузданости у планирању и реализовањ</w:t>
      </w:r>
      <w:r w:rsidR="00417F80">
        <w:rPr>
          <w:bCs/>
          <w:sz w:val="22"/>
          <w:szCs w:val="22"/>
          <w:lang w:val="sr-Cyrl-RS" w:eastAsia="en-US"/>
        </w:rPr>
        <w:t>у буџета, што је посебно</w:t>
      </w:r>
      <w:r w:rsidR="008303A4" w:rsidRPr="005202DD">
        <w:rPr>
          <w:bCs/>
          <w:sz w:val="22"/>
          <w:szCs w:val="22"/>
          <w:lang w:val="sr-Cyrl-RS" w:eastAsia="en-US"/>
        </w:rPr>
        <w:t xml:space="preserve"> у </w:t>
      </w:r>
      <w:r w:rsidR="00417F80">
        <w:rPr>
          <w:bCs/>
          <w:sz w:val="22"/>
          <w:szCs w:val="22"/>
          <w:lang w:val="sr-Cyrl-RS" w:eastAsia="en-US"/>
        </w:rPr>
        <w:t xml:space="preserve">кризним </w:t>
      </w:r>
      <w:r w:rsidR="008303A4" w:rsidRPr="005202DD">
        <w:rPr>
          <w:bCs/>
          <w:sz w:val="22"/>
          <w:szCs w:val="22"/>
          <w:lang w:val="sr-Cyrl-RS" w:eastAsia="en-US"/>
        </w:rPr>
        <w:t>периодима</w:t>
      </w:r>
      <w:r w:rsidRPr="005202DD">
        <w:rPr>
          <w:bCs/>
          <w:sz w:val="22"/>
          <w:szCs w:val="22"/>
          <w:lang w:val="sr-Cyrl-RS" w:eastAsia="en-US"/>
        </w:rPr>
        <w:t>.</w:t>
      </w:r>
      <w:r w:rsidR="00750E83">
        <w:rPr>
          <w:bCs/>
          <w:sz w:val="22"/>
          <w:szCs w:val="22"/>
          <w:lang w:val="sr-Cyrl-RS" w:eastAsia="en-US"/>
        </w:rPr>
        <w:t xml:space="preserve"> У том смислу, треба подржати што хитније усвајање Закона о стратешком планирању и управљању развојем у РС, који се тренутно налази у фази преднацрта.</w:t>
      </w:r>
      <w:r w:rsidR="006731D4">
        <w:rPr>
          <w:bCs/>
          <w:sz w:val="22"/>
          <w:szCs w:val="22"/>
          <w:lang w:val="sr-Cyrl-RS" w:eastAsia="en-US"/>
        </w:rPr>
        <w:t xml:space="preserve"> Исто тако, корисно би било активније се укључити у започети пројекат, </w:t>
      </w:r>
      <w:r w:rsidR="0007221B">
        <w:rPr>
          <w:bCs/>
          <w:sz w:val="22"/>
          <w:szCs w:val="22"/>
          <w:lang w:val="sr-Cyrl-RS" w:eastAsia="en-US"/>
        </w:rPr>
        <w:t>подржан од</w:t>
      </w:r>
      <w:r w:rsidR="006731D4">
        <w:rPr>
          <w:bCs/>
          <w:sz w:val="22"/>
          <w:szCs w:val="22"/>
          <w:lang w:val="sr-Cyrl-RS" w:eastAsia="en-US"/>
        </w:rPr>
        <w:t xml:space="preserve"> међународних донатора, којим </w:t>
      </w:r>
      <w:r w:rsidR="0007221B">
        <w:rPr>
          <w:bCs/>
          <w:sz w:val="22"/>
          <w:szCs w:val="22"/>
          <w:lang w:val="sr-Cyrl-RS" w:eastAsia="en-US"/>
        </w:rPr>
        <w:t>има за циљ развијање</w:t>
      </w:r>
      <w:r w:rsidR="006731D4">
        <w:rPr>
          <w:bCs/>
          <w:sz w:val="22"/>
          <w:szCs w:val="22"/>
          <w:lang w:val="sr-Cyrl-RS" w:eastAsia="en-US"/>
        </w:rPr>
        <w:t xml:space="preserve"> систем</w:t>
      </w:r>
      <w:r w:rsidR="0007221B">
        <w:rPr>
          <w:bCs/>
          <w:sz w:val="22"/>
          <w:szCs w:val="22"/>
          <w:lang w:val="sr-Cyrl-RS" w:eastAsia="en-US"/>
        </w:rPr>
        <w:t>а</w:t>
      </w:r>
      <w:r w:rsidR="006731D4">
        <w:rPr>
          <w:bCs/>
          <w:sz w:val="22"/>
          <w:szCs w:val="22"/>
          <w:lang w:val="sr-Cyrl-RS" w:eastAsia="en-US"/>
        </w:rPr>
        <w:t xml:space="preserve"> </w:t>
      </w:r>
      <w:proofErr w:type="spellStart"/>
      <w:r w:rsidR="006731D4">
        <w:rPr>
          <w:bCs/>
          <w:sz w:val="22"/>
          <w:szCs w:val="22"/>
          <w:lang w:val="sr-Cyrl-RS" w:eastAsia="en-US"/>
        </w:rPr>
        <w:t>партиципативног</w:t>
      </w:r>
      <w:proofErr w:type="spellEnd"/>
      <w:r w:rsidR="006731D4">
        <w:rPr>
          <w:bCs/>
          <w:sz w:val="22"/>
          <w:szCs w:val="22"/>
          <w:lang w:val="sr-Cyrl-RS" w:eastAsia="en-US"/>
        </w:rPr>
        <w:t xml:space="preserve"> буџетирања на свим нивоима БиХ</w:t>
      </w:r>
      <w:r w:rsidR="0007221B">
        <w:rPr>
          <w:bCs/>
          <w:sz w:val="22"/>
          <w:szCs w:val="22"/>
          <w:lang w:val="sr-Cyrl-RS" w:eastAsia="en-US"/>
        </w:rPr>
        <w:t>.</w:t>
      </w:r>
    </w:p>
    <w:p w14:paraId="3399B5F9" w14:textId="77777777" w:rsidR="009674D8" w:rsidRDefault="009674D8" w:rsidP="005202DD">
      <w:pPr>
        <w:tabs>
          <w:tab w:val="left" w:pos="709"/>
          <w:tab w:val="left" w:pos="1530"/>
        </w:tabs>
        <w:spacing w:line="276" w:lineRule="auto"/>
        <w:ind w:firstLine="360"/>
        <w:jc w:val="both"/>
        <w:rPr>
          <w:bCs/>
          <w:sz w:val="22"/>
          <w:szCs w:val="22"/>
          <w:lang w:val="sr-Cyrl-RS" w:eastAsia="en-US"/>
        </w:rPr>
      </w:pPr>
    </w:p>
    <w:p w14:paraId="2AE6DEEF" w14:textId="77777777" w:rsidR="007E2BAD" w:rsidRPr="005202DD" w:rsidRDefault="007E2BAD" w:rsidP="005202DD">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sidRPr="005202DD">
        <w:rPr>
          <w:bCs/>
          <w:sz w:val="22"/>
          <w:szCs w:val="22"/>
          <w:lang w:val="sr-Cyrl-RS" w:eastAsia="en-US"/>
        </w:rPr>
        <w:t xml:space="preserve">Постојање стратешких докумената (стратегија интегрисаног развоја, план капиталних инвестиција и сл.), може се показати се као добар одговор на кризне ситуације, јер се побољшава планирање и </w:t>
      </w:r>
      <w:r w:rsidRPr="005202DD">
        <w:rPr>
          <w:bCs/>
          <w:sz w:val="22"/>
          <w:szCs w:val="22"/>
          <w:lang w:val="sr-Cyrl-RS" w:eastAsia="en-US"/>
        </w:rPr>
        <w:lastRenderedPageBreak/>
        <w:t>реализација буџета</w:t>
      </w:r>
      <w:r w:rsidR="005D2CFE">
        <w:rPr>
          <w:bCs/>
          <w:sz w:val="22"/>
          <w:szCs w:val="22"/>
          <w:lang w:val="sr-Cyrl-RS" w:eastAsia="en-US"/>
        </w:rPr>
        <w:t>, у складу са утврђеним развојним и другим циљевима</w:t>
      </w:r>
      <w:r w:rsidRPr="005202DD">
        <w:rPr>
          <w:bCs/>
          <w:sz w:val="22"/>
          <w:szCs w:val="22"/>
          <w:lang w:val="sr-Cyrl-RS" w:eastAsia="en-US"/>
        </w:rPr>
        <w:t xml:space="preserve"> и </w:t>
      </w:r>
      <w:proofErr w:type="spellStart"/>
      <w:r w:rsidRPr="005202DD">
        <w:rPr>
          <w:bCs/>
          <w:sz w:val="22"/>
          <w:szCs w:val="22"/>
          <w:lang w:val="sr-Cyrl-RS" w:eastAsia="en-US"/>
        </w:rPr>
        <w:t>обезбјеђују</w:t>
      </w:r>
      <w:proofErr w:type="spellEnd"/>
      <w:r w:rsidRPr="005202DD">
        <w:rPr>
          <w:bCs/>
          <w:sz w:val="22"/>
          <w:szCs w:val="22"/>
          <w:lang w:val="sr-Cyrl-RS" w:eastAsia="en-US"/>
        </w:rPr>
        <w:t xml:space="preserve"> се механизми за балансирано утврђивање приоритета. </w:t>
      </w:r>
      <w:r w:rsidR="00A7550D">
        <w:rPr>
          <w:bCs/>
          <w:sz w:val="22"/>
          <w:szCs w:val="22"/>
          <w:lang w:val="sr-Cyrl-RS" w:eastAsia="en-US"/>
        </w:rPr>
        <w:t>Све анкетиране</w:t>
      </w:r>
      <w:r w:rsidR="00C53F9E">
        <w:rPr>
          <w:bCs/>
          <w:sz w:val="22"/>
          <w:szCs w:val="22"/>
          <w:lang w:val="sr-Cyrl-RS" w:eastAsia="en-US"/>
        </w:rPr>
        <w:t xml:space="preserve"> ЈЛС</w:t>
      </w:r>
      <w:r w:rsidRPr="005202DD">
        <w:rPr>
          <w:bCs/>
          <w:sz w:val="22"/>
          <w:szCs w:val="22"/>
          <w:lang w:val="sr-Cyrl-RS" w:eastAsia="en-US"/>
        </w:rPr>
        <w:t xml:space="preserve"> </w:t>
      </w:r>
      <w:r w:rsidR="00A7550D">
        <w:rPr>
          <w:bCs/>
          <w:sz w:val="22"/>
          <w:szCs w:val="22"/>
          <w:lang w:val="sr-Cyrl-RS" w:eastAsia="en-US"/>
        </w:rPr>
        <w:t xml:space="preserve">су </w:t>
      </w:r>
      <w:r w:rsidRPr="005202DD">
        <w:rPr>
          <w:bCs/>
          <w:sz w:val="22"/>
          <w:szCs w:val="22"/>
          <w:lang w:val="sr-Cyrl-RS" w:eastAsia="en-US"/>
        </w:rPr>
        <w:t>се изјасниле да донос</w:t>
      </w:r>
      <w:r w:rsidR="009451E0">
        <w:rPr>
          <w:bCs/>
          <w:sz w:val="22"/>
          <w:szCs w:val="22"/>
          <w:lang w:val="sr-Cyrl-RS" w:eastAsia="en-US"/>
        </w:rPr>
        <w:t>е ПКИ</w:t>
      </w:r>
      <w:r w:rsidR="00A7550D">
        <w:rPr>
          <w:bCs/>
          <w:sz w:val="22"/>
          <w:szCs w:val="22"/>
          <w:lang w:val="sr-Cyrl-RS" w:eastAsia="en-US"/>
        </w:rPr>
        <w:t xml:space="preserve"> (у различитим облицима)</w:t>
      </w:r>
      <w:r w:rsidR="009451E0">
        <w:rPr>
          <w:bCs/>
          <w:sz w:val="22"/>
          <w:szCs w:val="22"/>
          <w:lang w:val="sr-Cyrl-RS" w:eastAsia="en-US"/>
        </w:rPr>
        <w:t>. Али је индикативно да ни</w:t>
      </w:r>
      <w:r w:rsidRPr="005202DD">
        <w:rPr>
          <w:bCs/>
          <w:sz w:val="22"/>
          <w:szCs w:val="22"/>
          <w:lang w:val="sr-Cyrl-RS" w:eastAsia="en-US"/>
        </w:rPr>
        <w:t xml:space="preserve">једна није извршила </w:t>
      </w:r>
      <w:r w:rsidR="00A7550D">
        <w:rPr>
          <w:bCs/>
          <w:sz w:val="22"/>
          <w:szCs w:val="22"/>
          <w:lang w:val="sr-Cyrl-RS" w:eastAsia="en-US"/>
        </w:rPr>
        <w:t xml:space="preserve">посебно </w:t>
      </w:r>
      <w:r w:rsidRPr="005202DD">
        <w:rPr>
          <w:bCs/>
          <w:sz w:val="22"/>
          <w:szCs w:val="22"/>
          <w:lang w:val="sr-Cyrl-RS" w:eastAsia="en-US"/>
        </w:rPr>
        <w:t>ревидирање овог документа</w:t>
      </w:r>
      <w:r w:rsidR="0038029B">
        <w:rPr>
          <w:bCs/>
          <w:sz w:val="22"/>
          <w:szCs w:val="22"/>
          <w:lang w:val="sr-Cyrl-RS" w:eastAsia="en-US"/>
        </w:rPr>
        <w:t xml:space="preserve"> (код неких је у току)</w:t>
      </w:r>
      <w:r w:rsidRPr="005202DD">
        <w:rPr>
          <w:bCs/>
          <w:sz w:val="22"/>
          <w:szCs w:val="22"/>
          <w:lang w:val="sr-Cyrl-RS" w:eastAsia="en-US"/>
        </w:rPr>
        <w:t xml:space="preserve">, иако је евидентно да ће криза негативно утицати на могућност реализације </w:t>
      </w:r>
      <w:r w:rsidR="00A7550D">
        <w:rPr>
          <w:bCs/>
          <w:sz w:val="22"/>
          <w:szCs w:val="22"/>
          <w:lang w:val="sr-Cyrl-RS" w:eastAsia="en-US"/>
        </w:rPr>
        <w:t>капиталних инвестиција</w:t>
      </w:r>
      <w:r w:rsidR="005D2CFE">
        <w:rPr>
          <w:bCs/>
          <w:sz w:val="22"/>
          <w:szCs w:val="22"/>
          <w:lang w:val="sr-Cyrl-RS" w:eastAsia="en-US"/>
        </w:rPr>
        <w:t>,</w:t>
      </w:r>
      <w:r w:rsidRPr="005202DD">
        <w:rPr>
          <w:bCs/>
          <w:sz w:val="22"/>
          <w:szCs w:val="22"/>
          <w:lang w:val="sr-Cyrl-RS" w:eastAsia="en-US"/>
        </w:rPr>
        <w:t xml:space="preserve"> како по обиму, тако и по структури. Чини се д</w:t>
      </w:r>
      <w:r w:rsidR="00A7550D">
        <w:rPr>
          <w:bCs/>
          <w:sz w:val="22"/>
          <w:szCs w:val="22"/>
          <w:lang w:val="sr-Cyrl-RS" w:eastAsia="en-US"/>
        </w:rPr>
        <w:t>а један број</w:t>
      </w:r>
      <w:r w:rsidRPr="005202DD">
        <w:rPr>
          <w:bCs/>
          <w:sz w:val="22"/>
          <w:szCs w:val="22"/>
          <w:lang w:val="sr-Cyrl-RS" w:eastAsia="en-US"/>
        </w:rPr>
        <w:t xml:space="preserve"> ЈЛС у РС доноси план капитални</w:t>
      </w:r>
      <w:r w:rsidR="00011A72">
        <w:rPr>
          <w:bCs/>
          <w:sz w:val="22"/>
          <w:szCs w:val="22"/>
          <w:lang w:val="sr-Cyrl-RS" w:eastAsia="en-US"/>
        </w:rPr>
        <w:t>х</w:t>
      </w:r>
      <w:r w:rsidRPr="005202DD">
        <w:rPr>
          <w:bCs/>
          <w:sz w:val="22"/>
          <w:szCs w:val="22"/>
          <w:lang w:val="sr-Cyrl-RS" w:eastAsia="en-US"/>
        </w:rPr>
        <w:t xml:space="preserve"> инвестиција више </w:t>
      </w:r>
      <w:r w:rsidR="00A7550D">
        <w:rPr>
          <w:bCs/>
          <w:sz w:val="22"/>
          <w:szCs w:val="22"/>
          <w:lang w:val="sr-Cyrl-RS" w:eastAsia="en-US"/>
        </w:rPr>
        <w:t>у формалном смислу (нпр.,</w:t>
      </w:r>
      <w:r w:rsidRPr="005202DD">
        <w:rPr>
          <w:bCs/>
          <w:sz w:val="22"/>
          <w:szCs w:val="22"/>
          <w:lang w:val="sr-Cyrl-RS" w:eastAsia="en-US"/>
        </w:rPr>
        <w:t xml:space="preserve"> да задовољи обавезу из </w:t>
      </w:r>
      <w:r w:rsidRPr="005202DD">
        <w:rPr>
          <w:bCs/>
          <w:sz w:val="22"/>
          <w:szCs w:val="22"/>
          <w:lang w:val="en-US" w:eastAsia="en-US"/>
        </w:rPr>
        <w:t>BFC</w:t>
      </w:r>
      <w:r w:rsidRPr="005202DD">
        <w:rPr>
          <w:bCs/>
          <w:sz w:val="22"/>
          <w:szCs w:val="22"/>
          <w:lang w:val="sr-Cyrl-RS" w:eastAsia="en-US"/>
        </w:rPr>
        <w:t xml:space="preserve"> сертификације</w:t>
      </w:r>
      <w:r w:rsidRPr="00BC57D1">
        <w:rPr>
          <w:rStyle w:val="FootnoteReference"/>
          <w:bCs/>
          <w:sz w:val="22"/>
          <w:szCs w:val="22"/>
          <w:lang w:val="sr-Cyrl-RS" w:eastAsia="en-US"/>
        </w:rPr>
        <w:footnoteReference w:id="21"/>
      </w:r>
      <w:r w:rsidRPr="005202DD">
        <w:rPr>
          <w:bCs/>
          <w:sz w:val="22"/>
          <w:szCs w:val="22"/>
          <w:lang w:val="sr-Cyrl-RS" w:eastAsia="en-US"/>
        </w:rPr>
        <w:t>), а ма</w:t>
      </w:r>
      <w:r w:rsidR="00D21A7D">
        <w:rPr>
          <w:bCs/>
          <w:sz w:val="22"/>
          <w:szCs w:val="22"/>
          <w:lang w:val="sr-Cyrl-RS" w:eastAsia="en-US"/>
        </w:rPr>
        <w:t xml:space="preserve">ње као </w:t>
      </w:r>
      <w:r w:rsidR="00A7550D">
        <w:rPr>
          <w:bCs/>
          <w:sz w:val="22"/>
          <w:szCs w:val="22"/>
          <w:lang w:val="sr-Cyrl-RS" w:eastAsia="en-US"/>
        </w:rPr>
        <w:t>функционални</w:t>
      </w:r>
      <w:r w:rsidR="00D21A7D">
        <w:rPr>
          <w:bCs/>
          <w:sz w:val="22"/>
          <w:szCs w:val="22"/>
          <w:lang w:val="sr-Cyrl-RS" w:eastAsia="en-US"/>
        </w:rPr>
        <w:t xml:space="preserve"> </w:t>
      </w:r>
      <w:r w:rsidRPr="005202DD">
        <w:rPr>
          <w:bCs/>
          <w:sz w:val="22"/>
          <w:szCs w:val="22"/>
          <w:lang w:val="sr-Cyrl-RS" w:eastAsia="en-US"/>
        </w:rPr>
        <w:t>плански</w:t>
      </w:r>
      <w:r w:rsidR="00D21A7D">
        <w:rPr>
          <w:bCs/>
          <w:sz w:val="22"/>
          <w:szCs w:val="22"/>
          <w:lang w:val="sr-Cyrl-RS" w:eastAsia="en-US"/>
        </w:rPr>
        <w:t xml:space="preserve"> документ</w:t>
      </w:r>
      <w:r w:rsidRPr="005202DD">
        <w:rPr>
          <w:bCs/>
          <w:sz w:val="22"/>
          <w:szCs w:val="22"/>
          <w:lang w:val="sr-Cyrl-RS" w:eastAsia="en-US"/>
        </w:rPr>
        <w:t xml:space="preserve"> и оперативни инструмент</w:t>
      </w:r>
      <w:r w:rsidR="00D21A7D">
        <w:rPr>
          <w:bCs/>
          <w:sz w:val="22"/>
          <w:szCs w:val="22"/>
          <w:lang w:val="sr-Cyrl-RS" w:eastAsia="en-US"/>
        </w:rPr>
        <w:t xml:space="preserve"> за реализацију буџета. С друге стране, на </w:t>
      </w:r>
      <w:proofErr w:type="spellStart"/>
      <w:r w:rsidR="00D21A7D">
        <w:rPr>
          <w:bCs/>
          <w:sz w:val="22"/>
          <w:szCs w:val="22"/>
          <w:lang w:val="sr-Cyrl-RS" w:eastAsia="en-US"/>
        </w:rPr>
        <w:t>примјеру</w:t>
      </w:r>
      <w:proofErr w:type="spellEnd"/>
      <w:r w:rsidR="00D21A7D">
        <w:rPr>
          <w:bCs/>
          <w:sz w:val="22"/>
          <w:szCs w:val="22"/>
          <w:lang w:val="sr-Cyrl-RS" w:eastAsia="en-US"/>
        </w:rPr>
        <w:t xml:space="preserve"> </w:t>
      </w:r>
      <w:r w:rsidRPr="005202DD">
        <w:rPr>
          <w:bCs/>
          <w:sz w:val="22"/>
          <w:szCs w:val="22"/>
          <w:lang w:val="sr-Cyrl-RS" w:eastAsia="en-US"/>
        </w:rPr>
        <w:t xml:space="preserve"> Бање Луке,</w:t>
      </w:r>
      <w:r w:rsidR="00D21A7D">
        <w:rPr>
          <w:bCs/>
          <w:sz w:val="22"/>
          <w:szCs w:val="22"/>
          <w:lang w:val="sr-Cyrl-RS" w:eastAsia="en-US"/>
        </w:rPr>
        <w:t xml:space="preserve"> у протеклом периоду</w:t>
      </w:r>
      <w:r w:rsidRPr="005202DD">
        <w:rPr>
          <w:bCs/>
          <w:sz w:val="22"/>
          <w:szCs w:val="22"/>
          <w:lang w:val="sr-Cyrl-RS" w:eastAsia="en-US"/>
        </w:rPr>
        <w:t xml:space="preserve"> показало се да је тешко успоставити адекватну везу између пл</w:t>
      </w:r>
      <w:r w:rsidR="00011A72">
        <w:rPr>
          <w:bCs/>
          <w:sz w:val="22"/>
          <w:szCs w:val="22"/>
          <w:lang w:val="sr-Cyrl-RS" w:eastAsia="en-US"/>
        </w:rPr>
        <w:t>анираног буџета и ПКИ</w:t>
      </w:r>
      <w:r w:rsidRPr="005202DD">
        <w:rPr>
          <w:bCs/>
          <w:sz w:val="22"/>
          <w:szCs w:val="22"/>
          <w:lang w:val="sr-Cyrl-RS" w:eastAsia="en-US"/>
        </w:rPr>
        <w:t xml:space="preserve">, те се дешава да буџет има </w:t>
      </w:r>
      <w:r w:rsidR="00D21A7D">
        <w:rPr>
          <w:bCs/>
          <w:sz w:val="22"/>
          <w:szCs w:val="22"/>
          <w:lang w:val="sr-Cyrl-RS" w:eastAsia="en-US"/>
        </w:rPr>
        <w:t>различит</w:t>
      </w:r>
      <w:r w:rsidRPr="005202DD">
        <w:rPr>
          <w:bCs/>
          <w:sz w:val="22"/>
          <w:szCs w:val="22"/>
          <w:lang w:val="sr-Cyrl-RS" w:eastAsia="en-US"/>
        </w:rPr>
        <w:t xml:space="preserve"> планиран износ за капитална улагања него што је то у ПКИ (првенствено, из властитих средстава), у једној буџетској години.</w:t>
      </w:r>
    </w:p>
    <w:p w14:paraId="7603499E" w14:textId="77777777" w:rsidR="007E2BAD" w:rsidRPr="009674D8" w:rsidRDefault="007E2BAD" w:rsidP="005202DD">
      <w:pPr>
        <w:tabs>
          <w:tab w:val="left" w:pos="709"/>
          <w:tab w:val="left" w:pos="1530"/>
        </w:tabs>
        <w:spacing w:line="276" w:lineRule="auto"/>
        <w:ind w:firstLine="360"/>
        <w:jc w:val="both"/>
        <w:rPr>
          <w:bCs/>
          <w:sz w:val="22"/>
          <w:szCs w:val="22"/>
          <w:lang w:val="sr-Cyrl-RS" w:eastAsia="en-US"/>
        </w:rPr>
      </w:pPr>
    </w:p>
    <w:p w14:paraId="772C2795" w14:textId="77777777" w:rsidR="000F0A3B" w:rsidRPr="005202DD" w:rsidRDefault="002177E4" w:rsidP="005202DD">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Pr>
          <w:bCs/>
          <w:sz w:val="22"/>
          <w:szCs w:val="22"/>
          <w:lang w:val="sr-Cyrl-RS" w:eastAsia="en-US"/>
        </w:rPr>
        <w:t>Треба рећи да је криза показала да је</w:t>
      </w:r>
      <w:r w:rsidR="00417F80">
        <w:rPr>
          <w:bCs/>
          <w:sz w:val="22"/>
          <w:szCs w:val="22"/>
          <w:lang w:val="sr-Cyrl-RS" w:eastAsia="en-US"/>
        </w:rPr>
        <w:t xml:space="preserve"> неопходно јачати извор</w:t>
      </w:r>
      <w:r>
        <w:rPr>
          <w:bCs/>
          <w:sz w:val="22"/>
          <w:szCs w:val="22"/>
          <w:lang w:val="sr-Cyrl-RS" w:eastAsia="en-US"/>
        </w:rPr>
        <w:t>н</w:t>
      </w:r>
      <w:r w:rsidR="00417F80">
        <w:rPr>
          <w:bCs/>
          <w:sz w:val="22"/>
          <w:szCs w:val="22"/>
          <w:lang w:val="sr-Cyrl-RS" w:eastAsia="en-US"/>
        </w:rPr>
        <w:t>е</w:t>
      </w:r>
      <w:r>
        <w:rPr>
          <w:bCs/>
          <w:sz w:val="22"/>
          <w:szCs w:val="22"/>
          <w:lang w:val="sr-Cyrl-RS" w:eastAsia="en-US"/>
        </w:rPr>
        <w:t xml:space="preserve"> приходе ЈЛС, односно, повећати степен фискалне аутономије. </w:t>
      </w:r>
      <w:r w:rsidR="00727935">
        <w:rPr>
          <w:bCs/>
          <w:sz w:val="22"/>
          <w:szCs w:val="22"/>
          <w:lang w:val="sr-Cyrl-RS" w:eastAsia="en-US"/>
        </w:rPr>
        <w:t xml:space="preserve">У овом истраживању посебно се прикупљени подаци о свим активностима које се проводе у вези са порезом на непокретности. </w:t>
      </w:r>
      <w:r w:rsidR="009674D8" w:rsidRPr="005202DD">
        <w:rPr>
          <w:bCs/>
          <w:sz w:val="22"/>
          <w:szCs w:val="22"/>
          <w:lang w:val="sr-Cyrl-RS" w:eastAsia="en-US"/>
        </w:rPr>
        <w:t xml:space="preserve">Ниво прихода од пореза на непокретности </w:t>
      </w:r>
      <w:r w:rsidR="00A352DA" w:rsidRPr="005202DD">
        <w:rPr>
          <w:bCs/>
          <w:sz w:val="22"/>
          <w:szCs w:val="22"/>
          <w:lang w:val="sr-Cyrl-RS" w:eastAsia="en-US"/>
        </w:rPr>
        <w:t>к</w:t>
      </w:r>
      <w:r w:rsidR="009674D8" w:rsidRPr="005202DD">
        <w:rPr>
          <w:bCs/>
          <w:sz w:val="22"/>
          <w:szCs w:val="22"/>
          <w:lang w:val="sr-Cyrl-RS" w:eastAsia="en-US"/>
        </w:rPr>
        <w:t xml:space="preserve">од анализираних 7 ЈЛС углавном није задовољавајући, мада постоји вишегодишњи тренд раста.  </w:t>
      </w:r>
      <w:r w:rsidR="00FD135F" w:rsidRPr="005202DD">
        <w:rPr>
          <w:bCs/>
          <w:sz w:val="22"/>
          <w:szCs w:val="22"/>
          <w:lang w:val="sr-Cyrl-RS" w:eastAsia="en-US"/>
        </w:rPr>
        <w:t xml:space="preserve">Имајући у виду да се ради о изворном приходу ЈЛС, потребно </w:t>
      </w:r>
      <w:r w:rsidR="00822D39">
        <w:rPr>
          <w:bCs/>
          <w:sz w:val="22"/>
          <w:szCs w:val="22"/>
          <w:lang w:val="sr-Cyrl-RS" w:eastAsia="en-US"/>
        </w:rPr>
        <w:t xml:space="preserve">је наставити активности покренуте почетком 2020. године од стране </w:t>
      </w:r>
      <w:r w:rsidR="00FD135F" w:rsidRPr="005202DD">
        <w:rPr>
          <w:bCs/>
          <w:sz w:val="22"/>
          <w:szCs w:val="22"/>
          <w:lang w:val="sr-Cyrl-RS" w:eastAsia="en-US"/>
        </w:rPr>
        <w:t>М</w:t>
      </w:r>
      <w:r w:rsidR="00822D39">
        <w:rPr>
          <w:bCs/>
          <w:sz w:val="22"/>
          <w:szCs w:val="22"/>
          <w:lang w:val="sr-Cyrl-RS" w:eastAsia="en-US"/>
        </w:rPr>
        <w:t>инистарства финансија РС</w:t>
      </w:r>
      <w:r w:rsidR="00417F80">
        <w:rPr>
          <w:bCs/>
          <w:sz w:val="22"/>
          <w:szCs w:val="22"/>
          <w:lang w:val="sr-Cyrl-RS" w:eastAsia="en-US"/>
        </w:rPr>
        <w:t xml:space="preserve"> (формирана је радна група)</w:t>
      </w:r>
      <w:r w:rsidR="00822D39">
        <w:rPr>
          <w:bCs/>
          <w:sz w:val="22"/>
          <w:szCs w:val="22"/>
          <w:lang w:val="sr-Cyrl-RS" w:eastAsia="en-US"/>
        </w:rPr>
        <w:t>, у које</w:t>
      </w:r>
      <w:r w:rsidR="00FD135F" w:rsidRPr="005202DD">
        <w:rPr>
          <w:bCs/>
          <w:sz w:val="22"/>
          <w:szCs w:val="22"/>
          <w:lang w:val="sr-Cyrl-RS" w:eastAsia="en-US"/>
        </w:rPr>
        <w:t xml:space="preserve"> су укључене све ЈЛС, а с циљем повећање обухвата обвезника, а тиме и прихода од ове врсте. Такође, РУГИП</w:t>
      </w:r>
      <w:r w:rsidR="009674D8" w:rsidRPr="005202DD">
        <w:rPr>
          <w:bCs/>
          <w:sz w:val="22"/>
          <w:szCs w:val="22"/>
          <w:lang w:val="sr-Cyrl-RS" w:eastAsia="en-US"/>
        </w:rPr>
        <w:t>П</w:t>
      </w:r>
      <w:r w:rsidR="00FD135F" w:rsidRPr="005202DD">
        <w:rPr>
          <w:bCs/>
          <w:sz w:val="22"/>
          <w:szCs w:val="22"/>
          <w:lang w:val="sr-Cyrl-RS" w:eastAsia="en-US"/>
        </w:rPr>
        <w:t xml:space="preserve">, уз међународну техничку помоћ, проводи пројекат </w:t>
      </w:r>
      <w:r w:rsidR="00FD135F" w:rsidRPr="005202DD">
        <w:rPr>
          <w:bCs/>
          <w:sz w:val="22"/>
          <w:szCs w:val="22"/>
          <w:lang w:val="en-US" w:eastAsia="en-US"/>
        </w:rPr>
        <w:t>CILAP</w:t>
      </w:r>
      <w:r w:rsidR="00FD135F" w:rsidRPr="005202DD">
        <w:rPr>
          <w:bCs/>
          <w:sz w:val="22"/>
          <w:szCs w:val="22"/>
          <w:lang w:val="sr-Cyrl-RS" w:eastAsia="en-US"/>
        </w:rPr>
        <w:t>, а ради се о пројекту масовног поп</w:t>
      </w:r>
      <w:r>
        <w:rPr>
          <w:bCs/>
          <w:sz w:val="22"/>
          <w:szCs w:val="22"/>
          <w:lang w:val="sr-Cyrl-RS" w:eastAsia="en-US"/>
        </w:rPr>
        <w:t xml:space="preserve">иса и </w:t>
      </w:r>
      <w:proofErr w:type="spellStart"/>
      <w:r>
        <w:rPr>
          <w:bCs/>
          <w:sz w:val="22"/>
          <w:szCs w:val="22"/>
          <w:lang w:val="sr-Cyrl-RS" w:eastAsia="en-US"/>
        </w:rPr>
        <w:t>процјене</w:t>
      </w:r>
      <w:proofErr w:type="spellEnd"/>
      <w:r>
        <w:rPr>
          <w:bCs/>
          <w:sz w:val="22"/>
          <w:szCs w:val="22"/>
          <w:lang w:val="sr-Cyrl-RS" w:eastAsia="en-US"/>
        </w:rPr>
        <w:t xml:space="preserve"> </w:t>
      </w:r>
      <w:proofErr w:type="spellStart"/>
      <w:r>
        <w:rPr>
          <w:bCs/>
          <w:sz w:val="22"/>
          <w:szCs w:val="22"/>
          <w:lang w:val="sr-Cyrl-RS" w:eastAsia="en-US"/>
        </w:rPr>
        <w:t>вриједности</w:t>
      </w:r>
      <w:proofErr w:type="spellEnd"/>
      <w:r>
        <w:rPr>
          <w:bCs/>
          <w:sz w:val="22"/>
          <w:szCs w:val="22"/>
          <w:lang w:val="sr-Cyrl-RS" w:eastAsia="en-US"/>
        </w:rPr>
        <w:t xml:space="preserve"> непо</w:t>
      </w:r>
      <w:r w:rsidR="00FD135F" w:rsidRPr="005202DD">
        <w:rPr>
          <w:bCs/>
          <w:sz w:val="22"/>
          <w:szCs w:val="22"/>
          <w:lang w:val="sr-Cyrl-RS" w:eastAsia="en-US"/>
        </w:rPr>
        <w:t>к</w:t>
      </w:r>
      <w:r>
        <w:rPr>
          <w:bCs/>
          <w:sz w:val="22"/>
          <w:szCs w:val="22"/>
          <w:lang w:val="sr-Cyrl-RS" w:eastAsia="en-US"/>
        </w:rPr>
        <w:t>р</w:t>
      </w:r>
      <w:r w:rsidR="00FD135F" w:rsidRPr="005202DD">
        <w:rPr>
          <w:bCs/>
          <w:sz w:val="22"/>
          <w:szCs w:val="22"/>
          <w:lang w:val="sr-Cyrl-RS" w:eastAsia="en-US"/>
        </w:rPr>
        <w:t>етности. У првој фази укључени су Бања Лука и Лакташи.</w:t>
      </w:r>
      <w:r w:rsidR="0035162F" w:rsidRPr="005202DD">
        <w:rPr>
          <w:bCs/>
          <w:sz w:val="22"/>
          <w:szCs w:val="22"/>
          <w:lang w:val="sr-Cyrl-RS" w:eastAsia="en-US"/>
        </w:rPr>
        <w:t xml:space="preserve"> У оба случаја, р</w:t>
      </w:r>
      <w:r w:rsidR="00FD135F" w:rsidRPr="005202DD">
        <w:rPr>
          <w:bCs/>
          <w:sz w:val="22"/>
          <w:szCs w:val="22"/>
          <w:lang w:val="sr-Cyrl-RS" w:eastAsia="en-US"/>
        </w:rPr>
        <w:t xml:space="preserve">езултати </w:t>
      </w:r>
      <w:r w:rsidR="0035162F" w:rsidRPr="005202DD">
        <w:rPr>
          <w:bCs/>
          <w:sz w:val="22"/>
          <w:szCs w:val="22"/>
          <w:lang w:val="sr-Cyrl-RS" w:eastAsia="en-US"/>
        </w:rPr>
        <w:t>би требали</w:t>
      </w:r>
      <w:r w:rsidR="00FD135F" w:rsidRPr="005202DD">
        <w:rPr>
          <w:bCs/>
          <w:sz w:val="22"/>
          <w:szCs w:val="22"/>
          <w:lang w:val="sr-Cyrl-RS" w:eastAsia="en-US"/>
        </w:rPr>
        <w:t xml:space="preserve"> да иницирају </w:t>
      </w:r>
      <w:proofErr w:type="spellStart"/>
      <w:r w:rsidR="00FD135F" w:rsidRPr="005202DD">
        <w:rPr>
          <w:bCs/>
          <w:sz w:val="22"/>
          <w:szCs w:val="22"/>
          <w:lang w:val="sr-Cyrl-RS" w:eastAsia="en-US"/>
        </w:rPr>
        <w:t>измјену</w:t>
      </w:r>
      <w:proofErr w:type="spellEnd"/>
      <w:r w:rsidR="00FD135F" w:rsidRPr="005202DD">
        <w:rPr>
          <w:bCs/>
          <w:sz w:val="22"/>
          <w:szCs w:val="22"/>
          <w:lang w:val="sr-Cyrl-RS" w:eastAsia="en-US"/>
        </w:rPr>
        <w:t xml:space="preserve"> прописа о порезу на непокретности. Тек након </w:t>
      </w:r>
      <w:proofErr w:type="spellStart"/>
      <w:r w:rsidR="00FD135F" w:rsidRPr="005202DD">
        <w:rPr>
          <w:bCs/>
          <w:sz w:val="22"/>
          <w:szCs w:val="22"/>
          <w:lang w:val="sr-Cyrl-RS" w:eastAsia="en-US"/>
        </w:rPr>
        <w:t>измјене</w:t>
      </w:r>
      <w:proofErr w:type="spellEnd"/>
      <w:r w:rsidR="00FD135F" w:rsidRPr="005202DD">
        <w:rPr>
          <w:bCs/>
          <w:sz w:val="22"/>
          <w:szCs w:val="22"/>
          <w:lang w:val="sr-Cyrl-RS" w:eastAsia="en-US"/>
        </w:rPr>
        <w:t xml:space="preserve"> прописа из ове области, повезив</w:t>
      </w:r>
      <w:r w:rsidR="0035162F" w:rsidRPr="005202DD">
        <w:rPr>
          <w:bCs/>
          <w:sz w:val="22"/>
          <w:szCs w:val="22"/>
          <w:lang w:val="sr-Cyrl-RS" w:eastAsia="en-US"/>
        </w:rPr>
        <w:t>ања базе података РУГИПП и Фиск</w:t>
      </w:r>
      <w:r w:rsidR="00FD135F" w:rsidRPr="005202DD">
        <w:rPr>
          <w:bCs/>
          <w:sz w:val="22"/>
          <w:szCs w:val="22"/>
          <w:lang w:val="sr-Cyrl-RS" w:eastAsia="en-US"/>
        </w:rPr>
        <w:t>а</w:t>
      </w:r>
      <w:r w:rsidR="0035162F" w:rsidRPr="005202DD">
        <w:rPr>
          <w:bCs/>
          <w:sz w:val="22"/>
          <w:szCs w:val="22"/>
          <w:lang w:val="sr-Cyrl-RS" w:eastAsia="en-US"/>
        </w:rPr>
        <w:t>л</w:t>
      </w:r>
      <w:r w:rsidR="00FD135F" w:rsidRPr="005202DD">
        <w:rPr>
          <w:bCs/>
          <w:sz w:val="22"/>
          <w:szCs w:val="22"/>
          <w:lang w:val="sr-Cyrl-RS" w:eastAsia="en-US"/>
        </w:rPr>
        <w:t>ног регистр</w:t>
      </w:r>
      <w:r w:rsidR="003424E3" w:rsidRPr="005202DD">
        <w:rPr>
          <w:bCs/>
          <w:sz w:val="22"/>
          <w:szCs w:val="22"/>
          <w:lang w:val="sr-Cyrl-RS" w:eastAsia="en-US"/>
        </w:rPr>
        <w:t xml:space="preserve">а код ПУ РС и </w:t>
      </w:r>
      <w:proofErr w:type="spellStart"/>
      <w:r w:rsidR="003424E3" w:rsidRPr="005202DD">
        <w:rPr>
          <w:bCs/>
          <w:sz w:val="22"/>
          <w:szCs w:val="22"/>
          <w:lang w:val="sr-Cyrl-RS" w:eastAsia="en-US"/>
        </w:rPr>
        <w:t>обезбјеђења</w:t>
      </w:r>
      <w:proofErr w:type="spellEnd"/>
      <w:r w:rsidR="003424E3" w:rsidRPr="005202DD">
        <w:rPr>
          <w:bCs/>
          <w:sz w:val="22"/>
          <w:szCs w:val="22"/>
          <w:lang w:val="sr-Cyrl-RS" w:eastAsia="en-US"/>
        </w:rPr>
        <w:t xml:space="preserve"> софтв</w:t>
      </w:r>
      <w:r w:rsidR="00FD135F" w:rsidRPr="005202DD">
        <w:rPr>
          <w:bCs/>
          <w:sz w:val="22"/>
          <w:szCs w:val="22"/>
          <w:lang w:val="sr-Cyrl-RS" w:eastAsia="en-US"/>
        </w:rPr>
        <w:t>е</w:t>
      </w:r>
      <w:r w:rsidR="003424E3" w:rsidRPr="005202DD">
        <w:rPr>
          <w:bCs/>
          <w:sz w:val="22"/>
          <w:szCs w:val="22"/>
          <w:lang w:val="sr-Cyrl-RS" w:eastAsia="en-US"/>
        </w:rPr>
        <w:t>р</w:t>
      </w:r>
      <w:r w:rsidR="00FD135F" w:rsidRPr="005202DD">
        <w:rPr>
          <w:bCs/>
          <w:sz w:val="22"/>
          <w:szCs w:val="22"/>
          <w:lang w:val="sr-Cyrl-RS" w:eastAsia="en-US"/>
        </w:rPr>
        <w:t xml:space="preserve">ске и друге подршке, биће реално да се подржи </w:t>
      </w:r>
      <w:proofErr w:type="spellStart"/>
      <w:r w:rsidR="00FD135F" w:rsidRPr="005202DD">
        <w:rPr>
          <w:bCs/>
          <w:sz w:val="22"/>
          <w:szCs w:val="22"/>
          <w:lang w:val="sr-Cyrl-RS" w:eastAsia="en-US"/>
        </w:rPr>
        <w:t>иницјатива</w:t>
      </w:r>
      <w:proofErr w:type="spellEnd"/>
      <w:r w:rsidR="00FD135F" w:rsidRPr="005202DD">
        <w:rPr>
          <w:bCs/>
          <w:sz w:val="22"/>
          <w:szCs w:val="22"/>
          <w:lang w:val="sr-Cyrl-RS" w:eastAsia="en-US"/>
        </w:rPr>
        <w:t xml:space="preserve"> појединих ЈЛС да се обрачун, наплата и контрола напла</w:t>
      </w:r>
      <w:r w:rsidR="003424E3" w:rsidRPr="005202DD">
        <w:rPr>
          <w:bCs/>
          <w:sz w:val="22"/>
          <w:szCs w:val="22"/>
          <w:lang w:val="sr-Cyrl-RS" w:eastAsia="en-US"/>
        </w:rPr>
        <w:t>те</w:t>
      </w:r>
      <w:r w:rsidR="00822D39">
        <w:rPr>
          <w:bCs/>
          <w:sz w:val="22"/>
          <w:szCs w:val="22"/>
          <w:lang w:val="sr-Cyrl-RS" w:eastAsia="en-US"/>
        </w:rPr>
        <w:t xml:space="preserve"> овог пореза,</w:t>
      </w:r>
      <w:r w:rsidR="003424E3" w:rsidRPr="005202DD">
        <w:rPr>
          <w:bCs/>
          <w:sz w:val="22"/>
          <w:szCs w:val="22"/>
          <w:lang w:val="sr-Cyrl-RS" w:eastAsia="en-US"/>
        </w:rPr>
        <w:t xml:space="preserve"> у потпуности прен</w:t>
      </w:r>
      <w:r w:rsidR="00EF22AF" w:rsidRPr="005202DD">
        <w:rPr>
          <w:bCs/>
          <w:sz w:val="22"/>
          <w:szCs w:val="22"/>
          <w:lang w:val="sr-Cyrl-RS" w:eastAsia="en-US"/>
        </w:rPr>
        <w:t>е</w:t>
      </w:r>
      <w:r w:rsidR="003424E3" w:rsidRPr="005202DD">
        <w:rPr>
          <w:bCs/>
          <w:sz w:val="22"/>
          <w:szCs w:val="22"/>
          <w:lang w:val="sr-Cyrl-RS" w:eastAsia="en-US"/>
        </w:rPr>
        <w:t>с</w:t>
      </w:r>
      <w:r w:rsidR="00EF22AF" w:rsidRPr="005202DD">
        <w:rPr>
          <w:bCs/>
          <w:sz w:val="22"/>
          <w:szCs w:val="22"/>
          <w:lang w:val="sr-Cyrl-RS" w:eastAsia="en-US"/>
        </w:rPr>
        <w:t>у на лок</w:t>
      </w:r>
      <w:r w:rsidR="00FD135F" w:rsidRPr="005202DD">
        <w:rPr>
          <w:bCs/>
          <w:sz w:val="22"/>
          <w:szCs w:val="22"/>
          <w:lang w:val="sr-Cyrl-RS" w:eastAsia="en-US"/>
        </w:rPr>
        <w:t>а</w:t>
      </w:r>
      <w:r w:rsidR="00EF22AF" w:rsidRPr="005202DD">
        <w:rPr>
          <w:bCs/>
          <w:sz w:val="22"/>
          <w:szCs w:val="22"/>
          <w:lang w:val="sr-Cyrl-RS" w:eastAsia="en-US"/>
        </w:rPr>
        <w:t>л</w:t>
      </w:r>
      <w:r w:rsidR="00FD135F" w:rsidRPr="005202DD">
        <w:rPr>
          <w:bCs/>
          <w:sz w:val="22"/>
          <w:szCs w:val="22"/>
          <w:lang w:val="sr-Cyrl-RS" w:eastAsia="en-US"/>
        </w:rPr>
        <w:t>ни ниво.</w:t>
      </w:r>
      <w:r>
        <w:rPr>
          <w:bCs/>
          <w:sz w:val="22"/>
          <w:szCs w:val="22"/>
          <w:lang w:val="sr-Cyrl-RS" w:eastAsia="en-US"/>
        </w:rPr>
        <w:t xml:space="preserve"> </w:t>
      </w:r>
      <w:r w:rsidR="00727935">
        <w:rPr>
          <w:bCs/>
          <w:sz w:val="22"/>
          <w:szCs w:val="22"/>
          <w:lang w:val="sr-Cyrl-RS" w:eastAsia="en-US"/>
        </w:rPr>
        <w:t>Потребно је да се преко Савеза све ЈЛС информишу о резултатима и даље</w:t>
      </w:r>
      <w:r w:rsidR="009A7488">
        <w:rPr>
          <w:bCs/>
          <w:sz w:val="22"/>
          <w:szCs w:val="22"/>
          <w:lang w:val="sr-Cyrl-RS" w:eastAsia="en-US"/>
        </w:rPr>
        <w:t xml:space="preserve">м развоју оба наведена пројекта, те да се </w:t>
      </w:r>
      <w:r w:rsidR="00205451">
        <w:rPr>
          <w:bCs/>
          <w:sz w:val="22"/>
          <w:szCs w:val="22"/>
          <w:lang w:val="sr-Cyrl-RS" w:eastAsia="en-US"/>
        </w:rPr>
        <w:t xml:space="preserve">њиховој реализацији </w:t>
      </w:r>
      <w:r w:rsidR="00970464">
        <w:rPr>
          <w:bCs/>
          <w:sz w:val="22"/>
          <w:szCs w:val="22"/>
          <w:lang w:val="sr-Cyrl-RS" w:eastAsia="en-US"/>
        </w:rPr>
        <w:t xml:space="preserve">пружи </w:t>
      </w:r>
      <w:r w:rsidR="009A7488">
        <w:rPr>
          <w:bCs/>
          <w:sz w:val="22"/>
          <w:szCs w:val="22"/>
          <w:lang w:val="sr-Cyrl-RS" w:eastAsia="en-US"/>
        </w:rPr>
        <w:t>даља подршка свих ЈЛС.</w:t>
      </w:r>
    </w:p>
    <w:p w14:paraId="73F782A0" w14:textId="77777777" w:rsidR="003424E3" w:rsidRPr="003424E3" w:rsidRDefault="003424E3" w:rsidP="005202DD">
      <w:pPr>
        <w:tabs>
          <w:tab w:val="left" w:pos="709"/>
          <w:tab w:val="left" w:pos="1530"/>
        </w:tabs>
        <w:spacing w:line="276" w:lineRule="auto"/>
        <w:ind w:firstLine="360"/>
        <w:jc w:val="both"/>
        <w:rPr>
          <w:bCs/>
          <w:sz w:val="22"/>
          <w:szCs w:val="22"/>
          <w:lang w:val="sr-Cyrl-RS" w:eastAsia="en-US"/>
        </w:rPr>
      </w:pPr>
    </w:p>
    <w:p w14:paraId="795B2BEF" w14:textId="77777777" w:rsidR="0082639C" w:rsidRPr="005202DD" w:rsidRDefault="003424E3" w:rsidP="005202DD">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sidRPr="005202DD">
        <w:rPr>
          <w:bCs/>
          <w:sz w:val="22"/>
          <w:szCs w:val="22"/>
          <w:lang w:val="sr-Cyrl-RS" w:eastAsia="en-US"/>
        </w:rPr>
        <w:t>В</w:t>
      </w:r>
      <w:r w:rsidR="000F0A3B" w:rsidRPr="005202DD">
        <w:rPr>
          <w:bCs/>
          <w:sz w:val="22"/>
          <w:szCs w:val="22"/>
          <w:lang w:val="sr-Cyrl-RS" w:eastAsia="en-US"/>
        </w:rPr>
        <w:t xml:space="preserve">ећина анкетираних ЈЛС пад прихода </w:t>
      </w:r>
      <w:proofErr w:type="spellStart"/>
      <w:r w:rsidR="000F0A3B" w:rsidRPr="005202DD">
        <w:rPr>
          <w:bCs/>
          <w:sz w:val="22"/>
          <w:szCs w:val="22"/>
          <w:lang w:val="sr-Cyrl-RS" w:eastAsia="en-US"/>
        </w:rPr>
        <w:t>супституисала</w:t>
      </w:r>
      <w:proofErr w:type="spellEnd"/>
      <w:r w:rsidR="000F0A3B" w:rsidRPr="005202DD">
        <w:rPr>
          <w:bCs/>
          <w:sz w:val="22"/>
          <w:szCs w:val="22"/>
          <w:lang w:val="sr-Cyrl-RS" w:eastAsia="en-US"/>
        </w:rPr>
        <w:t xml:space="preserve"> је додатним задужењи</w:t>
      </w:r>
      <w:r w:rsidR="00273DD1" w:rsidRPr="005202DD">
        <w:rPr>
          <w:bCs/>
          <w:sz w:val="22"/>
          <w:szCs w:val="22"/>
          <w:lang w:val="sr-Cyrl-RS" w:eastAsia="en-US"/>
        </w:rPr>
        <w:t xml:space="preserve">ма, прије свега, кроз кредите. </w:t>
      </w:r>
      <w:r w:rsidR="000F0A3B" w:rsidRPr="005202DD">
        <w:rPr>
          <w:bCs/>
          <w:sz w:val="22"/>
          <w:szCs w:val="22"/>
          <w:lang w:val="sr-Cyrl-RS" w:eastAsia="en-US"/>
        </w:rPr>
        <w:t xml:space="preserve">Генерално посматрано, и </w:t>
      </w:r>
      <w:r w:rsidR="009A7488">
        <w:rPr>
          <w:bCs/>
          <w:sz w:val="22"/>
          <w:szCs w:val="22"/>
          <w:lang w:val="sr-Cyrl-RS" w:eastAsia="en-US"/>
        </w:rPr>
        <w:t xml:space="preserve">у </w:t>
      </w:r>
      <w:proofErr w:type="spellStart"/>
      <w:r w:rsidR="009A7488">
        <w:rPr>
          <w:bCs/>
          <w:sz w:val="22"/>
          <w:szCs w:val="22"/>
          <w:lang w:val="sr-Cyrl-RS" w:eastAsia="en-US"/>
        </w:rPr>
        <w:t>пред</w:t>
      </w:r>
      <w:r w:rsidRPr="005202DD">
        <w:rPr>
          <w:bCs/>
          <w:sz w:val="22"/>
          <w:szCs w:val="22"/>
          <w:lang w:val="sr-Cyrl-RS" w:eastAsia="en-US"/>
        </w:rPr>
        <w:t>кризном</w:t>
      </w:r>
      <w:proofErr w:type="spellEnd"/>
      <w:r w:rsidRPr="005202DD">
        <w:rPr>
          <w:bCs/>
          <w:sz w:val="22"/>
          <w:szCs w:val="22"/>
          <w:lang w:val="sr-Cyrl-RS" w:eastAsia="en-US"/>
        </w:rPr>
        <w:t xml:space="preserve"> периоду, ЈЛС у РС</w:t>
      </w:r>
      <w:r w:rsidR="000F0A3B" w:rsidRPr="005202DD">
        <w:rPr>
          <w:bCs/>
          <w:sz w:val="22"/>
          <w:szCs w:val="22"/>
          <w:lang w:val="sr-Cyrl-RS" w:eastAsia="en-US"/>
        </w:rPr>
        <w:t xml:space="preserve"> слабије</w:t>
      </w:r>
      <w:r w:rsidRPr="005202DD">
        <w:rPr>
          <w:bCs/>
          <w:sz w:val="22"/>
          <w:szCs w:val="22"/>
          <w:lang w:val="sr-Cyrl-RS" w:eastAsia="en-US"/>
        </w:rPr>
        <w:t xml:space="preserve"> </w:t>
      </w:r>
      <w:r w:rsidR="009A7488">
        <w:rPr>
          <w:bCs/>
          <w:sz w:val="22"/>
          <w:szCs w:val="22"/>
          <w:lang w:val="sr-Cyrl-RS" w:eastAsia="en-US"/>
        </w:rPr>
        <w:t xml:space="preserve">су </w:t>
      </w:r>
      <w:r w:rsidRPr="005202DD">
        <w:rPr>
          <w:bCs/>
          <w:sz w:val="22"/>
          <w:szCs w:val="22"/>
          <w:lang w:val="sr-Cyrl-RS" w:eastAsia="en-US"/>
        </w:rPr>
        <w:t>користиле</w:t>
      </w:r>
      <w:r w:rsidR="000F0A3B" w:rsidRPr="005202DD">
        <w:rPr>
          <w:bCs/>
          <w:sz w:val="22"/>
          <w:szCs w:val="22"/>
          <w:lang w:val="sr-Cyrl-RS" w:eastAsia="en-US"/>
        </w:rPr>
        <w:t xml:space="preserve"> могућност емитовања обвезница, као облик задуживања</w:t>
      </w:r>
      <w:r w:rsidRPr="005202DD">
        <w:rPr>
          <w:bCs/>
          <w:sz w:val="22"/>
          <w:szCs w:val="22"/>
          <w:lang w:val="sr-Cyrl-RS" w:eastAsia="en-US"/>
        </w:rPr>
        <w:t>,</w:t>
      </w:r>
      <w:r w:rsidR="000F0A3B" w:rsidRPr="005202DD">
        <w:rPr>
          <w:bCs/>
          <w:sz w:val="22"/>
          <w:szCs w:val="22"/>
          <w:lang w:val="sr-Cyrl-RS" w:eastAsia="en-US"/>
        </w:rPr>
        <w:t xml:space="preserve"> иако се на тржишту хартија од </w:t>
      </w:r>
      <w:proofErr w:type="spellStart"/>
      <w:r w:rsidR="000F0A3B" w:rsidRPr="005202DD">
        <w:rPr>
          <w:bCs/>
          <w:sz w:val="22"/>
          <w:szCs w:val="22"/>
          <w:lang w:val="sr-Cyrl-RS" w:eastAsia="en-US"/>
        </w:rPr>
        <w:t>вриједности</w:t>
      </w:r>
      <w:proofErr w:type="spellEnd"/>
      <w:r w:rsidR="000F0A3B" w:rsidRPr="005202DD">
        <w:rPr>
          <w:bCs/>
          <w:sz w:val="22"/>
          <w:szCs w:val="22"/>
          <w:lang w:val="sr-Cyrl-RS" w:eastAsia="en-US"/>
        </w:rPr>
        <w:t xml:space="preserve"> </w:t>
      </w:r>
      <w:r w:rsidRPr="005202DD">
        <w:rPr>
          <w:bCs/>
          <w:sz w:val="22"/>
          <w:szCs w:val="22"/>
          <w:lang w:val="sr-Cyrl-RS" w:eastAsia="en-US"/>
        </w:rPr>
        <w:t xml:space="preserve">често </w:t>
      </w:r>
      <w:r w:rsidR="000F0A3B" w:rsidRPr="005202DD">
        <w:rPr>
          <w:bCs/>
          <w:sz w:val="22"/>
          <w:szCs w:val="22"/>
          <w:lang w:val="sr-Cyrl-RS" w:eastAsia="en-US"/>
        </w:rPr>
        <w:t xml:space="preserve">могу </w:t>
      </w:r>
      <w:proofErr w:type="spellStart"/>
      <w:r w:rsidR="000F0A3B" w:rsidRPr="005202DD">
        <w:rPr>
          <w:bCs/>
          <w:sz w:val="22"/>
          <w:szCs w:val="22"/>
          <w:lang w:val="sr-Cyrl-RS" w:eastAsia="en-US"/>
        </w:rPr>
        <w:t>обезб</w:t>
      </w:r>
      <w:r w:rsidRPr="005202DD">
        <w:rPr>
          <w:bCs/>
          <w:sz w:val="22"/>
          <w:szCs w:val="22"/>
          <w:lang w:val="sr-Cyrl-RS" w:eastAsia="en-US"/>
        </w:rPr>
        <w:t>иједити</w:t>
      </w:r>
      <w:proofErr w:type="spellEnd"/>
      <w:r w:rsidRPr="005202DD">
        <w:rPr>
          <w:bCs/>
          <w:sz w:val="22"/>
          <w:szCs w:val="22"/>
          <w:lang w:val="sr-Cyrl-RS" w:eastAsia="en-US"/>
        </w:rPr>
        <w:t xml:space="preserve"> бољи услови него на</w:t>
      </w:r>
      <w:r w:rsidR="009A7488">
        <w:rPr>
          <w:bCs/>
          <w:sz w:val="22"/>
          <w:szCs w:val="22"/>
          <w:lang w:val="sr-Cyrl-RS" w:eastAsia="en-US"/>
        </w:rPr>
        <w:t xml:space="preserve"> банк</w:t>
      </w:r>
      <w:r w:rsidR="000F0A3B" w:rsidRPr="005202DD">
        <w:rPr>
          <w:bCs/>
          <w:sz w:val="22"/>
          <w:szCs w:val="22"/>
          <w:lang w:val="sr-Cyrl-RS" w:eastAsia="en-US"/>
        </w:rPr>
        <w:t>а</w:t>
      </w:r>
      <w:r w:rsidR="009A7488">
        <w:rPr>
          <w:bCs/>
          <w:sz w:val="22"/>
          <w:szCs w:val="22"/>
          <w:lang w:val="sr-Cyrl-RS" w:eastAsia="en-US"/>
        </w:rPr>
        <w:t>р</w:t>
      </w:r>
      <w:r w:rsidR="000F0A3B" w:rsidRPr="005202DD">
        <w:rPr>
          <w:bCs/>
          <w:sz w:val="22"/>
          <w:szCs w:val="22"/>
          <w:lang w:val="sr-Cyrl-RS" w:eastAsia="en-US"/>
        </w:rPr>
        <w:t xml:space="preserve">ском </w:t>
      </w:r>
      <w:r w:rsidRPr="005202DD">
        <w:rPr>
          <w:bCs/>
          <w:sz w:val="22"/>
          <w:szCs w:val="22"/>
          <w:lang w:val="sr-Cyrl-RS" w:eastAsia="en-US"/>
        </w:rPr>
        <w:t>тржишту</w:t>
      </w:r>
      <w:r w:rsidR="000F0A3B" w:rsidRPr="005202DD">
        <w:rPr>
          <w:bCs/>
          <w:sz w:val="22"/>
          <w:szCs w:val="22"/>
          <w:lang w:val="sr-Cyrl-RS" w:eastAsia="en-US"/>
        </w:rPr>
        <w:t>.</w:t>
      </w:r>
      <w:r w:rsidR="00273DD1" w:rsidRPr="005202DD">
        <w:rPr>
          <w:bCs/>
          <w:sz w:val="22"/>
          <w:szCs w:val="22"/>
          <w:lang w:val="sr-Cyrl-RS" w:eastAsia="en-US"/>
        </w:rPr>
        <w:t xml:space="preserve"> </w:t>
      </w:r>
      <w:r w:rsidRPr="005202DD">
        <w:rPr>
          <w:bCs/>
          <w:sz w:val="22"/>
          <w:szCs w:val="22"/>
          <w:lang w:val="sr-Cyrl-RS" w:eastAsia="en-US"/>
        </w:rPr>
        <w:t xml:space="preserve">Путем Савеза требало би </w:t>
      </w:r>
      <w:proofErr w:type="spellStart"/>
      <w:r w:rsidRPr="005202DD">
        <w:rPr>
          <w:bCs/>
          <w:sz w:val="22"/>
          <w:szCs w:val="22"/>
          <w:lang w:val="sr-Cyrl-RS" w:eastAsia="en-US"/>
        </w:rPr>
        <w:t>обезбиједити</w:t>
      </w:r>
      <w:proofErr w:type="spellEnd"/>
      <w:r w:rsidRPr="005202DD">
        <w:rPr>
          <w:bCs/>
          <w:sz w:val="22"/>
          <w:szCs w:val="22"/>
          <w:lang w:val="sr-Cyrl-RS" w:eastAsia="en-US"/>
        </w:rPr>
        <w:t xml:space="preserve"> упознавање заинтересованих ЈЛС са поступком емисије обвезница. Након </w:t>
      </w:r>
      <w:proofErr w:type="spellStart"/>
      <w:r w:rsidRPr="005202DD">
        <w:rPr>
          <w:bCs/>
          <w:sz w:val="22"/>
          <w:szCs w:val="22"/>
          <w:lang w:val="sr-Cyrl-RS" w:eastAsia="en-US"/>
        </w:rPr>
        <w:t>пандемије</w:t>
      </w:r>
      <w:proofErr w:type="spellEnd"/>
      <w:r w:rsidRPr="005202DD">
        <w:rPr>
          <w:bCs/>
          <w:sz w:val="22"/>
          <w:szCs w:val="22"/>
          <w:lang w:val="sr-Cyrl-RS" w:eastAsia="en-US"/>
        </w:rPr>
        <w:t>, постоји повећан ризик да ће знатан број ЈЛС прекорачити дозвољене лимите задуживања, што ће их ограничити у планирању буџета и финансирању, прије свега, капиталних инвестиција</w:t>
      </w:r>
      <w:r w:rsidR="00BF5E9D" w:rsidRPr="005202DD">
        <w:rPr>
          <w:bCs/>
          <w:sz w:val="22"/>
          <w:szCs w:val="22"/>
          <w:lang w:val="sr-Cyrl-RS" w:eastAsia="en-US"/>
        </w:rPr>
        <w:t xml:space="preserve">. Зато </w:t>
      </w:r>
      <w:r w:rsidR="00970464">
        <w:rPr>
          <w:bCs/>
          <w:sz w:val="22"/>
          <w:szCs w:val="22"/>
          <w:lang w:val="sr-Cyrl-RS" w:eastAsia="en-US"/>
        </w:rPr>
        <w:t>треба обновити</w:t>
      </w:r>
      <w:r w:rsidR="00BF5E9D" w:rsidRPr="005202DD">
        <w:rPr>
          <w:bCs/>
          <w:sz w:val="22"/>
          <w:szCs w:val="22"/>
          <w:lang w:val="sr-Cyrl-RS" w:eastAsia="en-US"/>
        </w:rPr>
        <w:t xml:space="preserve"> ини</w:t>
      </w:r>
      <w:r w:rsidR="009A7488">
        <w:rPr>
          <w:bCs/>
          <w:sz w:val="22"/>
          <w:szCs w:val="22"/>
          <w:lang w:val="sr-Cyrl-RS" w:eastAsia="en-US"/>
        </w:rPr>
        <w:t xml:space="preserve">цијативу Савеза </w:t>
      </w:r>
      <w:r w:rsidRPr="005202DD">
        <w:rPr>
          <w:bCs/>
          <w:sz w:val="22"/>
          <w:szCs w:val="22"/>
          <w:lang w:val="sr-Cyrl-RS" w:eastAsia="en-US"/>
        </w:rPr>
        <w:t xml:space="preserve">да се </w:t>
      </w:r>
      <w:r w:rsidR="00970464">
        <w:rPr>
          <w:bCs/>
          <w:sz w:val="22"/>
          <w:szCs w:val="22"/>
          <w:lang w:val="sr-Cyrl-RS" w:eastAsia="en-US"/>
        </w:rPr>
        <w:t xml:space="preserve">привремено, тј., у </w:t>
      </w:r>
      <w:r w:rsidRPr="005202DD">
        <w:rPr>
          <w:bCs/>
          <w:sz w:val="22"/>
          <w:szCs w:val="22"/>
          <w:lang w:val="sr-Cyrl-RS" w:eastAsia="en-US"/>
        </w:rPr>
        <w:t>одређеном временском</w:t>
      </w:r>
      <w:r w:rsidR="00BF5E9D" w:rsidRPr="005202DD">
        <w:rPr>
          <w:bCs/>
          <w:sz w:val="22"/>
          <w:szCs w:val="22"/>
          <w:lang w:val="sr-Cyrl-RS" w:eastAsia="en-US"/>
        </w:rPr>
        <w:t xml:space="preserve"> периоду </w:t>
      </w:r>
      <w:r w:rsidRPr="005202DD">
        <w:rPr>
          <w:bCs/>
          <w:sz w:val="22"/>
          <w:szCs w:val="22"/>
          <w:lang w:val="sr-Cyrl-RS" w:eastAsia="en-US"/>
        </w:rPr>
        <w:t>повећају</w:t>
      </w:r>
      <w:r w:rsidR="00BF5E9D" w:rsidRPr="005202DD">
        <w:rPr>
          <w:bCs/>
          <w:sz w:val="22"/>
          <w:szCs w:val="22"/>
          <w:lang w:val="sr-Cyrl-RS" w:eastAsia="en-US"/>
        </w:rPr>
        <w:t xml:space="preserve"> лимити</w:t>
      </w:r>
      <w:r w:rsidR="009A7488">
        <w:rPr>
          <w:bCs/>
          <w:sz w:val="22"/>
          <w:szCs w:val="22"/>
          <w:lang w:val="sr-Cyrl-RS" w:eastAsia="en-US"/>
        </w:rPr>
        <w:t xml:space="preserve"> задуживања из постојећег закона</w:t>
      </w:r>
      <w:r w:rsidR="00BF5E9D" w:rsidRPr="005202DD">
        <w:rPr>
          <w:bCs/>
          <w:sz w:val="22"/>
          <w:szCs w:val="22"/>
          <w:lang w:val="sr-Cyrl-RS" w:eastAsia="en-US"/>
        </w:rPr>
        <w:t xml:space="preserve">. Такође, треба имати у виду да је </w:t>
      </w:r>
      <w:r w:rsidR="0082639C" w:rsidRPr="005202DD">
        <w:rPr>
          <w:bCs/>
          <w:sz w:val="22"/>
          <w:szCs w:val="22"/>
          <w:lang w:val="sr-Cyrl-RS" w:eastAsia="en-US"/>
        </w:rPr>
        <w:t>Закон о з</w:t>
      </w:r>
      <w:r w:rsidR="00BF5E9D" w:rsidRPr="005202DD">
        <w:rPr>
          <w:bCs/>
          <w:sz w:val="22"/>
          <w:szCs w:val="22"/>
          <w:lang w:val="sr-Cyrl-RS" w:eastAsia="en-US"/>
        </w:rPr>
        <w:t>а</w:t>
      </w:r>
      <w:r w:rsidR="0082639C" w:rsidRPr="005202DD">
        <w:rPr>
          <w:bCs/>
          <w:sz w:val="22"/>
          <w:szCs w:val="22"/>
          <w:lang w:val="sr-Cyrl-RS" w:eastAsia="en-US"/>
        </w:rPr>
        <w:t>д</w:t>
      </w:r>
      <w:r w:rsidR="00BF5E9D" w:rsidRPr="005202DD">
        <w:rPr>
          <w:bCs/>
          <w:sz w:val="22"/>
          <w:szCs w:val="22"/>
          <w:lang w:val="sr-Cyrl-RS" w:eastAsia="en-US"/>
        </w:rPr>
        <w:t>уживању, дугу и гаранци</w:t>
      </w:r>
      <w:r w:rsidR="009A7488">
        <w:rPr>
          <w:bCs/>
          <w:sz w:val="22"/>
          <w:szCs w:val="22"/>
          <w:lang w:val="sr-Cyrl-RS" w:eastAsia="en-US"/>
        </w:rPr>
        <w:t>јама донесен 2012. године, имао</w:t>
      </w:r>
      <w:r w:rsidR="007E2BAD" w:rsidRPr="005202DD">
        <w:rPr>
          <w:bCs/>
          <w:sz w:val="22"/>
          <w:szCs w:val="22"/>
          <w:lang w:val="sr-Cyrl-RS" w:eastAsia="en-US"/>
        </w:rPr>
        <w:t xml:space="preserve"> евид</w:t>
      </w:r>
      <w:r w:rsidR="00BF5E9D" w:rsidRPr="005202DD">
        <w:rPr>
          <w:bCs/>
          <w:sz w:val="22"/>
          <w:szCs w:val="22"/>
          <w:lang w:val="sr-Cyrl-RS" w:eastAsia="en-US"/>
        </w:rPr>
        <w:t>е</w:t>
      </w:r>
      <w:r w:rsidR="007E2BAD" w:rsidRPr="005202DD">
        <w:rPr>
          <w:bCs/>
          <w:sz w:val="22"/>
          <w:szCs w:val="22"/>
          <w:lang w:val="sr-Cyrl-RS" w:eastAsia="en-US"/>
        </w:rPr>
        <w:t>н</w:t>
      </w:r>
      <w:r w:rsidR="00BF5E9D" w:rsidRPr="005202DD">
        <w:rPr>
          <w:bCs/>
          <w:sz w:val="22"/>
          <w:szCs w:val="22"/>
          <w:lang w:val="sr-Cyrl-RS" w:eastAsia="en-US"/>
        </w:rPr>
        <w:t xml:space="preserve">тно позитивне ефекте у смислу контроле задуживања у јавном сектору, али постоји потреба да се </w:t>
      </w:r>
      <w:proofErr w:type="spellStart"/>
      <w:r w:rsidR="009A7488">
        <w:rPr>
          <w:bCs/>
          <w:sz w:val="22"/>
          <w:szCs w:val="22"/>
          <w:lang w:val="sr-Cyrl-RS" w:eastAsia="en-US"/>
        </w:rPr>
        <w:t>мијења</w:t>
      </w:r>
      <w:proofErr w:type="spellEnd"/>
      <w:r w:rsidR="009A7488">
        <w:rPr>
          <w:bCs/>
          <w:sz w:val="22"/>
          <w:szCs w:val="22"/>
          <w:lang w:val="sr-Cyrl-RS" w:eastAsia="en-US"/>
        </w:rPr>
        <w:t xml:space="preserve"> и допуни</w:t>
      </w:r>
      <w:r w:rsidR="00BF5E9D" w:rsidRPr="005202DD">
        <w:rPr>
          <w:bCs/>
          <w:sz w:val="22"/>
          <w:szCs w:val="22"/>
          <w:lang w:val="sr-Cyrl-RS" w:eastAsia="en-US"/>
        </w:rPr>
        <w:t>. Искуство ЈЛС, које су се задуживале код међународних финансијских институција (нпр. Бања Лука), пока</w:t>
      </w:r>
      <w:r w:rsidR="007E2BAD" w:rsidRPr="005202DD">
        <w:rPr>
          <w:bCs/>
          <w:sz w:val="22"/>
          <w:szCs w:val="22"/>
          <w:lang w:val="sr-Cyrl-RS" w:eastAsia="en-US"/>
        </w:rPr>
        <w:t>зује да је за</w:t>
      </w:r>
      <w:r w:rsidR="009A7488">
        <w:rPr>
          <w:bCs/>
          <w:sz w:val="22"/>
          <w:szCs w:val="22"/>
          <w:lang w:val="sr-Cyrl-RS" w:eastAsia="en-US"/>
        </w:rPr>
        <w:t>д</w:t>
      </w:r>
      <w:r w:rsidR="007E2BAD" w:rsidRPr="005202DD">
        <w:rPr>
          <w:bCs/>
          <w:sz w:val="22"/>
          <w:szCs w:val="22"/>
          <w:lang w:val="sr-Cyrl-RS" w:eastAsia="en-US"/>
        </w:rPr>
        <w:t xml:space="preserve">уженост потребно </w:t>
      </w:r>
      <w:proofErr w:type="spellStart"/>
      <w:r w:rsidR="007E2BAD" w:rsidRPr="005202DD">
        <w:rPr>
          <w:bCs/>
          <w:sz w:val="22"/>
          <w:szCs w:val="22"/>
          <w:lang w:val="sr-Cyrl-RS" w:eastAsia="en-US"/>
        </w:rPr>
        <w:t>м</w:t>
      </w:r>
      <w:r w:rsidR="00BF5E9D" w:rsidRPr="005202DD">
        <w:rPr>
          <w:bCs/>
          <w:sz w:val="22"/>
          <w:szCs w:val="22"/>
          <w:lang w:val="sr-Cyrl-RS" w:eastAsia="en-US"/>
        </w:rPr>
        <w:t>ј</w:t>
      </w:r>
      <w:r w:rsidR="007E2BAD" w:rsidRPr="005202DD">
        <w:rPr>
          <w:bCs/>
          <w:sz w:val="22"/>
          <w:szCs w:val="22"/>
          <w:lang w:val="sr-Cyrl-RS" w:eastAsia="en-US"/>
        </w:rPr>
        <w:t>е</w:t>
      </w:r>
      <w:r w:rsidR="00BF5E9D" w:rsidRPr="005202DD">
        <w:rPr>
          <w:bCs/>
          <w:sz w:val="22"/>
          <w:szCs w:val="22"/>
          <w:lang w:val="sr-Cyrl-RS" w:eastAsia="en-US"/>
        </w:rPr>
        <w:t>рити</w:t>
      </w:r>
      <w:proofErr w:type="spellEnd"/>
      <w:r w:rsidR="00BF5E9D" w:rsidRPr="005202DD">
        <w:rPr>
          <w:bCs/>
          <w:sz w:val="22"/>
          <w:szCs w:val="22"/>
          <w:lang w:val="sr-Cyrl-RS" w:eastAsia="en-US"/>
        </w:rPr>
        <w:t xml:space="preserve"> и кроз неке друге показатеље осим оних наведених у закону</w:t>
      </w:r>
      <w:r w:rsidR="00EC5DE4" w:rsidRPr="00BC57D1">
        <w:rPr>
          <w:rStyle w:val="FootnoteReference"/>
          <w:bCs/>
          <w:sz w:val="22"/>
          <w:szCs w:val="22"/>
          <w:lang w:val="sr-Cyrl-RS" w:eastAsia="en-US"/>
        </w:rPr>
        <w:footnoteReference w:id="22"/>
      </w:r>
      <w:r w:rsidR="001E06A3">
        <w:rPr>
          <w:bCs/>
          <w:sz w:val="22"/>
          <w:szCs w:val="22"/>
          <w:lang w:val="sr-Cyrl-RS" w:eastAsia="en-US"/>
        </w:rPr>
        <w:t>. На овај начин, способ</w:t>
      </w:r>
      <w:r w:rsidR="00B201B6" w:rsidRPr="005202DD">
        <w:rPr>
          <w:bCs/>
          <w:sz w:val="22"/>
          <w:szCs w:val="22"/>
          <w:lang w:val="sr-Cyrl-RS" w:eastAsia="en-US"/>
        </w:rPr>
        <w:t>ност задуживања се комплексније посмат</w:t>
      </w:r>
      <w:r w:rsidR="009A7488">
        <w:rPr>
          <w:bCs/>
          <w:sz w:val="22"/>
          <w:szCs w:val="22"/>
          <w:lang w:val="sr-Cyrl-RS" w:eastAsia="en-US"/>
        </w:rPr>
        <w:t xml:space="preserve">ра, </w:t>
      </w:r>
      <w:r w:rsidR="001E06A3">
        <w:rPr>
          <w:bCs/>
          <w:sz w:val="22"/>
          <w:szCs w:val="22"/>
          <w:lang w:val="sr-Cyrl-RS" w:eastAsia="en-US"/>
        </w:rPr>
        <w:t xml:space="preserve">обухвата више </w:t>
      </w:r>
      <w:r w:rsidR="001E06A3">
        <w:rPr>
          <w:bCs/>
          <w:sz w:val="22"/>
          <w:szCs w:val="22"/>
          <w:lang w:val="sr-Cyrl-RS" w:eastAsia="en-US"/>
        </w:rPr>
        <w:lastRenderedPageBreak/>
        <w:t xml:space="preserve">елемената ризика, што у периодима кризе, пада прихода и слично, </w:t>
      </w:r>
      <w:proofErr w:type="spellStart"/>
      <w:r w:rsidR="001E06A3">
        <w:rPr>
          <w:bCs/>
          <w:sz w:val="22"/>
          <w:szCs w:val="22"/>
          <w:lang w:val="sr-Cyrl-RS" w:eastAsia="en-US"/>
        </w:rPr>
        <w:t>обезбјеђује</w:t>
      </w:r>
      <w:proofErr w:type="spellEnd"/>
      <w:r w:rsidR="001E06A3">
        <w:rPr>
          <w:bCs/>
          <w:sz w:val="22"/>
          <w:szCs w:val="22"/>
          <w:lang w:val="sr-Cyrl-RS" w:eastAsia="en-US"/>
        </w:rPr>
        <w:t xml:space="preserve"> оптималније управљање дугом.</w:t>
      </w:r>
    </w:p>
    <w:p w14:paraId="39B15ABF" w14:textId="77777777" w:rsidR="007E2BAD" w:rsidRPr="007E2BAD" w:rsidRDefault="007E2BAD" w:rsidP="005202DD">
      <w:pPr>
        <w:tabs>
          <w:tab w:val="left" w:pos="709"/>
          <w:tab w:val="left" w:pos="1530"/>
        </w:tabs>
        <w:spacing w:line="276" w:lineRule="auto"/>
        <w:ind w:firstLine="360"/>
        <w:jc w:val="both"/>
        <w:rPr>
          <w:bCs/>
          <w:sz w:val="22"/>
          <w:szCs w:val="22"/>
          <w:lang w:val="sr-Cyrl-RS" w:eastAsia="en-US"/>
        </w:rPr>
      </w:pPr>
    </w:p>
    <w:p w14:paraId="62FE94D9" w14:textId="68BEBBBB" w:rsidR="00750E83" w:rsidRDefault="007E2BAD" w:rsidP="00750E83">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sidRPr="00F71CFC">
        <w:rPr>
          <w:bCs/>
          <w:sz w:val="22"/>
          <w:szCs w:val="22"/>
          <w:lang w:val="sr-Cyrl-RS" w:eastAsia="en-US"/>
        </w:rPr>
        <w:t>Ш</w:t>
      </w:r>
      <w:r w:rsidR="00EC3C38" w:rsidRPr="00F71CFC">
        <w:rPr>
          <w:bCs/>
          <w:sz w:val="22"/>
          <w:szCs w:val="22"/>
          <w:lang w:val="sr-Cyrl-RS" w:eastAsia="en-US"/>
        </w:rPr>
        <w:t>то се тиче потрошње, све анкетиране ЈЛС су и</w:t>
      </w:r>
      <w:r w:rsidRPr="00F71CFC">
        <w:rPr>
          <w:bCs/>
          <w:sz w:val="22"/>
          <w:szCs w:val="22"/>
          <w:lang w:val="sr-Cyrl-RS" w:eastAsia="en-US"/>
        </w:rPr>
        <w:t>звршиле редукцију и редефинисале</w:t>
      </w:r>
      <w:r w:rsidR="00EC3C38" w:rsidRPr="00F71CFC">
        <w:rPr>
          <w:bCs/>
          <w:sz w:val="22"/>
          <w:szCs w:val="22"/>
          <w:lang w:val="sr-Cyrl-RS" w:eastAsia="en-US"/>
        </w:rPr>
        <w:t xml:space="preserve"> приоритете у потрошњи. </w:t>
      </w:r>
      <w:r w:rsidR="000F2002" w:rsidRPr="00F71CFC">
        <w:rPr>
          <w:bCs/>
          <w:sz w:val="22"/>
          <w:szCs w:val="22"/>
          <w:lang w:val="sr-Cyrl-RS" w:eastAsia="en-US"/>
        </w:rPr>
        <w:t xml:space="preserve">У почетку </w:t>
      </w:r>
      <w:proofErr w:type="spellStart"/>
      <w:r w:rsidR="000F2002" w:rsidRPr="00F71CFC">
        <w:rPr>
          <w:bCs/>
          <w:sz w:val="22"/>
          <w:szCs w:val="22"/>
          <w:lang w:val="sr-Cyrl-RS" w:eastAsia="en-US"/>
        </w:rPr>
        <w:t>пандемије</w:t>
      </w:r>
      <w:proofErr w:type="spellEnd"/>
      <w:r w:rsidR="000F2002" w:rsidRPr="00F71CFC">
        <w:rPr>
          <w:bCs/>
          <w:sz w:val="22"/>
          <w:szCs w:val="22"/>
          <w:lang w:val="sr-Cyrl-RS" w:eastAsia="en-US"/>
        </w:rPr>
        <w:t>, дне</w:t>
      </w:r>
      <w:r w:rsidR="00970464">
        <w:rPr>
          <w:bCs/>
          <w:sz w:val="22"/>
          <w:szCs w:val="22"/>
          <w:lang w:val="sr-Cyrl-RS" w:eastAsia="en-US"/>
        </w:rPr>
        <w:t>вно су анализирани приходи и текући расходи, па су вршена прилагођавања</w:t>
      </w:r>
      <w:r w:rsidR="000F2002" w:rsidRPr="00F71CFC">
        <w:rPr>
          <w:bCs/>
          <w:sz w:val="22"/>
          <w:szCs w:val="22"/>
          <w:lang w:val="sr-Cyrl-RS" w:eastAsia="en-US"/>
        </w:rPr>
        <w:t xml:space="preserve"> </w:t>
      </w:r>
      <w:r w:rsidR="00970464">
        <w:rPr>
          <w:bCs/>
          <w:sz w:val="22"/>
          <w:szCs w:val="22"/>
          <w:lang w:val="sr-Cyrl-RS" w:eastAsia="en-US"/>
        </w:rPr>
        <w:t>насталој</w:t>
      </w:r>
      <w:r w:rsidR="000F2002" w:rsidRPr="00F71CFC">
        <w:rPr>
          <w:bCs/>
          <w:sz w:val="22"/>
          <w:szCs w:val="22"/>
          <w:lang w:val="sr-Cyrl-RS" w:eastAsia="en-US"/>
        </w:rPr>
        <w:t xml:space="preserve"> ситуацији</w:t>
      </w:r>
      <w:r w:rsidR="00380586" w:rsidRPr="00F71CFC">
        <w:rPr>
          <w:bCs/>
          <w:sz w:val="22"/>
          <w:szCs w:val="22"/>
          <w:lang w:val="sr-Cyrl-RS" w:eastAsia="en-US"/>
        </w:rPr>
        <w:t>.</w:t>
      </w:r>
      <w:r w:rsidR="000F2002" w:rsidRPr="00F71CFC">
        <w:rPr>
          <w:bCs/>
          <w:sz w:val="22"/>
          <w:szCs w:val="22"/>
          <w:lang w:val="sr-Cyrl-RS" w:eastAsia="en-US"/>
        </w:rPr>
        <w:t xml:space="preserve"> </w:t>
      </w:r>
      <w:r w:rsidR="00EC3C38" w:rsidRPr="00F71CFC">
        <w:rPr>
          <w:bCs/>
          <w:sz w:val="22"/>
          <w:szCs w:val="22"/>
          <w:lang w:val="sr-Cyrl-RS" w:eastAsia="en-US"/>
        </w:rPr>
        <w:t xml:space="preserve">Поједине ЈЛС су доносиле посебне акте (наредбе, упутства градоначелника, начелника или начелника </w:t>
      </w:r>
      <w:proofErr w:type="spellStart"/>
      <w:r w:rsidR="00EC3C38" w:rsidRPr="00F71CFC">
        <w:rPr>
          <w:bCs/>
          <w:sz w:val="22"/>
          <w:szCs w:val="22"/>
          <w:lang w:val="sr-Cyrl-RS" w:eastAsia="en-US"/>
        </w:rPr>
        <w:t>одјељења</w:t>
      </w:r>
      <w:proofErr w:type="spellEnd"/>
      <w:r w:rsidR="00EC3C38" w:rsidRPr="00F71CFC">
        <w:rPr>
          <w:bCs/>
          <w:sz w:val="22"/>
          <w:szCs w:val="22"/>
          <w:lang w:val="sr-Cyrl-RS" w:eastAsia="en-US"/>
        </w:rPr>
        <w:t xml:space="preserve"> за финансије), к</w:t>
      </w:r>
      <w:r w:rsidR="0000386D" w:rsidRPr="00F71CFC">
        <w:rPr>
          <w:bCs/>
          <w:sz w:val="22"/>
          <w:szCs w:val="22"/>
          <w:lang w:val="sr-Cyrl-RS" w:eastAsia="en-US"/>
        </w:rPr>
        <w:t xml:space="preserve">ојима се ограничавала потрошња </w:t>
      </w:r>
      <w:r w:rsidR="00EC3C38" w:rsidRPr="00F71CFC">
        <w:rPr>
          <w:bCs/>
          <w:sz w:val="22"/>
          <w:szCs w:val="22"/>
          <w:lang w:val="sr-Cyrl-RS" w:eastAsia="en-US"/>
        </w:rPr>
        <w:t xml:space="preserve">и вршила рационализација трошкова у 2020. години због </w:t>
      </w:r>
      <w:proofErr w:type="spellStart"/>
      <w:r w:rsidR="00EC3C38" w:rsidRPr="00F71CFC">
        <w:rPr>
          <w:bCs/>
          <w:sz w:val="22"/>
          <w:szCs w:val="22"/>
          <w:lang w:val="sr-Cyrl-RS" w:eastAsia="en-US"/>
        </w:rPr>
        <w:t>пандемије</w:t>
      </w:r>
      <w:proofErr w:type="spellEnd"/>
      <w:r w:rsidR="00EC3C38" w:rsidRPr="00F71CFC">
        <w:rPr>
          <w:bCs/>
          <w:sz w:val="22"/>
          <w:szCs w:val="22"/>
          <w:lang w:val="sr-Cyrl-RS" w:eastAsia="en-US"/>
        </w:rPr>
        <w:t xml:space="preserve">. Тиме су дате </w:t>
      </w:r>
      <w:proofErr w:type="spellStart"/>
      <w:r w:rsidR="00EC3C38" w:rsidRPr="00F71CFC">
        <w:rPr>
          <w:bCs/>
          <w:sz w:val="22"/>
          <w:szCs w:val="22"/>
          <w:lang w:val="sr-Cyrl-RS" w:eastAsia="en-US"/>
        </w:rPr>
        <w:t>смјернице</w:t>
      </w:r>
      <w:proofErr w:type="spellEnd"/>
      <w:r w:rsidR="00EC3C38" w:rsidRPr="00F71CFC">
        <w:rPr>
          <w:bCs/>
          <w:sz w:val="22"/>
          <w:szCs w:val="22"/>
          <w:lang w:val="sr-Cyrl-RS" w:eastAsia="en-US"/>
        </w:rPr>
        <w:t>, свима корисницима буџета</w:t>
      </w:r>
      <w:r w:rsidR="00970464">
        <w:rPr>
          <w:bCs/>
          <w:sz w:val="22"/>
          <w:szCs w:val="22"/>
          <w:lang w:val="sr-Cyrl-RS" w:eastAsia="en-US"/>
        </w:rPr>
        <w:t>,</w:t>
      </w:r>
      <w:r w:rsidR="00EC3C38" w:rsidRPr="00F71CFC">
        <w:rPr>
          <w:bCs/>
          <w:sz w:val="22"/>
          <w:szCs w:val="22"/>
          <w:lang w:val="sr-Cyrl-RS" w:eastAsia="en-US"/>
        </w:rPr>
        <w:t xml:space="preserve"> у смислу трошења средстава у </w:t>
      </w:r>
      <w:proofErr w:type="spellStart"/>
      <w:r w:rsidR="00EC3C38" w:rsidRPr="00F71CFC">
        <w:rPr>
          <w:bCs/>
          <w:sz w:val="22"/>
          <w:szCs w:val="22"/>
          <w:lang w:val="sr-Cyrl-RS" w:eastAsia="en-US"/>
        </w:rPr>
        <w:t>вријеме</w:t>
      </w:r>
      <w:proofErr w:type="spellEnd"/>
      <w:r w:rsidR="00EC3C38" w:rsidRPr="00F71CFC">
        <w:rPr>
          <w:bCs/>
          <w:sz w:val="22"/>
          <w:szCs w:val="22"/>
          <w:lang w:val="sr-Cyrl-RS" w:eastAsia="en-US"/>
        </w:rPr>
        <w:t xml:space="preserve"> </w:t>
      </w:r>
      <w:proofErr w:type="spellStart"/>
      <w:r w:rsidR="00EC3C38" w:rsidRPr="00F71CFC">
        <w:rPr>
          <w:bCs/>
          <w:sz w:val="22"/>
          <w:szCs w:val="22"/>
          <w:lang w:val="sr-Cyrl-RS" w:eastAsia="en-US"/>
        </w:rPr>
        <w:t>пандемије</w:t>
      </w:r>
      <w:proofErr w:type="spellEnd"/>
      <w:r w:rsidR="00EC3C38" w:rsidRPr="00F71CFC">
        <w:rPr>
          <w:bCs/>
          <w:sz w:val="22"/>
          <w:szCs w:val="22"/>
          <w:lang w:val="sr-Cyrl-RS" w:eastAsia="en-US"/>
        </w:rPr>
        <w:t xml:space="preserve">. Све анкетиране ЈЛС су </w:t>
      </w:r>
      <w:proofErr w:type="spellStart"/>
      <w:r w:rsidR="00F71CFC" w:rsidRPr="00F71CFC">
        <w:rPr>
          <w:bCs/>
          <w:sz w:val="22"/>
          <w:szCs w:val="22"/>
          <w:lang w:val="sr-Cyrl-RS" w:eastAsia="en-US"/>
        </w:rPr>
        <w:t>мијењале</w:t>
      </w:r>
      <w:proofErr w:type="spellEnd"/>
      <w:r w:rsidR="00F71CFC" w:rsidRPr="00F71CFC">
        <w:rPr>
          <w:bCs/>
          <w:sz w:val="22"/>
          <w:szCs w:val="22"/>
          <w:lang w:val="sr-Cyrl-RS" w:eastAsia="en-US"/>
        </w:rPr>
        <w:t xml:space="preserve"> планове јавних набавки, тако што су направиле попис најважнијих јавних набавки  и </w:t>
      </w:r>
      <w:r w:rsidR="00F71CFC">
        <w:rPr>
          <w:bCs/>
          <w:sz w:val="22"/>
          <w:szCs w:val="22"/>
          <w:lang w:val="sr-Cyrl-RS" w:eastAsia="en-US"/>
        </w:rPr>
        <w:t>код текућих расхода, ограничили</w:t>
      </w:r>
      <w:r w:rsidR="00F71CFC" w:rsidRPr="00F71CFC">
        <w:rPr>
          <w:bCs/>
          <w:sz w:val="22"/>
          <w:szCs w:val="22"/>
          <w:lang w:val="sr-Cyrl-RS" w:eastAsia="en-US"/>
        </w:rPr>
        <w:t xml:space="preserve"> оне које нису при</w:t>
      </w:r>
      <w:r w:rsidR="00F71CFC">
        <w:rPr>
          <w:bCs/>
          <w:sz w:val="22"/>
          <w:szCs w:val="22"/>
          <w:lang w:val="sr-Cyrl-RS" w:eastAsia="en-US"/>
        </w:rPr>
        <w:t xml:space="preserve">оритет, за ову годину. </w:t>
      </w:r>
      <w:r w:rsidR="009671A9" w:rsidRPr="00F71CFC">
        <w:rPr>
          <w:bCs/>
          <w:sz w:val="22"/>
          <w:szCs w:val="22"/>
          <w:lang w:val="sr-Cyrl-RS" w:eastAsia="en-US"/>
        </w:rPr>
        <w:t xml:space="preserve">На крају, како је </w:t>
      </w:r>
      <w:proofErr w:type="spellStart"/>
      <w:r w:rsidR="009671A9" w:rsidRPr="00F71CFC">
        <w:rPr>
          <w:bCs/>
          <w:sz w:val="22"/>
          <w:szCs w:val="22"/>
          <w:lang w:val="sr-Cyrl-RS" w:eastAsia="en-US"/>
        </w:rPr>
        <w:t>пандемија</w:t>
      </w:r>
      <w:proofErr w:type="spellEnd"/>
      <w:r w:rsidR="009671A9" w:rsidRPr="00F71CFC">
        <w:rPr>
          <w:bCs/>
          <w:sz w:val="22"/>
          <w:szCs w:val="22"/>
          <w:lang w:val="sr-Cyrl-RS" w:eastAsia="en-US"/>
        </w:rPr>
        <w:t xml:space="preserve"> одмицала, све анкетиране ЈЛС су приступиле изради ребаланса буџета, како би се прилагодиле смањењу прихода, при чему се водило рачуна да се задржи задовољавајући ниво услуга. </w:t>
      </w:r>
      <w:r w:rsidR="00D864FB">
        <w:rPr>
          <w:bCs/>
          <w:sz w:val="22"/>
          <w:szCs w:val="22"/>
          <w:lang w:val="sr-Cyrl-RS" w:eastAsia="en-US"/>
        </w:rPr>
        <w:t xml:space="preserve">Неке од анкетираних ЈЛС, </w:t>
      </w:r>
      <w:proofErr w:type="spellStart"/>
      <w:r w:rsidR="00D864FB">
        <w:rPr>
          <w:bCs/>
          <w:sz w:val="22"/>
          <w:szCs w:val="22"/>
          <w:lang w:val="sr-Cyrl-RS" w:eastAsia="en-US"/>
        </w:rPr>
        <w:t>донијеле</w:t>
      </w:r>
      <w:proofErr w:type="spellEnd"/>
      <w:r w:rsidR="00D864FB">
        <w:rPr>
          <w:bCs/>
          <w:sz w:val="22"/>
          <w:szCs w:val="22"/>
          <w:lang w:val="sr-Cyrl-RS" w:eastAsia="en-US"/>
        </w:rPr>
        <w:t xml:space="preserve"> су акте којима се дефинише </w:t>
      </w:r>
      <w:proofErr w:type="spellStart"/>
      <w:r w:rsidR="00D864FB">
        <w:rPr>
          <w:bCs/>
          <w:sz w:val="22"/>
          <w:szCs w:val="22"/>
          <w:lang w:val="sr-Cyrl-RS" w:eastAsia="en-US"/>
        </w:rPr>
        <w:t>мјесечни</w:t>
      </w:r>
      <w:proofErr w:type="spellEnd"/>
      <w:r w:rsidR="00D864FB">
        <w:rPr>
          <w:bCs/>
          <w:sz w:val="22"/>
          <w:szCs w:val="22"/>
          <w:lang w:val="sr-Cyrl-RS" w:eastAsia="en-US"/>
        </w:rPr>
        <w:t xml:space="preserve"> </w:t>
      </w:r>
      <w:proofErr w:type="spellStart"/>
      <w:r w:rsidR="00885FD8">
        <w:rPr>
          <w:bCs/>
          <w:sz w:val="22"/>
          <w:szCs w:val="22"/>
          <w:lang w:val="sr-Cyrl-RS" w:eastAsia="en-US"/>
        </w:rPr>
        <w:t>редослијед</w:t>
      </w:r>
      <w:proofErr w:type="spellEnd"/>
      <w:r w:rsidR="00885FD8">
        <w:rPr>
          <w:bCs/>
          <w:sz w:val="22"/>
          <w:szCs w:val="22"/>
          <w:lang w:val="sr-Cyrl-RS" w:eastAsia="en-US"/>
        </w:rPr>
        <w:t xml:space="preserve"> плаћања обавеза, да</w:t>
      </w:r>
      <w:r w:rsidR="00D864FB">
        <w:rPr>
          <w:bCs/>
          <w:sz w:val="22"/>
          <w:szCs w:val="22"/>
          <w:lang w:val="sr-Cyrl-RS" w:eastAsia="en-US"/>
        </w:rPr>
        <w:t xml:space="preserve"> би се </w:t>
      </w:r>
      <w:proofErr w:type="spellStart"/>
      <w:r w:rsidR="00D864FB">
        <w:rPr>
          <w:bCs/>
          <w:sz w:val="22"/>
          <w:szCs w:val="22"/>
          <w:lang w:val="sr-Cyrl-RS" w:eastAsia="en-US"/>
        </w:rPr>
        <w:t>избјегла</w:t>
      </w:r>
      <w:proofErr w:type="spellEnd"/>
      <w:r w:rsidR="00D864FB" w:rsidRPr="009E157E">
        <w:rPr>
          <w:bCs/>
          <w:sz w:val="22"/>
          <w:szCs w:val="22"/>
          <w:lang w:val="sr-Cyrl-RS" w:eastAsia="en-US"/>
        </w:rPr>
        <w:t xml:space="preserve"> спирала неликвидности</w:t>
      </w:r>
      <w:r w:rsidR="00D864FB">
        <w:rPr>
          <w:bCs/>
          <w:sz w:val="22"/>
          <w:szCs w:val="22"/>
          <w:lang w:val="sr-Cyrl-RS" w:eastAsia="en-US"/>
        </w:rPr>
        <w:t xml:space="preserve">. </w:t>
      </w:r>
    </w:p>
    <w:p w14:paraId="1ED16BC9" w14:textId="6AA2D6BD" w:rsidR="00885FD8" w:rsidRPr="00750E83" w:rsidRDefault="00885FD8" w:rsidP="00750E83">
      <w:pPr>
        <w:tabs>
          <w:tab w:val="left" w:pos="709"/>
          <w:tab w:val="left" w:pos="1530"/>
        </w:tabs>
        <w:spacing w:line="276" w:lineRule="auto"/>
        <w:jc w:val="both"/>
        <w:rPr>
          <w:bCs/>
          <w:sz w:val="22"/>
          <w:szCs w:val="22"/>
          <w:lang w:val="sr-Cyrl-RS" w:eastAsia="en-US"/>
        </w:rPr>
      </w:pPr>
    </w:p>
    <w:p w14:paraId="058C540C" w14:textId="28FE5ACA" w:rsidR="00D864FB" w:rsidRPr="009C733B" w:rsidRDefault="0066022B" w:rsidP="009C733B">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sidRPr="00750E83">
        <w:rPr>
          <w:bCs/>
          <w:sz w:val="22"/>
          <w:szCs w:val="22"/>
          <w:lang w:val="sr-Cyrl-RS" w:eastAsia="en-US"/>
        </w:rPr>
        <w:t>За разлику од међуна</w:t>
      </w:r>
      <w:r w:rsidR="009451E0" w:rsidRPr="00750E83">
        <w:rPr>
          <w:bCs/>
          <w:sz w:val="22"/>
          <w:szCs w:val="22"/>
          <w:lang w:val="sr-Cyrl-RS" w:eastAsia="en-US"/>
        </w:rPr>
        <w:t>родне праксе, ни</w:t>
      </w:r>
      <w:r w:rsidRPr="00750E83">
        <w:rPr>
          <w:bCs/>
          <w:sz w:val="22"/>
          <w:szCs w:val="22"/>
          <w:lang w:val="sr-Cyrl-RS" w:eastAsia="en-US"/>
        </w:rPr>
        <w:t xml:space="preserve">једна ЈЛС у РС није </w:t>
      </w:r>
      <w:proofErr w:type="spellStart"/>
      <w:r w:rsidRPr="00750E83">
        <w:rPr>
          <w:bCs/>
          <w:sz w:val="22"/>
          <w:szCs w:val="22"/>
          <w:lang w:val="sr-Cyrl-RS" w:eastAsia="en-US"/>
        </w:rPr>
        <w:t>усв</w:t>
      </w:r>
      <w:proofErr w:type="spellEnd"/>
      <w:r w:rsidR="002706FC" w:rsidRPr="00750E83">
        <w:rPr>
          <w:bCs/>
          <w:sz w:val="22"/>
          <w:szCs w:val="22"/>
          <w:lang w:val="en-US" w:eastAsia="en-US"/>
        </w:rPr>
        <w:t>o</w:t>
      </w:r>
      <w:proofErr w:type="spellStart"/>
      <w:r w:rsidRPr="00750E83">
        <w:rPr>
          <w:bCs/>
          <w:sz w:val="22"/>
          <w:szCs w:val="22"/>
          <w:lang w:val="sr-Cyrl-RS" w:eastAsia="en-US"/>
        </w:rPr>
        <w:t>јила</w:t>
      </w:r>
      <w:proofErr w:type="spellEnd"/>
      <w:r w:rsidRPr="00750E83">
        <w:rPr>
          <w:bCs/>
          <w:sz w:val="22"/>
          <w:szCs w:val="22"/>
          <w:lang w:val="sr-Cyrl-RS" w:eastAsia="en-US"/>
        </w:rPr>
        <w:t xml:space="preserve"> посебну стратегију опоравка, нити има посебне планове, за поступање у кризним ситуацијама</w:t>
      </w:r>
      <w:r w:rsidR="009451E0" w:rsidRPr="00750E83">
        <w:rPr>
          <w:bCs/>
          <w:sz w:val="22"/>
          <w:szCs w:val="22"/>
          <w:lang w:val="sr-Cyrl-RS" w:eastAsia="en-US"/>
        </w:rPr>
        <w:t>, односно, није припремала додатне сценарије буџета за ванредне ситуације</w:t>
      </w:r>
      <w:r w:rsidRPr="00750E83">
        <w:rPr>
          <w:bCs/>
          <w:sz w:val="22"/>
          <w:szCs w:val="22"/>
          <w:lang w:val="sr-Cyrl-RS" w:eastAsia="en-US"/>
        </w:rPr>
        <w:t>.</w:t>
      </w:r>
      <w:r w:rsidR="00750E83" w:rsidRPr="00750E83">
        <w:rPr>
          <w:bCs/>
          <w:sz w:val="22"/>
          <w:szCs w:val="22"/>
          <w:lang w:val="sr-Cyrl-RS" w:eastAsia="en-US"/>
        </w:rPr>
        <w:t xml:space="preserve"> Ниједна од анкетираних ЈЛС није </w:t>
      </w:r>
      <w:proofErr w:type="spellStart"/>
      <w:r w:rsidR="00750E83" w:rsidRPr="00750E83">
        <w:rPr>
          <w:bCs/>
          <w:sz w:val="22"/>
          <w:szCs w:val="22"/>
          <w:lang w:val="sr-Cyrl-RS" w:eastAsia="en-US"/>
        </w:rPr>
        <w:t>донијела</w:t>
      </w:r>
      <w:proofErr w:type="spellEnd"/>
      <w:r w:rsidR="00750E83" w:rsidRPr="00750E83">
        <w:rPr>
          <w:bCs/>
          <w:sz w:val="22"/>
          <w:szCs w:val="22"/>
          <w:lang w:val="sr-Cyrl-RS" w:eastAsia="en-US"/>
        </w:rPr>
        <w:t xml:space="preserve"> посебне програме </w:t>
      </w:r>
      <w:proofErr w:type="spellStart"/>
      <w:r w:rsidR="00750E83" w:rsidRPr="00750E83">
        <w:rPr>
          <w:bCs/>
          <w:sz w:val="22"/>
          <w:szCs w:val="22"/>
          <w:lang w:val="sr-Cyrl-RS" w:eastAsia="en-US"/>
        </w:rPr>
        <w:t>мјера</w:t>
      </w:r>
      <w:proofErr w:type="spellEnd"/>
      <w:r w:rsidR="00750E83" w:rsidRPr="00750E83">
        <w:rPr>
          <w:bCs/>
          <w:sz w:val="22"/>
          <w:szCs w:val="22"/>
          <w:lang w:val="sr-Cyrl-RS" w:eastAsia="en-US"/>
        </w:rPr>
        <w:t xml:space="preserve"> и активности за ублажавање негативних ефеката кризе на буџет или стратегије опоравка, иако су неке од њих то чиниле у ранијем периоду</w:t>
      </w:r>
      <w:r w:rsidR="00885FD8">
        <w:rPr>
          <w:rStyle w:val="FootnoteReference"/>
          <w:bCs/>
          <w:sz w:val="22"/>
          <w:szCs w:val="22"/>
          <w:lang w:val="sr-Cyrl-RS" w:eastAsia="en-US"/>
        </w:rPr>
        <w:footnoteReference w:id="23"/>
      </w:r>
      <w:r w:rsidR="00750E83" w:rsidRPr="00750E83">
        <w:rPr>
          <w:bCs/>
          <w:sz w:val="22"/>
          <w:szCs w:val="22"/>
          <w:lang w:val="sr-Cyrl-RS" w:eastAsia="en-US"/>
        </w:rPr>
        <w:t xml:space="preserve">. </w:t>
      </w:r>
      <w:r w:rsidR="002706FC" w:rsidRPr="00750E83">
        <w:rPr>
          <w:bCs/>
          <w:sz w:val="22"/>
          <w:szCs w:val="22"/>
          <w:lang w:val="sr-Cyrl-RS" w:eastAsia="en-US"/>
        </w:rPr>
        <w:t>Зато је</w:t>
      </w:r>
      <w:r w:rsidRPr="00750E83">
        <w:rPr>
          <w:bCs/>
          <w:sz w:val="22"/>
          <w:szCs w:val="22"/>
          <w:lang w:val="sr-Cyrl-RS" w:eastAsia="en-US"/>
        </w:rPr>
        <w:t xml:space="preserve"> </w:t>
      </w:r>
      <w:r w:rsidR="002706FC" w:rsidRPr="00750E83">
        <w:rPr>
          <w:bCs/>
          <w:sz w:val="22"/>
          <w:szCs w:val="22"/>
          <w:lang w:val="sr-Cyrl-RS" w:eastAsia="en-US"/>
        </w:rPr>
        <w:t>п</w:t>
      </w:r>
      <w:r w:rsidR="0000386D" w:rsidRPr="00750E83">
        <w:rPr>
          <w:bCs/>
          <w:sz w:val="22"/>
          <w:szCs w:val="22"/>
          <w:lang w:val="sr-Cyrl-RS" w:eastAsia="en-US"/>
        </w:rPr>
        <w:t>репорука је да се, поред краткорочних аката (типа наредби и сл.)</w:t>
      </w:r>
      <w:r w:rsidR="00B92F71" w:rsidRPr="00750E83">
        <w:rPr>
          <w:bCs/>
          <w:sz w:val="22"/>
          <w:szCs w:val="22"/>
          <w:lang w:val="sr-Cyrl-RS" w:eastAsia="en-US"/>
        </w:rPr>
        <w:t xml:space="preserve"> и</w:t>
      </w:r>
      <w:r w:rsidR="000E0FF7">
        <w:rPr>
          <w:bCs/>
          <w:sz w:val="22"/>
          <w:szCs w:val="22"/>
          <w:lang w:val="sr-Cyrl-RS" w:eastAsia="en-US"/>
        </w:rPr>
        <w:t xml:space="preserve"> доношења</w:t>
      </w:r>
      <w:r w:rsidR="00B92F71" w:rsidRPr="00750E83">
        <w:rPr>
          <w:bCs/>
          <w:sz w:val="22"/>
          <w:szCs w:val="22"/>
          <w:lang w:val="sr-Cyrl-RS" w:eastAsia="en-US"/>
        </w:rPr>
        <w:t xml:space="preserve"> ребаланса</w:t>
      </w:r>
      <w:r w:rsidR="0000386D" w:rsidRPr="00750E83">
        <w:rPr>
          <w:bCs/>
          <w:sz w:val="22"/>
          <w:szCs w:val="22"/>
          <w:lang w:val="sr-Cyrl-RS" w:eastAsia="en-US"/>
        </w:rPr>
        <w:t xml:space="preserve">, развија пракса </w:t>
      </w:r>
      <w:r w:rsidR="000E0FF7">
        <w:rPr>
          <w:bCs/>
          <w:sz w:val="22"/>
          <w:szCs w:val="22"/>
          <w:lang w:val="sr-Cyrl-RS" w:eastAsia="en-US"/>
        </w:rPr>
        <w:t>периодичне</w:t>
      </w:r>
      <w:r w:rsidR="0000386D" w:rsidRPr="00750E83">
        <w:rPr>
          <w:bCs/>
          <w:sz w:val="22"/>
          <w:szCs w:val="22"/>
          <w:lang w:val="sr-Cyrl-RS" w:eastAsia="en-US"/>
        </w:rPr>
        <w:t xml:space="preserve"> </w:t>
      </w:r>
      <w:r w:rsidR="000E0FF7">
        <w:rPr>
          <w:bCs/>
          <w:sz w:val="22"/>
          <w:szCs w:val="22"/>
          <w:lang w:val="sr-Cyrl-RS" w:eastAsia="en-US"/>
        </w:rPr>
        <w:t>припреме</w:t>
      </w:r>
      <w:r w:rsidR="00EC3C38" w:rsidRPr="00750E83">
        <w:rPr>
          <w:bCs/>
          <w:sz w:val="22"/>
          <w:szCs w:val="22"/>
          <w:lang w:val="sr-Cyrl-RS" w:eastAsia="en-US"/>
        </w:rPr>
        <w:t xml:space="preserve"> </w:t>
      </w:r>
      <w:r w:rsidR="00A624B5" w:rsidRPr="00750E83">
        <w:rPr>
          <w:bCs/>
          <w:sz w:val="22"/>
          <w:szCs w:val="22"/>
          <w:lang w:val="sr-Cyrl-RS" w:eastAsia="en-US"/>
        </w:rPr>
        <w:t>посебни</w:t>
      </w:r>
      <w:r w:rsidR="0000386D" w:rsidRPr="00750E83">
        <w:rPr>
          <w:bCs/>
          <w:sz w:val="22"/>
          <w:szCs w:val="22"/>
          <w:lang w:val="sr-Cyrl-RS" w:eastAsia="en-US"/>
        </w:rPr>
        <w:t>х</w:t>
      </w:r>
      <w:r w:rsidR="00A624B5" w:rsidRPr="00750E83">
        <w:rPr>
          <w:bCs/>
          <w:sz w:val="22"/>
          <w:szCs w:val="22"/>
          <w:lang w:val="sr-Cyrl-RS" w:eastAsia="en-US"/>
        </w:rPr>
        <w:t xml:space="preserve"> </w:t>
      </w:r>
      <w:r w:rsidR="0000386D" w:rsidRPr="00750E83">
        <w:rPr>
          <w:bCs/>
          <w:sz w:val="22"/>
          <w:szCs w:val="22"/>
          <w:lang w:val="sr-Cyrl-RS" w:eastAsia="en-US"/>
        </w:rPr>
        <w:t>програма</w:t>
      </w:r>
      <w:r w:rsidR="00A624B5" w:rsidRPr="00750E83">
        <w:rPr>
          <w:bCs/>
          <w:sz w:val="22"/>
          <w:szCs w:val="22"/>
          <w:lang w:val="sr-Cyrl-RS" w:eastAsia="en-US"/>
        </w:rPr>
        <w:t xml:space="preserve"> повећања прихода и смањења расхода</w:t>
      </w:r>
      <w:r w:rsidR="002706FC" w:rsidRPr="00750E83">
        <w:rPr>
          <w:bCs/>
          <w:sz w:val="22"/>
          <w:szCs w:val="22"/>
          <w:lang w:val="sr-Cyrl-RS" w:eastAsia="en-US"/>
        </w:rPr>
        <w:t xml:space="preserve"> (тј. финансијске оптимизације)</w:t>
      </w:r>
      <w:r w:rsidR="00214F12">
        <w:rPr>
          <w:bCs/>
          <w:sz w:val="22"/>
          <w:szCs w:val="22"/>
          <w:lang w:val="sr-Cyrl-RS" w:eastAsia="en-US"/>
        </w:rPr>
        <w:t xml:space="preserve">. </w:t>
      </w:r>
      <w:r w:rsidR="00750E83" w:rsidRPr="00750E83">
        <w:rPr>
          <w:bCs/>
          <w:sz w:val="22"/>
          <w:szCs w:val="22"/>
          <w:lang w:val="sr-Cyrl-RS" w:eastAsia="en-US"/>
        </w:rPr>
        <w:t xml:space="preserve">Ови програми се заснивају на ситуационим анализама и финансијским </w:t>
      </w:r>
      <w:proofErr w:type="spellStart"/>
      <w:r w:rsidR="00750E83" w:rsidRPr="00750E83">
        <w:rPr>
          <w:bCs/>
          <w:sz w:val="22"/>
          <w:szCs w:val="22"/>
          <w:lang w:val="sr-Cyrl-RS" w:eastAsia="en-US"/>
        </w:rPr>
        <w:t>самопроцјенама</w:t>
      </w:r>
      <w:proofErr w:type="spellEnd"/>
      <w:r w:rsidR="00750E83" w:rsidRPr="00750E83">
        <w:rPr>
          <w:bCs/>
          <w:sz w:val="22"/>
          <w:szCs w:val="22"/>
          <w:lang w:val="sr-Cyrl-RS" w:eastAsia="en-US"/>
        </w:rPr>
        <w:t xml:space="preserve">, а садрже циљане финансијске пројекције и показатеље, са </w:t>
      </w:r>
      <w:proofErr w:type="spellStart"/>
      <w:r w:rsidR="00750E83" w:rsidRPr="00750E83">
        <w:rPr>
          <w:bCs/>
          <w:sz w:val="22"/>
          <w:szCs w:val="22"/>
          <w:lang w:val="sr-Cyrl-RS" w:eastAsia="en-US"/>
        </w:rPr>
        <w:t>мјерама</w:t>
      </w:r>
      <w:proofErr w:type="spellEnd"/>
      <w:r w:rsidR="00750E83" w:rsidRPr="00750E83">
        <w:rPr>
          <w:bCs/>
          <w:sz w:val="22"/>
          <w:szCs w:val="22"/>
          <w:lang w:val="sr-Cyrl-RS" w:eastAsia="en-US"/>
        </w:rPr>
        <w:t xml:space="preserve"> за провођење, роковима и </w:t>
      </w:r>
      <w:proofErr w:type="spellStart"/>
      <w:r w:rsidR="00750E83" w:rsidRPr="00750E83">
        <w:rPr>
          <w:bCs/>
          <w:sz w:val="22"/>
          <w:szCs w:val="22"/>
          <w:lang w:val="sr-Cyrl-RS" w:eastAsia="en-US"/>
        </w:rPr>
        <w:t>носицима</w:t>
      </w:r>
      <w:proofErr w:type="spellEnd"/>
      <w:r w:rsidR="00750E83" w:rsidRPr="00750E83">
        <w:rPr>
          <w:bCs/>
          <w:sz w:val="22"/>
          <w:szCs w:val="22"/>
          <w:lang w:val="sr-Cyrl-RS" w:eastAsia="en-US"/>
        </w:rPr>
        <w:t xml:space="preserve"> активности. Ово посебно може бити корисно у </w:t>
      </w:r>
      <w:proofErr w:type="spellStart"/>
      <w:r w:rsidR="00750E83" w:rsidRPr="00750E83">
        <w:rPr>
          <w:bCs/>
          <w:sz w:val="22"/>
          <w:szCs w:val="22"/>
          <w:lang w:val="sr-Cyrl-RS" w:eastAsia="en-US"/>
        </w:rPr>
        <w:t>постпандемијском</w:t>
      </w:r>
      <w:proofErr w:type="spellEnd"/>
      <w:r w:rsidR="00750E83" w:rsidRPr="00750E83">
        <w:rPr>
          <w:bCs/>
          <w:sz w:val="22"/>
          <w:szCs w:val="22"/>
          <w:lang w:val="sr-Cyrl-RS" w:eastAsia="en-US"/>
        </w:rPr>
        <w:t xml:space="preserve"> периоду, када би требало детаљно размотрити </w:t>
      </w:r>
      <w:proofErr w:type="spellStart"/>
      <w:r w:rsidR="00750E83" w:rsidRPr="00750E83">
        <w:rPr>
          <w:bCs/>
          <w:sz w:val="22"/>
          <w:szCs w:val="22"/>
          <w:lang w:val="sr-Cyrl-RS" w:eastAsia="en-US"/>
        </w:rPr>
        <w:t>гдје</w:t>
      </w:r>
      <w:proofErr w:type="spellEnd"/>
      <w:r w:rsidR="00750E83" w:rsidRPr="00750E83">
        <w:rPr>
          <w:bCs/>
          <w:sz w:val="22"/>
          <w:szCs w:val="22"/>
          <w:lang w:val="sr-Cyrl-RS" w:eastAsia="en-US"/>
        </w:rPr>
        <w:t xml:space="preserve"> су могући извори додатних-повећаних прихода и уштеда на расходима и издацима</w:t>
      </w:r>
      <w:r w:rsidR="009C733B" w:rsidRPr="00760C76">
        <w:rPr>
          <w:rStyle w:val="FootnoteReference"/>
          <w:bCs/>
          <w:sz w:val="22"/>
          <w:szCs w:val="22"/>
          <w:lang w:val="sr-Cyrl-RS" w:eastAsia="en-US"/>
        </w:rPr>
        <w:footnoteReference w:id="24"/>
      </w:r>
      <w:r w:rsidR="00750E83" w:rsidRPr="00750E83">
        <w:rPr>
          <w:bCs/>
          <w:sz w:val="22"/>
          <w:szCs w:val="22"/>
          <w:lang w:val="sr-Cyrl-RS" w:eastAsia="en-US"/>
        </w:rPr>
        <w:t xml:space="preserve">. За овакве програме и акционе планове развијене су посебне методологије, које већ </w:t>
      </w:r>
      <w:proofErr w:type="spellStart"/>
      <w:r w:rsidR="00750E83" w:rsidRPr="00750E83">
        <w:rPr>
          <w:bCs/>
          <w:sz w:val="22"/>
          <w:szCs w:val="22"/>
          <w:lang w:val="sr-Cyrl-RS" w:eastAsia="en-US"/>
        </w:rPr>
        <w:t>примјењују</w:t>
      </w:r>
      <w:proofErr w:type="spellEnd"/>
      <w:r w:rsidR="00750E83" w:rsidRPr="00750E83">
        <w:rPr>
          <w:bCs/>
          <w:sz w:val="22"/>
          <w:szCs w:val="22"/>
          <w:lang w:val="sr-Cyrl-RS" w:eastAsia="en-US"/>
        </w:rPr>
        <w:t xml:space="preserve"> поједине ЈЛС у РС, а што може бити п</w:t>
      </w:r>
      <w:r w:rsidR="00750E83">
        <w:rPr>
          <w:bCs/>
          <w:sz w:val="22"/>
          <w:szCs w:val="22"/>
          <w:lang w:val="sr-Cyrl-RS" w:eastAsia="en-US"/>
        </w:rPr>
        <w:t>утем Савеза доступно и осталима.</w:t>
      </w:r>
      <w:r w:rsidR="00D26944" w:rsidRPr="009C733B">
        <w:rPr>
          <w:bCs/>
          <w:sz w:val="22"/>
          <w:szCs w:val="22"/>
          <w:lang w:val="sr-Cyrl-RS" w:eastAsia="en-US"/>
        </w:rPr>
        <w:t xml:space="preserve"> </w:t>
      </w:r>
      <w:r w:rsidR="005C6B62" w:rsidRPr="009C733B">
        <w:rPr>
          <w:bCs/>
          <w:sz w:val="22"/>
          <w:szCs w:val="22"/>
          <w:lang w:val="sr-Cyrl-RS" w:eastAsia="en-US"/>
        </w:rPr>
        <w:t xml:space="preserve">Требало би </w:t>
      </w:r>
      <w:proofErr w:type="spellStart"/>
      <w:r w:rsidR="005C6B62" w:rsidRPr="009C733B">
        <w:rPr>
          <w:bCs/>
          <w:sz w:val="22"/>
          <w:szCs w:val="22"/>
          <w:lang w:val="sr-Cyrl-RS" w:eastAsia="en-US"/>
        </w:rPr>
        <w:t>обезб</w:t>
      </w:r>
      <w:r w:rsidR="002706FC" w:rsidRPr="009C733B">
        <w:rPr>
          <w:bCs/>
          <w:sz w:val="22"/>
          <w:szCs w:val="22"/>
          <w:lang w:val="sr-Cyrl-RS" w:eastAsia="en-US"/>
        </w:rPr>
        <w:t>и</w:t>
      </w:r>
      <w:r w:rsidR="005C6B62" w:rsidRPr="009C733B">
        <w:rPr>
          <w:bCs/>
          <w:sz w:val="22"/>
          <w:szCs w:val="22"/>
          <w:lang w:val="sr-Cyrl-RS" w:eastAsia="en-US"/>
        </w:rPr>
        <w:t>једити</w:t>
      </w:r>
      <w:proofErr w:type="spellEnd"/>
      <w:r w:rsidR="005C6B62" w:rsidRPr="009C733B">
        <w:rPr>
          <w:bCs/>
          <w:sz w:val="22"/>
          <w:szCs w:val="22"/>
          <w:lang w:val="sr-Cyrl-RS" w:eastAsia="en-US"/>
        </w:rPr>
        <w:t xml:space="preserve"> </w:t>
      </w:r>
      <w:r w:rsidR="00214F12">
        <w:rPr>
          <w:bCs/>
          <w:sz w:val="22"/>
          <w:szCs w:val="22"/>
          <w:lang w:val="sr-Cyrl-RS" w:eastAsia="en-US"/>
        </w:rPr>
        <w:t xml:space="preserve">и </w:t>
      </w:r>
      <w:r w:rsidR="005C6B62" w:rsidRPr="009C733B">
        <w:rPr>
          <w:bCs/>
          <w:sz w:val="22"/>
          <w:szCs w:val="22"/>
          <w:lang w:val="sr-Cyrl-RS" w:eastAsia="en-US"/>
        </w:rPr>
        <w:t>адекватну едукацију запосленима у ЈЛС, како би могли да користе ове методологије.</w:t>
      </w:r>
      <w:r w:rsidR="00D864FB" w:rsidRPr="009C733B">
        <w:rPr>
          <w:bCs/>
          <w:sz w:val="22"/>
          <w:szCs w:val="22"/>
          <w:lang w:val="sr-Cyrl-RS" w:eastAsia="en-US"/>
        </w:rPr>
        <w:t xml:space="preserve"> </w:t>
      </w:r>
    </w:p>
    <w:p w14:paraId="7380F8D1" w14:textId="77777777" w:rsidR="00623A7A" w:rsidRDefault="00623A7A" w:rsidP="00623A7A">
      <w:pPr>
        <w:pStyle w:val="ListParagraph"/>
        <w:tabs>
          <w:tab w:val="left" w:pos="709"/>
          <w:tab w:val="left" w:pos="1530"/>
        </w:tabs>
        <w:spacing w:line="276" w:lineRule="auto"/>
        <w:ind w:left="360"/>
        <w:jc w:val="both"/>
        <w:rPr>
          <w:bCs/>
          <w:sz w:val="22"/>
          <w:szCs w:val="22"/>
          <w:lang w:val="sr-Cyrl-RS" w:eastAsia="en-US"/>
        </w:rPr>
      </w:pPr>
    </w:p>
    <w:p w14:paraId="35D66D6D" w14:textId="77777777" w:rsidR="00623A7A" w:rsidRDefault="00623A7A" w:rsidP="00623A7A">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Pr>
          <w:bCs/>
          <w:sz w:val="22"/>
          <w:szCs w:val="22"/>
          <w:lang w:val="sr-Cyrl-RS" w:eastAsia="en-US"/>
        </w:rPr>
        <w:t>А</w:t>
      </w:r>
      <w:r w:rsidRPr="009E157E">
        <w:rPr>
          <w:bCs/>
          <w:sz w:val="22"/>
          <w:szCs w:val="22"/>
          <w:lang w:val="sr-Cyrl-RS" w:eastAsia="en-US"/>
        </w:rPr>
        <w:t xml:space="preserve">ко се посматрају директни расходи који су се односили на сузбијање </w:t>
      </w:r>
      <w:proofErr w:type="spellStart"/>
      <w:r w:rsidRPr="009E157E">
        <w:rPr>
          <w:bCs/>
          <w:sz w:val="22"/>
          <w:szCs w:val="22"/>
          <w:lang w:val="sr-Cyrl-RS" w:eastAsia="en-US"/>
        </w:rPr>
        <w:t>пандемије</w:t>
      </w:r>
      <w:proofErr w:type="spellEnd"/>
      <w:r w:rsidRPr="009E157E">
        <w:rPr>
          <w:bCs/>
          <w:sz w:val="22"/>
          <w:szCs w:val="22"/>
          <w:lang w:val="sr-Cyrl-RS" w:eastAsia="en-US"/>
        </w:rPr>
        <w:t xml:space="preserve"> </w:t>
      </w:r>
      <w:r w:rsidRPr="009E157E">
        <w:rPr>
          <w:bCs/>
          <w:sz w:val="22"/>
          <w:szCs w:val="22"/>
          <w:lang w:val="en-US" w:eastAsia="en-US"/>
        </w:rPr>
        <w:t>COVID-19</w:t>
      </w:r>
      <w:r>
        <w:rPr>
          <w:bCs/>
          <w:sz w:val="22"/>
          <w:szCs w:val="22"/>
          <w:lang w:val="sr-Cyrl-RS" w:eastAsia="en-US"/>
        </w:rPr>
        <w:t xml:space="preserve">, на </w:t>
      </w:r>
      <w:proofErr w:type="spellStart"/>
      <w:r>
        <w:rPr>
          <w:bCs/>
          <w:sz w:val="22"/>
          <w:szCs w:val="22"/>
          <w:lang w:val="sr-Cyrl-RS" w:eastAsia="en-US"/>
        </w:rPr>
        <w:t>примјеру</w:t>
      </w:r>
      <w:proofErr w:type="spellEnd"/>
      <w:r>
        <w:rPr>
          <w:bCs/>
          <w:sz w:val="22"/>
          <w:szCs w:val="22"/>
          <w:lang w:val="sr-Cyrl-RS" w:eastAsia="en-US"/>
        </w:rPr>
        <w:t xml:space="preserve"> 7 изабраних ЈЛС,</w:t>
      </w:r>
      <w:r w:rsidRPr="009E157E">
        <w:rPr>
          <w:bCs/>
          <w:sz w:val="22"/>
          <w:szCs w:val="22"/>
          <w:lang w:val="sr-Cyrl-RS" w:eastAsia="en-US"/>
        </w:rPr>
        <w:t xml:space="preserve"> до септембра 2020. године ти издаци нису представљали значајно оптерећење у буџету. </w:t>
      </w:r>
      <w:proofErr w:type="spellStart"/>
      <w:r>
        <w:rPr>
          <w:bCs/>
          <w:sz w:val="22"/>
          <w:szCs w:val="22"/>
          <w:lang w:val="sr-Cyrl-RS" w:eastAsia="en-US"/>
        </w:rPr>
        <w:t>Примјер</w:t>
      </w:r>
      <w:proofErr w:type="spellEnd"/>
      <w:r>
        <w:rPr>
          <w:bCs/>
          <w:sz w:val="22"/>
          <w:szCs w:val="22"/>
          <w:lang w:val="sr-Cyrl-RS" w:eastAsia="en-US"/>
        </w:rPr>
        <w:t xml:space="preserve"> Бање Луке показује да су </w:t>
      </w:r>
      <w:r w:rsidRPr="009E157E">
        <w:rPr>
          <w:bCs/>
          <w:sz w:val="22"/>
          <w:szCs w:val="22"/>
          <w:lang w:val="sr-Cyrl-RS" w:eastAsia="en-US"/>
        </w:rPr>
        <w:t>највећа средства, кроз капиталне и текуће грантове, дозначена Дому здравља, који је био носила</w:t>
      </w:r>
      <w:r>
        <w:rPr>
          <w:bCs/>
          <w:sz w:val="22"/>
          <w:szCs w:val="22"/>
          <w:lang w:val="sr-Cyrl-RS" w:eastAsia="en-US"/>
        </w:rPr>
        <w:t>ц примарних здравствених активн</w:t>
      </w:r>
      <w:r w:rsidRPr="009E157E">
        <w:rPr>
          <w:bCs/>
          <w:sz w:val="22"/>
          <w:szCs w:val="22"/>
          <w:lang w:val="sr-Cyrl-RS" w:eastAsia="en-US"/>
        </w:rPr>
        <w:t>о</w:t>
      </w:r>
      <w:r>
        <w:rPr>
          <w:bCs/>
          <w:sz w:val="22"/>
          <w:szCs w:val="22"/>
          <w:lang w:val="sr-Cyrl-RS" w:eastAsia="en-US"/>
        </w:rPr>
        <w:t>с</w:t>
      </w:r>
      <w:r w:rsidRPr="009E157E">
        <w:rPr>
          <w:bCs/>
          <w:sz w:val="22"/>
          <w:szCs w:val="22"/>
          <w:lang w:val="sr-Cyrl-RS" w:eastAsia="en-US"/>
        </w:rPr>
        <w:t xml:space="preserve">ти у борби против </w:t>
      </w:r>
      <w:proofErr w:type="spellStart"/>
      <w:r w:rsidRPr="009E157E">
        <w:rPr>
          <w:bCs/>
          <w:sz w:val="22"/>
          <w:szCs w:val="22"/>
          <w:lang w:val="sr-Cyrl-RS" w:eastAsia="en-US"/>
        </w:rPr>
        <w:t>пандемије</w:t>
      </w:r>
      <w:proofErr w:type="spellEnd"/>
      <w:r w:rsidRPr="009E157E">
        <w:rPr>
          <w:bCs/>
          <w:sz w:val="22"/>
          <w:szCs w:val="22"/>
          <w:lang w:val="sr-Cyrl-RS" w:eastAsia="en-US"/>
        </w:rPr>
        <w:t>. Имајући у виду да се на Бања Луку од</w:t>
      </w:r>
      <w:r>
        <w:rPr>
          <w:bCs/>
          <w:sz w:val="22"/>
          <w:szCs w:val="22"/>
          <w:lang w:val="sr-Cyrl-RS" w:eastAsia="en-US"/>
        </w:rPr>
        <w:t>носи највећи број заражених у РС</w:t>
      </w:r>
      <w:r w:rsidRPr="009E157E">
        <w:rPr>
          <w:bCs/>
          <w:sz w:val="22"/>
          <w:szCs w:val="22"/>
          <w:lang w:val="sr-Cyrl-RS" w:eastAsia="en-US"/>
        </w:rPr>
        <w:t xml:space="preserve">, ова помоћ је била значајна за функционисање </w:t>
      </w:r>
      <w:r>
        <w:rPr>
          <w:bCs/>
          <w:sz w:val="22"/>
          <w:szCs w:val="22"/>
          <w:lang w:val="sr-Cyrl-RS" w:eastAsia="en-US"/>
        </w:rPr>
        <w:t>здравствене заштите. Питање</w:t>
      </w:r>
      <w:r w:rsidRPr="009E157E">
        <w:rPr>
          <w:bCs/>
          <w:sz w:val="22"/>
          <w:szCs w:val="22"/>
          <w:lang w:val="sr-Cyrl-RS" w:eastAsia="en-US"/>
        </w:rPr>
        <w:t xml:space="preserve"> </w:t>
      </w:r>
      <w:r>
        <w:rPr>
          <w:bCs/>
          <w:sz w:val="22"/>
          <w:szCs w:val="22"/>
          <w:lang w:val="sr-Cyrl-RS" w:eastAsia="en-US"/>
        </w:rPr>
        <w:t>трансформације</w:t>
      </w:r>
      <w:r w:rsidRPr="009E157E">
        <w:rPr>
          <w:bCs/>
          <w:sz w:val="22"/>
          <w:szCs w:val="22"/>
          <w:lang w:val="sr-Cyrl-RS" w:eastAsia="en-US"/>
        </w:rPr>
        <w:t xml:space="preserve"> домова зд</w:t>
      </w:r>
      <w:r w:rsidR="002706FC">
        <w:rPr>
          <w:bCs/>
          <w:sz w:val="22"/>
          <w:szCs w:val="22"/>
          <w:lang w:val="sr-Cyrl-RS" w:eastAsia="en-US"/>
        </w:rPr>
        <w:t>равља, у смислу преласка на лок</w:t>
      </w:r>
      <w:r w:rsidRPr="009E157E">
        <w:rPr>
          <w:bCs/>
          <w:sz w:val="22"/>
          <w:szCs w:val="22"/>
          <w:lang w:val="sr-Cyrl-RS" w:eastAsia="en-US"/>
        </w:rPr>
        <w:t>а</w:t>
      </w:r>
      <w:r w:rsidR="002706FC">
        <w:rPr>
          <w:bCs/>
          <w:sz w:val="22"/>
          <w:szCs w:val="22"/>
          <w:lang w:val="sr-Cyrl-RS" w:eastAsia="en-US"/>
        </w:rPr>
        <w:t>л</w:t>
      </w:r>
      <w:r w:rsidRPr="009E157E">
        <w:rPr>
          <w:bCs/>
          <w:sz w:val="22"/>
          <w:szCs w:val="22"/>
          <w:lang w:val="sr-Cyrl-RS" w:eastAsia="en-US"/>
        </w:rPr>
        <w:t>не трезоре</w:t>
      </w:r>
      <w:r>
        <w:rPr>
          <w:bCs/>
          <w:sz w:val="22"/>
          <w:szCs w:val="22"/>
          <w:lang w:val="sr-Cyrl-RS" w:eastAsia="en-US"/>
        </w:rPr>
        <w:t>,</w:t>
      </w:r>
      <w:r w:rsidRPr="009E157E">
        <w:rPr>
          <w:bCs/>
          <w:sz w:val="22"/>
          <w:szCs w:val="22"/>
          <w:lang w:val="sr-Cyrl-RS" w:eastAsia="en-US"/>
        </w:rPr>
        <w:t xml:space="preserve"> биће поново</w:t>
      </w:r>
      <w:r>
        <w:rPr>
          <w:bCs/>
          <w:sz w:val="22"/>
          <w:szCs w:val="22"/>
          <w:lang w:val="sr-Cyrl-RS" w:eastAsia="en-US"/>
        </w:rPr>
        <w:t xml:space="preserve"> актуелна у </w:t>
      </w:r>
      <w:proofErr w:type="spellStart"/>
      <w:r>
        <w:rPr>
          <w:bCs/>
          <w:sz w:val="22"/>
          <w:szCs w:val="22"/>
          <w:lang w:val="sr-Cyrl-RS" w:eastAsia="en-US"/>
        </w:rPr>
        <w:t>постпандемијском</w:t>
      </w:r>
      <w:proofErr w:type="spellEnd"/>
      <w:r>
        <w:rPr>
          <w:bCs/>
          <w:sz w:val="22"/>
          <w:szCs w:val="22"/>
          <w:lang w:val="sr-Cyrl-RS" w:eastAsia="en-US"/>
        </w:rPr>
        <w:t xml:space="preserve"> периоду, при чему треба узети у обзир и сва искуства стечена током </w:t>
      </w:r>
      <w:proofErr w:type="spellStart"/>
      <w:r>
        <w:rPr>
          <w:bCs/>
          <w:sz w:val="22"/>
          <w:szCs w:val="22"/>
          <w:lang w:val="sr-Cyrl-RS" w:eastAsia="en-US"/>
        </w:rPr>
        <w:t>пандемије</w:t>
      </w:r>
      <w:proofErr w:type="spellEnd"/>
      <w:r>
        <w:rPr>
          <w:bCs/>
          <w:sz w:val="22"/>
          <w:szCs w:val="22"/>
          <w:lang w:val="sr-Cyrl-RS" w:eastAsia="en-US"/>
        </w:rPr>
        <w:t>.</w:t>
      </w:r>
    </w:p>
    <w:p w14:paraId="7E30C00B" w14:textId="77777777" w:rsidR="002706FC" w:rsidRPr="00581280" w:rsidRDefault="002706FC" w:rsidP="002706FC">
      <w:pPr>
        <w:tabs>
          <w:tab w:val="left" w:pos="709"/>
          <w:tab w:val="left" w:pos="1530"/>
        </w:tabs>
        <w:spacing w:line="276" w:lineRule="auto"/>
        <w:ind w:firstLine="360"/>
        <w:jc w:val="both"/>
        <w:rPr>
          <w:bCs/>
          <w:sz w:val="22"/>
          <w:szCs w:val="22"/>
          <w:lang w:val="sr-Cyrl-RS" w:eastAsia="en-US"/>
        </w:rPr>
      </w:pPr>
    </w:p>
    <w:p w14:paraId="2F4450D8" w14:textId="4025AB40" w:rsidR="002706FC" w:rsidRPr="00AF0978" w:rsidRDefault="002706FC" w:rsidP="002706FC">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Pr>
          <w:bCs/>
          <w:sz w:val="22"/>
          <w:szCs w:val="22"/>
          <w:lang w:val="sr-Cyrl-RS" w:eastAsia="en-US"/>
        </w:rPr>
        <w:lastRenderedPageBreak/>
        <w:t>Ш</w:t>
      </w:r>
      <w:r w:rsidRPr="009E157E">
        <w:rPr>
          <w:bCs/>
          <w:sz w:val="22"/>
          <w:szCs w:val="22"/>
          <w:lang w:val="sr-Cyrl-RS" w:eastAsia="en-US"/>
        </w:rPr>
        <w:t xml:space="preserve">то се тиче капиталних улагања, </w:t>
      </w:r>
      <w:proofErr w:type="spellStart"/>
      <w:r w:rsidRPr="009E157E">
        <w:rPr>
          <w:bCs/>
          <w:sz w:val="22"/>
          <w:szCs w:val="22"/>
          <w:lang w:val="sr-Cyrl-RS" w:eastAsia="en-US"/>
        </w:rPr>
        <w:t>двије</w:t>
      </w:r>
      <w:proofErr w:type="spellEnd"/>
      <w:r w:rsidRPr="009E157E">
        <w:rPr>
          <w:bCs/>
          <w:sz w:val="22"/>
          <w:szCs w:val="22"/>
          <w:lang w:val="sr-Cyrl-RS" w:eastAsia="en-US"/>
        </w:rPr>
        <w:t xml:space="preserve"> </w:t>
      </w:r>
      <w:r w:rsidR="00AF0978">
        <w:rPr>
          <w:bCs/>
          <w:sz w:val="22"/>
          <w:szCs w:val="22"/>
          <w:lang w:val="sr-Cyrl-RS" w:eastAsia="en-US"/>
        </w:rPr>
        <w:t xml:space="preserve">анкетиране </w:t>
      </w:r>
      <w:r w:rsidRPr="009E157E">
        <w:rPr>
          <w:bCs/>
          <w:sz w:val="22"/>
          <w:szCs w:val="22"/>
          <w:lang w:val="sr-Cyrl-RS" w:eastAsia="en-US"/>
        </w:rPr>
        <w:t xml:space="preserve">ЈЛС повећале </w:t>
      </w:r>
      <w:r>
        <w:rPr>
          <w:bCs/>
          <w:sz w:val="22"/>
          <w:szCs w:val="22"/>
          <w:lang w:val="sr-Cyrl-RS" w:eastAsia="en-US"/>
        </w:rPr>
        <w:t xml:space="preserve">су </w:t>
      </w:r>
      <w:r w:rsidRPr="00AF0978">
        <w:rPr>
          <w:bCs/>
          <w:sz w:val="22"/>
          <w:szCs w:val="22"/>
          <w:lang w:val="sr-Cyrl-RS" w:eastAsia="en-US"/>
        </w:rPr>
        <w:t>план ових улагања, једна ЈЛС је задржала план, а код осталих се очекује смањење.</w:t>
      </w:r>
      <w:r w:rsidR="00AF0978">
        <w:rPr>
          <w:bCs/>
          <w:sz w:val="22"/>
          <w:szCs w:val="22"/>
          <w:lang w:val="sr-Cyrl-RS" w:eastAsia="en-US"/>
        </w:rPr>
        <w:t xml:space="preserve"> </w:t>
      </w:r>
      <w:r w:rsidR="00AF0978">
        <w:rPr>
          <w:bCs/>
          <w:sz w:val="22"/>
          <w:lang w:val="sr-Cyrl-BA" w:eastAsia="en-US"/>
        </w:rPr>
        <w:t>У</w:t>
      </w:r>
      <w:r w:rsidR="00AF0978" w:rsidRPr="00AF0978">
        <w:rPr>
          <w:bCs/>
          <w:sz w:val="22"/>
          <w:lang w:val="sr-Cyrl-BA" w:eastAsia="en-US"/>
        </w:rPr>
        <w:t xml:space="preserve"> случајевима смањења прихода, </w:t>
      </w:r>
      <w:r w:rsidR="00AF0978">
        <w:rPr>
          <w:bCs/>
          <w:sz w:val="22"/>
          <w:lang w:val="sr-Cyrl-BA" w:eastAsia="en-US"/>
        </w:rPr>
        <w:t xml:space="preserve">потребно је </w:t>
      </w:r>
      <w:r w:rsidR="00AF0978" w:rsidRPr="00AF0978">
        <w:rPr>
          <w:bCs/>
          <w:sz w:val="22"/>
          <w:lang w:val="sr-Cyrl-BA" w:eastAsia="en-US"/>
        </w:rPr>
        <w:t>осигурати додатне изворе финансирања, како би се планирана улагања и реализо</w:t>
      </w:r>
      <w:r w:rsidR="00AF0978">
        <w:rPr>
          <w:bCs/>
          <w:sz w:val="22"/>
          <w:lang w:val="sr-Cyrl-BA" w:eastAsia="en-US"/>
        </w:rPr>
        <w:t>вала, без значајнијих редукција</w:t>
      </w:r>
      <w:r w:rsidR="00AF0978">
        <w:rPr>
          <w:bCs/>
          <w:sz w:val="22"/>
          <w:szCs w:val="22"/>
          <w:lang w:val="sr-Cyrl-RS" w:eastAsia="en-US"/>
        </w:rPr>
        <w:t>.</w:t>
      </w:r>
      <w:r w:rsidRPr="00AF0978">
        <w:rPr>
          <w:bCs/>
          <w:sz w:val="22"/>
          <w:szCs w:val="22"/>
          <w:lang w:val="sr-Cyrl-RS" w:eastAsia="en-US"/>
        </w:rPr>
        <w:t xml:space="preserve"> Извори средстава, у периоду кризе, </w:t>
      </w:r>
      <w:r w:rsidR="00AF0978">
        <w:rPr>
          <w:bCs/>
          <w:sz w:val="22"/>
          <w:szCs w:val="22"/>
          <w:lang w:val="sr-Cyrl-RS" w:eastAsia="en-US"/>
        </w:rPr>
        <w:t xml:space="preserve">могу бити </w:t>
      </w:r>
      <w:r w:rsidRPr="00AF0978">
        <w:rPr>
          <w:bCs/>
          <w:sz w:val="22"/>
          <w:szCs w:val="22"/>
          <w:lang w:val="sr-Cyrl-RS" w:eastAsia="en-US"/>
        </w:rPr>
        <w:t>ново задужење и продаја имовине</w:t>
      </w:r>
      <w:r w:rsidR="00F901CB" w:rsidRPr="00AF0978">
        <w:rPr>
          <w:bCs/>
          <w:sz w:val="22"/>
          <w:szCs w:val="22"/>
          <w:lang w:val="sr-Cyrl-RS" w:eastAsia="en-US"/>
        </w:rPr>
        <w:t>, али треба размотрити и могућност формирања посебних фондова (као под тачком 2)</w:t>
      </w:r>
      <w:r w:rsidRPr="00AF0978">
        <w:rPr>
          <w:bCs/>
          <w:sz w:val="22"/>
          <w:szCs w:val="22"/>
          <w:lang w:val="sr-Cyrl-RS" w:eastAsia="en-US"/>
        </w:rPr>
        <w:t xml:space="preserve">. </w:t>
      </w:r>
      <w:proofErr w:type="spellStart"/>
      <w:r w:rsidRPr="00AF0978">
        <w:rPr>
          <w:bCs/>
          <w:sz w:val="22"/>
          <w:szCs w:val="22"/>
          <w:lang w:val="sr-Cyrl-RS" w:eastAsia="en-US"/>
        </w:rPr>
        <w:t>Опредјељење</w:t>
      </w:r>
      <w:proofErr w:type="spellEnd"/>
      <w:r w:rsidRPr="00AF0978">
        <w:rPr>
          <w:bCs/>
          <w:sz w:val="22"/>
          <w:szCs w:val="22"/>
          <w:lang w:val="sr-Cyrl-RS" w:eastAsia="en-US"/>
        </w:rPr>
        <w:t xml:space="preserve"> да се задржи или да се повећа ниво капиталних улагања, представља политику којом се жели кроз јавне инвестиције на локалном нивоу зауставити нова спирала кризе, смањити незапосленост и повећати промет домаћим произвођачима</w:t>
      </w:r>
      <w:r w:rsidR="00F901CB" w:rsidRPr="00AF0978">
        <w:rPr>
          <w:bCs/>
          <w:sz w:val="22"/>
          <w:szCs w:val="22"/>
          <w:lang w:val="sr-Cyrl-RS" w:eastAsia="en-US"/>
        </w:rPr>
        <w:t xml:space="preserve"> те так</w:t>
      </w:r>
      <w:r w:rsidR="00AF0978">
        <w:rPr>
          <w:bCs/>
          <w:sz w:val="22"/>
          <w:szCs w:val="22"/>
          <w:lang w:val="sr-Cyrl-RS" w:eastAsia="en-US"/>
        </w:rPr>
        <w:t>о одржати ниво привредне активн</w:t>
      </w:r>
      <w:r w:rsidR="00F901CB" w:rsidRPr="00AF0978">
        <w:rPr>
          <w:bCs/>
          <w:sz w:val="22"/>
          <w:szCs w:val="22"/>
          <w:lang w:val="sr-Cyrl-RS" w:eastAsia="en-US"/>
        </w:rPr>
        <w:t>о</w:t>
      </w:r>
      <w:r w:rsidR="00AF0978">
        <w:rPr>
          <w:bCs/>
          <w:sz w:val="22"/>
          <w:szCs w:val="22"/>
          <w:lang w:val="sr-Cyrl-RS" w:eastAsia="en-US"/>
        </w:rPr>
        <w:t>с</w:t>
      </w:r>
      <w:r w:rsidR="00F901CB" w:rsidRPr="00AF0978">
        <w:rPr>
          <w:bCs/>
          <w:sz w:val="22"/>
          <w:szCs w:val="22"/>
          <w:lang w:val="sr-Cyrl-RS" w:eastAsia="en-US"/>
        </w:rPr>
        <w:t>ти</w:t>
      </w:r>
      <w:r w:rsidRPr="00AF0978">
        <w:rPr>
          <w:bCs/>
          <w:sz w:val="22"/>
          <w:szCs w:val="22"/>
          <w:lang w:val="sr-Cyrl-RS" w:eastAsia="en-US"/>
        </w:rPr>
        <w:t>.</w:t>
      </w:r>
      <w:r w:rsidR="00EB1B38" w:rsidRPr="00AF0978">
        <w:rPr>
          <w:bCs/>
          <w:sz w:val="22"/>
          <w:szCs w:val="22"/>
          <w:lang w:val="sr-Cyrl-RS" w:eastAsia="en-US"/>
        </w:rPr>
        <w:t xml:space="preserve"> Такође, веома је битно да ЈЛС уредно плаћају све </w:t>
      </w:r>
      <w:proofErr w:type="spellStart"/>
      <w:r w:rsidR="00EB1B38" w:rsidRPr="00AF0978">
        <w:rPr>
          <w:bCs/>
          <w:sz w:val="22"/>
          <w:szCs w:val="22"/>
          <w:lang w:val="sr-Cyrl-RS" w:eastAsia="en-US"/>
        </w:rPr>
        <w:t>доспјеле</w:t>
      </w:r>
      <w:proofErr w:type="spellEnd"/>
      <w:r w:rsidR="00EB1B38" w:rsidRPr="00AF0978">
        <w:rPr>
          <w:bCs/>
          <w:sz w:val="22"/>
          <w:szCs w:val="22"/>
          <w:lang w:val="sr-Cyrl-RS" w:eastAsia="en-US"/>
        </w:rPr>
        <w:t xml:space="preserve"> обавезе према правним лицима према роковима </w:t>
      </w:r>
      <w:proofErr w:type="spellStart"/>
      <w:r w:rsidR="00EB1B38" w:rsidRPr="00AF0978">
        <w:rPr>
          <w:bCs/>
          <w:sz w:val="22"/>
          <w:szCs w:val="22"/>
          <w:lang w:val="sr-Cyrl-RS" w:eastAsia="en-US"/>
        </w:rPr>
        <w:t>доспијећа</w:t>
      </w:r>
      <w:proofErr w:type="spellEnd"/>
      <w:r w:rsidR="00EB1B38" w:rsidRPr="00AF0978">
        <w:rPr>
          <w:bCs/>
          <w:sz w:val="22"/>
          <w:szCs w:val="22"/>
          <w:lang w:val="sr-Cyrl-RS" w:eastAsia="en-US"/>
        </w:rPr>
        <w:t>. Тиме се спречава опште нарушавање текуће ликвидности, што је изузетно значајно за све привредне субјекте.</w:t>
      </w:r>
      <w:r w:rsidR="00033A9D" w:rsidRPr="00AF0978">
        <w:rPr>
          <w:bCs/>
          <w:sz w:val="22"/>
          <w:szCs w:val="22"/>
          <w:lang w:val="sr-Cyrl-RS" w:eastAsia="en-US"/>
        </w:rPr>
        <w:t xml:space="preserve"> Исто тако, у </w:t>
      </w:r>
      <w:proofErr w:type="spellStart"/>
      <w:r w:rsidR="00033A9D" w:rsidRPr="00AF0978">
        <w:rPr>
          <w:bCs/>
          <w:sz w:val="22"/>
          <w:szCs w:val="22"/>
          <w:lang w:val="sr-Cyrl-RS" w:eastAsia="en-US"/>
        </w:rPr>
        <w:t>мјери</w:t>
      </w:r>
      <w:proofErr w:type="spellEnd"/>
      <w:r w:rsidR="00033A9D" w:rsidRPr="00AF0978">
        <w:rPr>
          <w:bCs/>
          <w:sz w:val="22"/>
          <w:szCs w:val="22"/>
          <w:lang w:val="sr-Cyrl-RS" w:eastAsia="en-US"/>
        </w:rPr>
        <w:t xml:space="preserve"> у којој је то могуће, а имајући у виду специфичности сваке појединачне ЈЛС, треба омогућити одгођено плаћање различитих комуналних накнада</w:t>
      </w:r>
      <w:r w:rsidR="00D43BDE" w:rsidRPr="00AF0978">
        <w:rPr>
          <w:bCs/>
          <w:sz w:val="22"/>
          <w:szCs w:val="22"/>
          <w:lang w:val="sr-Cyrl-RS" w:eastAsia="en-US"/>
        </w:rPr>
        <w:t>.</w:t>
      </w:r>
      <w:r w:rsidR="00033A9D" w:rsidRPr="00AF0978">
        <w:rPr>
          <w:bCs/>
          <w:sz w:val="22"/>
          <w:szCs w:val="22"/>
          <w:lang w:val="sr-Cyrl-RS" w:eastAsia="en-US"/>
        </w:rPr>
        <w:t xml:space="preserve"> </w:t>
      </w:r>
    </w:p>
    <w:p w14:paraId="6ADE4934" w14:textId="0D6FFB61" w:rsidR="00623A7A" w:rsidRPr="00AF0978" w:rsidRDefault="00F901CB" w:rsidP="00F901CB">
      <w:pPr>
        <w:tabs>
          <w:tab w:val="left" w:pos="709"/>
          <w:tab w:val="left" w:pos="1530"/>
        </w:tabs>
        <w:spacing w:line="276" w:lineRule="auto"/>
        <w:jc w:val="both"/>
        <w:rPr>
          <w:sz w:val="22"/>
          <w:lang w:val="sr-Cyrl-RS"/>
        </w:rPr>
      </w:pPr>
      <w:r w:rsidRPr="00AF0978">
        <w:rPr>
          <w:bCs/>
          <w:sz w:val="22"/>
          <w:lang w:val="sr-Cyrl-BA" w:eastAsia="en-US"/>
        </w:rPr>
        <w:tab/>
      </w:r>
    </w:p>
    <w:p w14:paraId="6CAB4ED1" w14:textId="77777777" w:rsidR="00623A7A" w:rsidRDefault="00623A7A" w:rsidP="00623A7A">
      <w:pPr>
        <w:pStyle w:val="ListParagraph"/>
        <w:numPr>
          <w:ilvl w:val="0"/>
          <w:numId w:val="10"/>
        </w:numPr>
        <w:tabs>
          <w:tab w:val="left" w:pos="709"/>
          <w:tab w:val="left" w:pos="1530"/>
        </w:tabs>
        <w:spacing w:line="276" w:lineRule="auto"/>
        <w:ind w:left="0" w:firstLine="360"/>
        <w:jc w:val="both"/>
        <w:rPr>
          <w:bCs/>
          <w:sz w:val="22"/>
          <w:szCs w:val="22"/>
          <w:lang w:val="sr-Cyrl-RS" w:eastAsia="en-US"/>
        </w:rPr>
      </w:pPr>
      <w:proofErr w:type="spellStart"/>
      <w:r>
        <w:rPr>
          <w:bCs/>
          <w:sz w:val="22"/>
          <w:szCs w:val="22"/>
          <w:lang w:val="sr-Cyrl-RS" w:eastAsia="en-US"/>
        </w:rPr>
        <w:t>Д</w:t>
      </w:r>
      <w:r w:rsidRPr="009E157E">
        <w:rPr>
          <w:bCs/>
          <w:sz w:val="22"/>
          <w:szCs w:val="22"/>
          <w:lang w:val="sr-Cyrl-RS" w:eastAsia="en-US"/>
        </w:rPr>
        <w:t>ио</w:t>
      </w:r>
      <w:proofErr w:type="spellEnd"/>
      <w:r w:rsidRPr="009E157E">
        <w:rPr>
          <w:bCs/>
          <w:sz w:val="22"/>
          <w:szCs w:val="22"/>
          <w:lang w:val="sr-Cyrl-RS" w:eastAsia="en-US"/>
        </w:rPr>
        <w:t xml:space="preserve"> анкетираних ЈЛС ограни</w:t>
      </w:r>
      <w:r>
        <w:rPr>
          <w:bCs/>
          <w:sz w:val="22"/>
          <w:szCs w:val="22"/>
          <w:lang w:val="sr-Cyrl-RS" w:eastAsia="en-US"/>
        </w:rPr>
        <w:t>чио је нова запошљавања, али ни</w:t>
      </w:r>
      <w:r w:rsidRPr="009E157E">
        <w:rPr>
          <w:bCs/>
          <w:sz w:val="22"/>
          <w:szCs w:val="22"/>
          <w:lang w:val="sr-Cyrl-RS" w:eastAsia="en-US"/>
        </w:rPr>
        <w:t>једна није смањила плате</w:t>
      </w:r>
      <w:r>
        <w:rPr>
          <w:bCs/>
          <w:sz w:val="22"/>
          <w:szCs w:val="22"/>
          <w:lang w:val="sr-Cyrl-RS" w:eastAsia="en-US"/>
        </w:rPr>
        <w:t>,</w:t>
      </w:r>
      <w:r w:rsidRPr="009E157E">
        <w:rPr>
          <w:bCs/>
          <w:sz w:val="22"/>
          <w:szCs w:val="22"/>
          <w:lang w:val="sr-Cyrl-RS" w:eastAsia="en-US"/>
        </w:rPr>
        <w:t xml:space="preserve"> имајући у виду потребу да се у времену кризе подстакне потрошња. Такође, </w:t>
      </w:r>
      <w:proofErr w:type="spellStart"/>
      <w:r w:rsidRPr="009E157E">
        <w:rPr>
          <w:bCs/>
          <w:sz w:val="22"/>
          <w:szCs w:val="22"/>
          <w:lang w:val="sr-Latn-RS" w:eastAsia="en-US"/>
        </w:rPr>
        <w:t>нити</w:t>
      </w:r>
      <w:proofErr w:type="spellEnd"/>
      <w:r w:rsidRPr="009E157E">
        <w:rPr>
          <w:bCs/>
          <w:sz w:val="22"/>
          <w:szCs w:val="22"/>
          <w:lang w:val="sr-Latn-RS" w:eastAsia="en-US"/>
        </w:rPr>
        <w:t xml:space="preserve"> </w:t>
      </w:r>
      <w:proofErr w:type="spellStart"/>
      <w:r w:rsidRPr="009E157E">
        <w:rPr>
          <w:bCs/>
          <w:sz w:val="22"/>
          <w:szCs w:val="22"/>
          <w:lang w:val="sr-Latn-RS" w:eastAsia="en-US"/>
        </w:rPr>
        <w:t>једна</w:t>
      </w:r>
      <w:proofErr w:type="spellEnd"/>
      <w:r w:rsidRPr="009E157E">
        <w:rPr>
          <w:bCs/>
          <w:sz w:val="22"/>
          <w:szCs w:val="22"/>
          <w:lang w:val="sr-Latn-RS" w:eastAsia="en-US"/>
        </w:rPr>
        <w:t xml:space="preserve"> ЈЛС </w:t>
      </w:r>
      <w:r w:rsidRPr="009E157E">
        <w:rPr>
          <w:bCs/>
          <w:sz w:val="22"/>
          <w:szCs w:val="22"/>
          <w:lang w:val="sr-Cyrl-RS" w:eastAsia="en-US"/>
        </w:rPr>
        <w:t xml:space="preserve">није извршила смањења </w:t>
      </w:r>
      <w:proofErr w:type="spellStart"/>
      <w:r w:rsidRPr="009E157E">
        <w:rPr>
          <w:bCs/>
          <w:sz w:val="22"/>
          <w:szCs w:val="22"/>
          <w:lang w:val="sr-Cyrl-RS" w:eastAsia="en-US"/>
        </w:rPr>
        <w:t>одброничких</w:t>
      </w:r>
      <w:proofErr w:type="spellEnd"/>
      <w:r w:rsidRPr="009E157E">
        <w:rPr>
          <w:bCs/>
          <w:sz w:val="22"/>
          <w:szCs w:val="22"/>
          <w:lang w:val="sr-Cyrl-RS" w:eastAsia="en-US"/>
        </w:rPr>
        <w:t xml:space="preserve"> накнада, као и накнада управни</w:t>
      </w:r>
      <w:r w:rsidR="00814B56">
        <w:rPr>
          <w:bCs/>
          <w:sz w:val="22"/>
          <w:szCs w:val="22"/>
          <w:lang w:val="sr-Cyrl-RS" w:eastAsia="en-US"/>
        </w:rPr>
        <w:t>м одборима буџетских корисника.</w:t>
      </w:r>
    </w:p>
    <w:p w14:paraId="02FB9CBE" w14:textId="77777777" w:rsidR="00D864FB" w:rsidRPr="00623A7A" w:rsidRDefault="00D864FB" w:rsidP="00623A7A">
      <w:pPr>
        <w:tabs>
          <w:tab w:val="left" w:pos="709"/>
          <w:tab w:val="left" w:pos="1530"/>
        </w:tabs>
        <w:spacing w:line="276" w:lineRule="auto"/>
        <w:jc w:val="both"/>
        <w:rPr>
          <w:bCs/>
          <w:sz w:val="22"/>
          <w:szCs w:val="22"/>
          <w:lang w:val="sr-Cyrl-RS" w:eastAsia="en-US"/>
        </w:rPr>
      </w:pPr>
    </w:p>
    <w:p w14:paraId="09B8DF65" w14:textId="77777777" w:rsidR="005264E0" w:rsidRPr="00042085" w:rsidRDefault="005264E0" w:rsidP="00D864FB">
      <w:pPr>
        <w:pStyle w:val="ListParagraph"/>
        <w:numPr>
          <w:ilvl w:val="0"/>
          <w:numId w:val="10"/>
        </w:numPr>
        <w:tabs>
          <w:tab w:val="left" w:pos="709"/>
          <w:tab w:val="left" w:pos="1530"/>
        </w:tabs>
        <w:spacing w:line="276" w:lineRule="auto"/>
        <w:ind w:left="0" w:firstLine="360"/>
        <w:jc w:val="both"/>
        <w:rPr>
          <w:sz w:val="22"/>
          <w:szCs w:val="22"/>
        </w:rPr>
      </w:pPr>
      <w:r w:rsidRPr="00042085">
        <w:rPr>
          <w:bCs/>
          <w:sz w:val="22"/>
          <w:szCs w:val="22"/>
          <w:lang w:val="sr-Cyrl-RS" w:eastAsia="en-US"/>
        </w:rPr>
        <w:t xml:space="preserve">Само једна од анкетираних ЈЛС упутила је, током </w:t>
      </w:r>
      <w:proofErr w:type="spellStart"/>
      <w:r w:rsidRPr="00042085">
        <w:rPr>
          <w:bCs/>
          <w:sz w:val="22"/>
          <w:szCs w:val="22"/>
          <w:lang w:val="sr-Cyrl-RS" w:eastAsia="en-US"/>
        </w:rPr>
        <w:t>пандемије</w:t>
      </w:r>
      <w:proofErr w:type="spellEnd"/>
      <w:r w:rsidRPr="00042085">
        <w:rPr>
          <w:bCs/>
          <w:sz w:val="22"/>
          <w:szCs w:val="22"/>
          <w:lang w:val="sr-Cyrl-RS" w:eastAsia="en-US"/>
        </w:rPr>
        <w:t>, препоруку градоначелника комуналним јавним предузећима</w:t>
      </w:r>
      <w:r w:rsidR="00D864FB" w:rsidRPr="00042085">
        <w:rPr>
          <w:bCs/>
          <w:sz w:val="22"/>
          <w:szCs w:val="22"/>
          <w:lang w:val="sr-Cyrl-RS" w:eastAsia="en-US"/>
        </w:rPr>
        <w:t xml:space="preserve"> који су већинском власништву ЈЛС</w:t>
      </w:r>
      <w:r w:rsidRPr="00042085">
        <w:rPr>
          <w:bCs/>
          <w:sz w:val="22"/>
          <w:szCs w:val="22"/>
          <w:lang w:val="sr-Cyrl-RS" w:eastAsia="en-US"/>
        </w:rPr>
        <w:t xml:space="preserve">, </w:t>
      </w:r>
      <w:r w:rsidR="00D864FB" w:rsidRPr="00042085">
        <w:rPr>
          <w:bCs/>
          <w:sz w:val="22"/>
          <w:szCs w:val="22"/>
          <w:lang w:val="sr-Cyrl-RS" w:eastAsia="en-US"/>
        </w:rPr>
        <w:t xml:space="preserve">а </w:t>
      </w:r>
      <w:r w:rsidRPr="00042085">
        <w:rPr>
          <w:bCs/>
          <w:sz w:val="22"/>
          <w:szCs w:val="22"/>
          <w:lang w:val="sr-Cyrl-RS" w:eastAsia="en-US"/>
        </w:rPr>
        <w:t xml:space="preserve">у вези са поступањем током </w:t>
      </w:r>
      <w:proofErr w:type="spellStart"/>
      <w:r w:rsidRPr="00042085">
        <w:rPr>
          <w:bCs/>
          <w:sz w:val="22"/>
          <w:szCs w:val="22"/>
          <w:lang w:val="sr-Cyrl-RS" w:eastAsia="en-US"/>
        </w:rPr>
        <w:t>пандемије</w:t>
      </w:r>
      <w:proofErr w:type="spellEnd"/>
      <w:r w:rsidRPr="00042085">
        <w:rPr>
          <w:bCs/>
          <w:sz w:val="22"/>
          <w:szCs w:val="22"/>
          <w:lang w:val="sr-Cyrl-RS" w:eastAsia="en-US"/>
        </w:rPr>
        <w:t>. У тим препорукама посебно се издвајају оне које се односе на приоритете у јавним набавкама, селекцију инвестиција, ограничавање задужења, ограничење потрошње само на приоритете, доношење ревидираних планова пословања, поступања према купцима у смислу да се не врши обрачун затезних камата</w:t>
      </w:r>
      <w:r w:rsidR="00042085">
        <w:rPr>
          <w:bCs/>
          <w:sz w:val="22"/>
          <w:szCs w:val="22"/>
          <w:lang w:val="sr-Cyrl-RS" w:eastAsia="en-US"/>
        </w:rPr>
        <w:t>, код кашњења у плаћањ</w:t>
      </w:r>
      <w:r w:rsidR="00D864FB" w:rsidRPr="00042085">
        <w:rPr>
          <w:bCs/>
          <w:sz w:val="22"/>
          <w:szCs w:val="22"/>
          <w:lang w:val="sr-Cyrl-RS" w:eastAsia="en-US"/>
        </w:rPr>
        <w:t xml:space="preserve">у итд. </w:t>
      </w:r>
      <w:r w:rsidR="00042085">
        <w:rPr>
          <w:bCs/>
          <w:sz w:val="22"/>
          <w:szCs w:val="22"/>
          <w:lang w:val="sr-Cyrl-RS" w:eastAsia="en-US"/>
        </w:rPr>
        <w:t>Питање рентабилности и профитабилности пословања јавних комуналних предузећа</w:t>
      </w:r>
      <w:r w:rsidR="000227A2">
        <w:rPr>
          <w:bCs/>
          <w:sz w:val="22"/>
          <w:szCs w:val="22"/>
          <w:lang w:val="sr-Cyrl-RS" w:eastAsia="en-US"/>
        </w:rPr>
        <w:t xml:space="preserve">, односно, питање трошкова испоруке услуга и оперативне ефикасности, </w:t>
      </w:r>
      <w:r w:rsidR="00042085">
        <w:rPr>
          <w:bCs/>
          <w:sz w:val="22"/>
          <w:szCs w:val="22"/>
          <w:lang w:val="sr-Cyrl-RS" w:eastAsia="en-US"/>
        </w:rPr>
        <w:t xml:space="preserve"> превазилази оквир овог рада, али је сигурно врло значајно за </w:t>
      </w:r>
      <w:r w:rsidR="000227A2">
        <w:rPr>
          <w:bCs/>
          <w:sz w:val="22"/>
          <w:szCs w:val="22"/>
          <w:lang w:val="sr-Cyrl-RS" w:eastAsia="en-US"/>
        </w:rPr>
        <w:t>функционисање сваке локалне заједнице, а кроз различите облике субвенција, улагања у капитал, изградње инфраструктуре и слично, може знатно оптеретити буџет</w:t>
      </w:r>
      <w:r w:rsidR="00042085">
        <w:rPr>
          <w:bCs/>
          <w:sz w:val="22"/>
          <w:szCs w:val="22"/>
          <w:lang w:val="sr-Cyrl-RS" w:eastAsia="en-US"/>
        </w:rPr>
        <w:t>.</w:t>
      </w:r>
    </w:p>
    <w:p w14:paraId="145EEC47" w14:textId="77777777" w:rsidR="006C740F" w:rsidRPr="00F71CFC" w:rsidRDefault="006C740F" w:rsidP="006C740F">
      <w:pPr>
        <w:pStyle w:val="ListParagraph"/>
        <w:tabs>
          <w:tab w:val="left" w:pos="709"/>
          <w:tab w:val="left" w:pos="1530"/>
        </w:tabs>
        <w:spacing w:line="276" w:lineRule="auto"/>
        <w:ind w:left="360"/>
        <w:jc w:val="both"/>
        <w:rPr>
          <w:bCs/>
          <w:sz w:val="22"/>
          <w:szCs w:val="22"/>
          <w:lang w:val="sr-Cyrl-RS" w:eastAsia="en-US"/>
        </w:rPr>
      </w:pPr>
    </w:p>
    <w:p w14:paraId="1B622CBC" w14:textId="625EF932" w:rsidR="00817909" w:rsidRPr="00817909" w:rsidRDefault="007E2BAD" w:rsidP="00817909">
      <w:pPr>
        <w:pStyle w:val="ListParagraph"/>
        <w:numPr>
          <w:ilvl w:val="0"/>
          <w:numId w:val="10"/>
        </w:numPr>
        <w:tabs>
          <w:tab w:val="left" w:pos="709"/>
          <w:tab w:val="left" w:pos="1530"/>
        </w:tabs>
        <w:spacing w:line="276" w:lineRule="auto"/>
        <w:ind w:left="0" w:firstLine="360"/>
        <w:jc w:val="both"/>
        <w:rPr>
          <w:bCs/>
          <w:sz w:val="22"/>
          <w:szCs w:val="22"/>
          <w:lang w:val="en-US" w:eastAsia="en-US"/>
        </w:rPr>
      </w:pPr>
      <w:r w:rsidRPr="005202DD">
        <w:rPr>
          <w:bCs/>
          <w:sz w:val="22"/>
          <w:szCs w:val="22"/>
          <w:lang w:val="sr-Cyrl-RS" w:eastAsia="en-US"/>
        </w:rPr>
        <w:t>К</w:t>
      </w:r>
      <w:r w:rsidR="00A50009" w:rsidRPr="005202DD">
        <w:rPr>
          <w:bCs/>
          <w:sz w:val="22"/>
          <w:szCs w:val="22"/>
          <w:lang w:val="sr-Cyrl-RS" w:eastAsia="en-US"/>
        </w:rPr>
        <w:t>од већих ЈЛС</w:t>
      </w:r>
      <w:r w:rsidRPr="005202DD">
        <w:rPr>
          <w:bCs/>
          <w:sz w:val="22"/>
          <w:szCs w:val="22"/>
          <w:lang w:val="sr-Cyrl-RS" w:eastAsia="en-US"/>
        </w:rPr>
        <w:t>,</w:t>
      </w:r>
      <w:r w:rsidR="00A50009" w:rsidRPr="005202DD">
        <w:rPr>
          <w:bCs/>
          <w:sz w:val="22"/>
          <w:szCs w:val="22"/>
          <w:lang w:val="sr-Cyrl-RS" w:eastAsia="en-US"/>
        </w:rPr>
        <w:t xml:space="preserve"> које имају развојне агенције потребно би било да се оне ангажују на аплицирању за добијање финансијских средстава према међународним институцијама, кроз реализацију пројеката </w:t>
      </w:r>
      <w:proofErr w:type="spellStart"/>
      <w:r w:rsidR="00A50009" w:rsidRPr="005202DD">
        <w:rPr>
          <w:bCs/>
          <w:sz w:val="22"/>
          <w:szCs w:val="22"/>
          <w:lang w:val="sr-Cyrl-RS" w:eastAsia="en-US"/>
        </w:rPr>
        <w:t>усмјер</w:t>
      </w:r>
      <w:r w:rsidRPr="005202DD">
        <w:rPr>
          <w:bCs/>
          <w:sz w:val="22"/>
          <w:szCs w:val="22"/>
          <w:lang w:val="sr-Cyrl-RS" w:eastAsia="en-US"/>
        </w:rPr>
        <w:t>ених</w:t>
      </w:r>
      <w:proofErr w:type="spellEnd"/>
      <w:r w:rsidRPr="005202DD">
        <w:rPr>
          <w:bCs/>
          <w:sz w:val="22"/>
          <w:szCs w:val="22"/>
          <w:lang w:val="sr-Cyrl-RS" w:eastAsia="en-US"/>
        </w:rPr>
        <w:t xml:space="preserve"> на област туризма, културе, </w:t>
      </w:r>
      <w:r w:rsidRPr="005202DD">
        <w:rPr>
          <w:bCs/>
          <w:sz w:val="22"/>
          <w:szCs w:val="22"/>
          <w:lang w:val="en-US" w:eastAsia="en-US"/>
        </w:rPr>
        <w:t>startup</w:t>
      </w:r>
      <w:r w:rsidRPr="005202DD">
        <w:rPr>
          <w:bCs/>
          <w:sz w:val="22"/>
          <w:szCs w:val="22"/>
          <w:lang w:val="sr-Cyrl-RS" w:eastAsia="en-US"/>
        </w:rPr>
        <w:t xml:space="preserve"> предузећа, еколошке пољопривредне производње, формирања производних кластера и сл.</w:t>
      </w:r>
      <w:r w:rsidR="00131C85" w:rsidRPr="005202DD">
        <w:rPr>
          <w:bCs/>
          <w:sz w:val="22"/>
          <w:szCs w:val="22"/>
          <w:lang w:val="sr-Cyrl-RS" w:eastAsia="en-US"/>
        </w:rPr>
        <w:t xml:space="preserve"> Развојне агенције основане на нивоу ЈЛС требале би</w:t>
      </w:r>
      <w:r w:rsidR="002706FC">
        <w:rPr>
          <w:bCs/>
          <w:sz w:val="22"/>
          <w:szCs w:val="22"/>
          <w:lang w:val="sr-Cyrl-RS" w:eastAsia="en-US"/>
        </w:rPr>
        <w:t xml:space="preserve"> што прије</w:t>
      </w:r>
      <w:r w:rsidR="00131C85" w:rsidRPr="005202DD">
        <w:rPr>
          <w:bCs/>
          <w:sz w:val="22"/>
          <w:szCs w:val="22"/>
          <w:lang w:val="sr-Cyrl-RS" w:eastAsia="en-US"/>
        </w:rPr>
        <w:t xml:space="preserve"> да </w:t>
      </w:r>
      <w:r w:rsidR="002706FC">
        <w:rPr>
          <w:bCs/>
          <w:sz w:val="22"/>
          <w:szCs w:val="22"/>
          <w:lang w:val="sr-Cyrl-RS" w:eastAsia="en-US"/>
        </w:rPr>
        <w:t xml:space="preserve">конципирају и проведу </w:t>
      </w:r>
      <w:r w:rsidR="00131C85" w:rsidRPr="005202DD">
        <w:rPr>
          <w:bCs/>
          <w:sz w:val="22"/>
          <w:szCs w:val="22"/>
          <w:lang w:val="sr-Cyrl-RS" w:eastAsia="en-US"/>
        </w:rPr>
        <w:t>програме</w:t>
      </w:r>
      <w:r w:rsidR="002706FC">
        <w:rPr>
          <w:bCs/>
          <w:sz w:val="22"/>
          <w:szCs w:val="22"/>
          <w:lang w:val="sr-Cyrl-RS" w:eastAsia="en-US"/>
        </w:rPr>
        <w:t>,</w:t>
      </w:r>
      <w:r w:rsidR="00131C85" w:rsidRPr="005202DD">
        <w:rPr>
          <w:bCs/>
          <w:sz w:val="22"/>
          <w:szCs w:val="22"/>
          <w:lang w:val="sr-Cyrl-RS" w:eastAsia="en-US"/>
        </w:rPr>
        <w:t xml:space="preserve"> којима се привредницима и предузетницима пружају </w:t>
      </w:r>
      <w:proofErr w:type="spellStart"/>
      <w:r w:rsidR="00131C85" w:rsidRPr="005202DD">
        <w:rPr>
          <w:bCs/>
          <w:sz w:val="22"/>
          <w:szCs w:val="22"/>
          <w:lang w:val="sr-Cyrl-RS" w:eastAsia="en-US"/>
        </w:rPr>
        <w:t>савјетодавне</w:t>
      </w:r>
      <w:proofErr w:type="spellEnd"/>
      <w:r w:rsidR="00131C85" w:rsidRPr="005202DD">
        <w:rPr>
          <w:bCs/>
          <w:sz w:val="22"/>
          <w:szCs w:val="22"/>
          <w:lang w:val="sr-Cyrl-RS" w:eastAsia="en-US"/>
        </w:rPr>
        <w:t xml:space="preserve"> услуге у вези са пословањем у </w:t>
      </w:r>
      <w:proofErr w:type="spellStart"/>
      <w:r w:rsidR="00131C85" w:rsidRPr="005202DD">
        <w:rPr>
          <w:bCs/>
          <w:sz w:val="22"/>
          <w:szCs w:val="22"/>
          <w:lang w:val="sr-Cyrl-RS" w:eastAsia="en-US"/>
        </w:rPr>
        <w:t>вријеме</w:t>
      </w:r>
      <w:proofErr w:type="spellEnd"/>
      <w:r w:rsidR="00131C85" w:rsidRPr="005202DD">
        <w:rPr>
          <w:bCs/>
          <w:sz w:val="22"/>
          <w:szCs w:val="22"/>
          <w:lang w:val="sr-Cyrl-RS" w:eastAsia="en-US"/>
        </w:rPr>
        <w:t xml:space="preserve"> кризе</w:t>
      </w:r>
      <w:r w:rsidR="002706FC">
        <w:rPr>
          <w:bCs/>
          <w:sz w:val="22"/>
          <w:szCs w:val="22"/>
          <w:lang w:val="sr-Cyrl-RS" w:eastAsia="en-US"/>
        </w:rPr>
        <w:t xml:space="preserve"> и потребним пословним </w:t>
      </w:r>
      <w:proofErr w:type="spellStart"/>
      <w:r w:rsidR="002706FC">
        <w:rPr>
          <w:bCs/>
          <w:sz w:val="22"/>
          <w:szCs w:val="22"/>
          <w:lang w:val="sr-Cyrl-RS" w:eastAsia="en-US"/>
        </w:rPr>
        <w:t>мјерама</w:t>
      </w:r>
      <w:proofErr w:type="spellEnd"/>
      <w:r w:rsidR="002706FC">
        <w:rPr>
          <w:bCs/>
          <w:sz w:val="22"/>
          <w:szCs w:val="22"/>
          <w:lang w:val="sr-Cyrl-RS" w:eastAsia="en-US"/>
        </w:rPr>
        <w:t xml:space="preserve"> за опоравак</w:t>
      </w:r>
      <w:r w:rsidR="00131C85" w:rsidRPr="005202DD">
        <w:rPr>
          <w:bCs/>
          <w:sz w:val="22"/>
          <w:szCs w:val="22"/>
          <w:lang w:val="sr-Cyrl-RS" w:eastAsia="en-US"/>
        </w:rPr>
        <w:t xml:space="preserve">. Добри су </w:t>
      </w:r>
      <w:proofErr w:type="spellStart"/>
      <w:r w:rsidR="00131C85" w:rsidRPr="005202DD">
        <w:rPr>
          <w:bCs/>
          <w:sz w:val="22"/>
          <w:szCs w:val="22"/>
          <w:lang w:val="sr-Cyrl-RS" w:eastAsia="en-US"/>
        </w:rPr>
        <w:t>примјери</w:t>
      </w:r>
      <w:proofErr w:type="spellEnd"/>
      <w:r w:rsidR="00131C85" w:rsidRPr="005202DD">
        <w:rPr>
          <w:bCs/>
          <w:sz w:val="22"/>
          <w:szCs w:val="22"/>
          <w:lang w:val="sr-Cyrl-RS" w:eastAsia="en-US"/>
        </w:rPr>
        <w:t xml:space="preserve"> из земаља у окружењу које су формирале платформе за </w:t>
      </w:r>
      <w:r w:rsidR="00131C85" w:rsidRPr="005202DD">
        <w:rPr>
          <w:bCs/>
          <w:sz w:val="22"/>
          <w:szCs w:val="22"/>
          <w:lang w:val="en-US" w:eastAsia="en-US"/>
        </w:rPr>
        <w:t xml:space="preserve">online </w:t>
      </w:r>
      <w:r w:rsidR="00131C85" w:rsidRPr="005202DD">
        <w:rPr>
          <w:bCs/>
          <w:sz w:val="22"/>
          <w:szCs w:val="22"/>
          <w:lang w:val="sr-Cyrl-RS" w:eastAsia="en-US"/>
        </w:rPr>
        <w:t xml:space="preserve">продају прехрамбених производа (осигурава се размјена између грађана као потрошача и локалних пољопривредника као </w:t>
      </w:r>
      <w:proofErr w:type="spellStart"/>
      <w:r w:rsidR="00131C85" w:rsidRPr="005202DD">
        <w:rPr>
          <w:bCs/>
          <w:sz w:val="22"/>
          <w:szCs w:val="22"/>
          <w:lang w:val="sr-Cyrl-RS" w:eastAsia="en-US"/>
        </w:rPr>
        <w:t>пороизвођча</w:t>
      </w:r>
      <w:proofErr w:type="spellEnd"/>
      <w:r w:rsidR="00131C85" w:rsidRPr="005202DD">
        <w:rPr>
          <w:bCs/>
          <w:sz w:val="22"/>
          <w:szCs w:val="22"/>
          <w:lang w:val="sr-Cyrl-RS" w:eastAsia="en-US"/>
        </w:rPr>
        <w:t>).</w:t>
      </w:r>
    </w:p>
    <w:p w14:paraId="708ADFCF" w14:textId="77777777" w:rsidR="00817909" w:rsidRPr="00817909" w:rsidRDefault="00817909" w:rsidP="00817909">
      <w:pPr>
        <w:pStyle w:val="ListParagraph"/>
        <w:tabs>
          <w:tab w:val="left" w:pos="709"/>
          <w:tab w:val="left" w:pos="1530"/>
        </w:tabs>
        <w:spacing w:line="276" w:lineRule="auto"/>
        <w:ind w:left="360"/>
        <w:jc w:val="both"/>
        <w:rPr>
          <w:bCs/>
          <w:sz w:val="22"/>
          <w:szCs w:val="22"/>
          <w:lang w:val="en-US" w:eastAsia="en-US"/>
        </w:rPr>
      </w:pPr>
    </w:p>
    <w:p w14:paraId="51CE8053" w14:textId="65CBC083" w:rsidR="00A0538D" w:rsidRPr="00817909" w:rsidRDefault="007E2BAD" w:rsidP="00817909">
      <w:pPr>
        <w:pStyle w:val="ListParagraph"/>
        <w:numPr>
          <w:ilvl w:val="0"/>
          <w:numId w:val="10"/>
        </w:numPr>
        <w:tabs>
          <w:tab w:val="left" w:pos="709"/>
          <w:tab w:val="left" w:pos="1530"/>
        </w:tabs>
        <w:spacing w:line="276" w:lineRule="auto"/>
        <w:ind w:left="0" w:firstLine="360"/>
        <w:jc w:val="both"/>
        <w:rPr>
          <w:bCs/>
          <w:sz w:val="22"/>
          <w:szCs w:val="22"/>
          <w:lang w:val="en-US" w:eastAsia="en-US"/>
        </w:rPr>
      </w:pPr>
      <w:r w:rsidRPr="00817909">
        <w:rPr>
          <w:bCs/>
          <w:sz w:val="22"/>
          <w:szCs w:val="22"/>
          <w:lang w:val="sr-Cyrl-RS" w:eastAsia="en-US"/>
        </w:rPr>
        <w:t>К</w:t>
      </w:r>
      <w:r w:rsidR="00A50009" w:rsidRPr="00817909">
        <w:rPr>
          <w:bCs/>
          <w:sz w:val="22"/>
          <w:szCs w:val="22"/>
          <w:lang w:val="sr-Cyrl-RS" w:eastAsia="en-US"/>
        </w:rPr>
        <w:t>ада је у питању помоћ привреди, показало се да су све анкетиране ЈЛС</w:t>
      </w:r>
      <w:r w:rsidR="00817909" w:rsidRPr="00817909">
        <w:rPr>
          <w:bCs/>
          <w:sz w:val="22"/>
          <w:szCs w:val="22"/>
          <w:lang w:val="sr-Cyrl-RS" w:eastAsia="en-US"/>
        </w:rPr>
        <w:t>, почев од априла ове године,</w:t>
      </w:r>
      <w:r w:rsidR="00A50009" w:rsidRPr="00817909">
        <w:rPr>
          <w:bCs/>
          <w:sz w:val="22"/>
          <w:szCs w:val="22"/>
          <w:lang w:val="sr-Cyrl-RS" w:eastAsia="en-US"/>
        </w:rPr>
        <w:t xml:space="preserve"> доносиле готов</w:t>
      </w:r>
      <w:r w:rsidR="009F4008" w:rsidRPr="00817909">
        <w:rPr>
          <w:bCs/>
          <w:sz w:val="22"/>
          <w:szCs w:val="22"/>
          <w:lang w:val="sr-Cyrl-RS" w:eastAsia="en-US"/>
        </w:rPr>
        <w:t>о</w:t>
      </w:r>
      <w:r w:rsidR="00A50009" w:rsidRPr="00817909">
        <w:rPr>
          <w:bCs/>
          <w:sz w:val="22"/>
          <w:szCs w:val="22"/>
          <w:lang w:val="sr-Cyrl-RS" w:eastAsia="en-US"/>
        </w:rPr>
        <w:t xml:space="preserve"> идентичне </w:t>
      </w:r>
      <w:proofErr w:type="spellStart"/>
      <w:r w:rsidR="00A50009" w:rsidRPr="00817909">
        <w:rPr>
          <w:bCs/>
          <w:sz w:val="22"/>
          <w:szCs w:val="22"/>
          <w:lang w:val="sr-Cyrl-RS" w:eastAsia="en-US"/>
        </w:rPr>
        <w:t>мјере</w:t>
      </w:r>
      <w:proofErr w:type="spellEnd"/>
      <w:r w:rsidR="003E4777" w:rsidRPr="00817909">
        <w:rPr>
          <w:bCs/>
          <w:sz w:val="22"/>
          <w:szCs w:val="22"/>
          <w:lang w:val="sr-Cyrl-RS" w:eastAsia="en-US"/>
        </w:rPr>
        <w:t xml:space="preserve"> (различите врсте субвенција, ослобађање о</w:t>
      </w:r>
      <w:r w:rsidR="00CA15A7">
        <w:rPr>
          <w:bCs/>
          <w:sz w:val="22"/>
          <w:szCs w:val="22"/>
          <w:lang w:val="sr-Cyrl-RS" w:eastAsia="en-US"/>
        </w:rPr>
        <w:t xml:space="preserve">д плаћања појединих накнада и закупнина, репрограм </w:t>
      </w:r>
      <w:proofErr w:type="spellStart"/>
      <w:r w:rsidR="00CA15A7">
        <w:rPr>
          <w:bCs/>
          <w:sz w:val="22"/>
          <w:szCs w:val="22"/>
          <w:lang w:val="sr-Cyrl-RS" w:eastAsia="en-US"/>
        </w:rPr>
        <w:t>обавзеа</w:t>
      </w:r>
      <w:proofErr w:type="spellEnd"/>
      <w:r w:rsidR="00CA15A7">
        <w:rPr>
          <w:bCs/>
          <w:sz w:val="22"/>
          <w:szCs w:val="22"/>
          <w:lang w:val="sr-Cyrl-RS" w:eastAsia="en-US"/>
        </w:rPr>
        <w:t xml:space="preserve"> итд.</w:t>
      </w:r>
      <w:r w:rsidR="003E4777" w:rsidRPr="00817909">
        <w:rPr>
          <w:bCs/>
          <w:sz w:val="22"/>
          <w:szCs w:val="22"/>
          <w:lang w:val="sr-Cyrl-RS" w:eastAsia="en-US"/>
        </w:rPr>
        <w:t>)</w:t>
      </w:r>
      <w:r w:rsidR="006C740F" w:rsidRPr="00817909">
        <w:rPr>
          <w:bCs/>
          <w:sz w:val="22"/>
          <w:szCs w:val="22"/>
          <w:lang w:val="sr-Cyrl-RS" w:eastAsia="en-US"/>
        </w:rPr>
        <w:t>,</w:t>
      </w:r>
      <w:r w:rsidR="00E01A3D" w:rsidRPr="00817909">
        <w:rPr>
          <w:bCs/>
          <w:sz w:val="22"/>
          <w:szCs w:val="22"/>
          <w:lang w:val="sr-Cyrl-RS" w:eastAsia="en-US"/>
        </w:rPr>
        <w:t xml:space="preserve"> а за оне привредне субјекте којима је </w:t>
      </w:r>
      <w:proofErr w:type="spellStart"/>
      <w:r w:rsidR="00E01A3D" w:rsidRPr="00817909">
        <w:rPr>
          <w:bCs/>
          <w:sz w:val="22"/>
          <w:szCs w:val="22"/>
          <w:lang w:val="sr-Cyrl-RS" w:eastAsia="en-US"/>
        </w:rPr>
        <w:t>мјерама</w:t>
      </w:r>
      <w:proofErr w:type="spellEnd"/>
      <w:r w:rsidR="00E01A3D" w:rsidRPr="00817909">
        <w:rPr>
          <w:bCs/>
          <w:sz w:val="22"/>
          <w:szCs w:val="22"/>
          <w:lang w:val="sr-Cyrl-RS" w:eastAsia="en-US"/>
        </w:rPr>
        <w:t xml:space="preserve"> кризних штабова био забрањен, отежан или ограничен рад. </w:t>
      </w:r>
      <w:proofErr w:type="spellStart"/>
      <w:r w:rsidR="00817909" w:rsidRPr="00817909">
        <w:rPr>
          <w:bCs/>
          <w:sz w:val="22"/>
          <w:szCs w:val="22"/>
          <w:lang w:val="sr-Cyrl-RS" w:eastAsia="en-US"/>
        </w:rPr>
        <w:t>Искориштени</w:t>
      </w:r>
      <w:proofErr w:type="spellEnd"/>
      <w:r w:rsidR="00817909" w:rsidRPr="00817909">
        <w:rPr>
          <w:bCs/>
          <w:sz w:val="22"/>
          <w:szCs w:val="22"/>
          <w:lang w:val="sr-Cyrl-RS" w:eastAsia="en-US"/>
        </w:rPr>
        <w:t xml:space="preserve"> су различити облици помоћи, али је питање да ли су средства </w:t>
      </w:r>
      <w:proofErr w:type="spellStart"/>
      <w:r w:rsidR="00817909" w:rsidRPr="00817909">
        <w:rPr>
          <w:bCs/>
          <w:sz w:val="22"/>
          <w:szCs w:val="22"/>
          <w:lang w:val="sr-Cyrl-RS" w:eastAsia="en-US"/>
        </w:rPr>
        <w:t>обезбијеђена</w:t>
      </w:r>
      <w:proofErr w:type="spellEnd"/>
      <w:r w:rsidR="00817909" w:rsidRPr="00817909">
        <w:rPr>
          <w:bCs/>
          <w:sz w:val="22"/>
          <w:szCs w:val="22"/>
          <w:lang w:val="sr-Cyrl-RS" w:eastAsia="en-US"/>
        </w:rPr>
        <w:t xml:space="preserve"> у адекватном обиму имајући у виду ниво штете која је настала и која ће настати у привреди током </w:t>
      </w:r>
      <w:proofErr w:type="spellStart"/>
      <w:r w:rsidR="00817909" w:rsidRPr="00817909">
        <w:rPr>
          <w:bCs/>
          <w:sz w:val="22"/>
          <w:szCs w:val="22"/>
          <w:lang w:val="sr-Cyrl-RS" w:eastAsia="en-US"/>
        </w:rPr>
        <w:t>пандемије</w:t>
      </w:r>
      <w:proofErr w:type="spellEnd"/>
      <w:r w:rsidR="00817909" w:rsidRPr="00817909">
        <w:rPr>
          <w:bCs/>
          <w:sz w:val="22"/>
          <w:szCs w:val="22"/>
          <w:lang w:val="sr-Cyrl-RS" w:eastAsia="en-US"/>
        </w:rPr>
        <w:t xml:space="preserve">. Мале и </w:t>
      </w:r>
      <w:proofErr w:type="spellStart"/>
      <w:r w:rsidR="00817909" w:rsidRPr="00817909">
        <w:rPr>
          <w:bCs/>
          <w:sz w:val="22"/>
          <w:szCs w:val="22"/>
          <w:lang w:val="sr-Cyrl-RS" w:eastAsia="en-US"/>
        </w:rPr>
        <w:t>неразвијне</w:t>
      </w:r>
      <w:proofErr w:type="spellEnd"/>
      <w:r w:rsidR="00817909" w:rsidRPr="00817909">
        <w:rPr>
          <w:bCs/>
          <w:sz w:val="22"/>
          <w:szCs w:val="22"/>
          <w:lang w:val="sr-Cyrl-RS" w:eastAsia="en-US"/>
        </w:rPr>
        <w:t xml:space="preserve"> ЈЛС имају ограничене финансијске капацитете у овом смислу. </w:t>
      </w:r>
      <w:r w:rsidR="00E01A3D" w:rsidRPr="00817909">
        <w:rPr>
          <w:bCs/>
          <w:sz w:val="22"/>
          <w:szCs w:val="22"/>
          <w:lang w:val="sr-Cyrl-RS" w:eastAsia="en-US"/>
        </w:rPr>
        <w:t>П</w:t>
      </w:r>
      <w:r w:rsidR="006C740F" w:rsidRPr="00817909">
        <w:rPr>
          <w:bCs/>
          <w:sz w:val="22"/>
          <w:szCs w:val="22"/>
          <w:lang w:val="sr-Cyrl-RS" w:eastAsia="en-US"/>
        </w:rPr>
        <w:t xml:space="preserve">ривредници истичу да је комуникација и сарадња са пословном заједницом,  могла бити боља и да су се у </w:t>
      </w:r>
      <w:r w:rsidR="00E01A3D" w:rsidRPr="00817909">
        <w:rPr>
          <w:bCs/>
          <w:sz w:val="22"/>
          <w:szCs w:val="22"/>
          <w:lang w:val="sr-Cyrl-RS" w:eastAsia="en-US"/>
        </w:rPr>
        <w:t xml:space="preserve">предлагање </w:t>
      </w:r>
      <w:proofErr w:type="spellStart"/>
      <w:r w:rsidR="00E01A3D" w:rsidRPr="00817909">
        <w:rPr>
          <w:bCs/>
          <w:sz w:val="22"/>
          <w:szCs w:val="22"/>
          <w:lang w:val="sr-Cyrl-RS" w:eastAsia="en-US"/>
        </w:rPr>
        <w:t>мјера</w:t>
      </w:r>
      <w:proofErr w:type="spellEnd"/>
      <w:r w:rsidR="00E01A3D" w:rsidRPr="00817909">
        <w:rPr>
          <w:bCs/>
          <w:sz w:val="22"/>
          <w:szCs w:val="22"/>
          <w:lang w:val="sr-Cyrl-RS" w:eastAsia="en-US"/>
        </w:rPr>
        <w:t xml:space="preserve"> могли</w:t>
      </w:r>
      <w:r w:rsidR="00097BEA" w:rsidRPr="00817909">
        <w:rPr>
          <w:bCs/>
          <w:sz w:val="22"/>
          <w:szCs w:val="22"/>
          <w:lang w:val="sr-Cyrl-RS" w:eastAsia="en-US"/>
        </w:rPr>
        <w:t xml:space="preserve"> више у</w:t>
      </w:r>
      <w:r w:rsidR="006C740F" w:rsidRPr="00817909">
        <w:rPr>
          <w:bCs/>
          <w:sz w:val="22"/>
          <w:szCs w:val="22"/>
          <w:lang w:val="sr-Cyrl-RS" w:eastAsia="en-US"/>
        </w:rPr>
        <w:t xml:space="preserve">кључити Економски </w:t>
      </w:r>
      <w:proofErr w:type="spellStart"/>
      <w:r w:rsidR="006C740F" w:rsidRPr="00817909">
        <w:rPr>
          <w:bCs/>
          <w:sz w:val="22"/>
          <w:szCs w:val="22"/>
          <w:lang w:val="sr-Cyrl-RS" w:eastAsia="en-US"/>
        </w:rPr>
        <w:t>савјети</w:t>
      </w:r>
      <w:proofErr w:type="spellEnd"/>
      <w:r w:rsidR="006C740F" w:rsidRPr="00817909">
        <w:rPr>
          <w:bCs/>
          <w:sz w:val="22"/>
          <w:szCs w:val="22"/>
          <w:lang w:val="sr-Cyrl-RS" w:eastAsia="en-US"/>
        </w:rPr>
        <w:t>, там</w:t>
      </w:r>
      <w:r w:rsidR="00E01A3D" w:rsidRPr="00817909">
        <w:rPr>
          <w:bCs/>
          <w:sz w:val="22"/>
          <w:szCs w:val="22"/>
          <w:lang w:val="sr-Cyrl-RS" w:eastAsia="en-US"/>
        </w:rPr>
        <w:t xml:space="preserve">о </w:t>
      </w:r>
      <w:proofErr w:type="spellStart"/>
      <w:r w:rsidR="00E01A3D" w:rsidRPr="00817909">
        <w:rPr>
          <w:bCs/>
          <w:sz w:val="22"/>
          <w:szCs w:val="22"/>
          <w:lang w:val="sr-Cyrl-RS" w:eastAsia="en-US"/>
        </w:rPr>
        <w:t>гдје</w:t>
      </w:r>
      <w:proofErr w:type="spellEnd"/>
      <w:r w:rsidR="00E01A3D" w:rsidRPr="00817909">
        <w:rPr>
          <w:bCs/>
          <w:sz w:val="22"/>
          <w:szCs w:val="22"/>
          <w:lang w:val="sr-Cyrl-RS" w:eastAsia="en-US"/>
        </w:rPr>
        <w:t xml:space="preserve"> су оваква </w:t>
      </w:r>
      <w:proofErr w:type="spellStart"/>
      <w:r w:rsidR="00E01A3D" w:rsidRPr="00817909">
        <w:rPr>
          <w:bCs/>
          <w:sz w:val="22"/>
          <w:szCs w:val="22"/>
          <w:lang w:val="sr-Cyrl-RS" w:eastAsia="en-US"/>
        </w:rPr>
        <w:t>тијела</w:t>
      </w:r>
      <w:proofErr w:type="spellEnd"/>
      <w:r w:rsidR="00E01A3D" w:rsidRPr="00817909">
        <w:rPr>
          <w:bCs/>
          <w:sz w:val="22"/>
          <w:szCs w:val="22"/>
          <w:lang w:val="sr-Cyrl-RS" w:eastAsia="en-US"/>
        </w:rPr>
        <w:t>, на лок</w:t>
      </w:r>
      <w:r w:rsidR="006C740F" w:rsidRPr="00817909">
        <w:rPr>
          <w:bCs/>
          <w:sz w:val="22"/>
          <w:szCs w:val="22"/>
          <w:lang w:val="sr-Cyrl-RS" w:eastAsia="en-US"/>
        </w:rPr>
        <w:t>а</w:t>
      </w:r>
      <w:r w:rsidR="00E01A3D" w:rsidRPr="00817909">
        <w:rPr>
          <w:bCs/>
          <w:sz w:val="22"/>
          <w:szCs w:val="22"/>
          <w:lang w:val="sr-Cyrl-RS" w:eastAsia="en-US"/>
        </w:rPr>
        <w:t>л</w:t>
      </w:r>
      <w:r w:rsidR="006C740F" w:rsidRPr="00817909">
        <w:rPr>
          <w:bCs/>
          <w:sz w:val="22"/>
          <w:szCs w:val="22"/>
          <w:lang w:val="sr-Cyrl-RS" w:eastAsia="en-US"/>
        </w:rPr>
        <w:t>ном нивоу, успостављена</w:t>
      </w:r>
      <w:r w:rsidR="00A50009" w:rsidRPr="00817909">
        <w:rPr>
          <w:bCs/>
          <w:sz w:val="22"/>
          <w:szCs w:val="22"/>
          <w:lang w:val="sr-Cyrl-RS" w:eastAsia="en-US"/>
        </w:rPr>
        <w:t>.</w:t>
      </w:r>
      <w:r w:rsidR="00920E75" w:rsidRPr="00817909">
        <w:rPr>
          <w:bCs/>
          <w:sz w:val="22"/>
          <w:szCs w:val="22"/>
          <w:lang w:val="sr-Cyrl-RS" w:eastAsia="en-US"/>
        </w:rPr>
        <w:t xml:space="preserve"> </w:t>
      </w:r>
      <w:r w:rsidR="00E01A3D" w:rsidRPr="00817909">
        <w:rPr>
          <w:bCs/>
          <w:sz w:val="22"/>
          <w:szCs w:val="22"/>
          <w:lang w:val="sr-Cyrl-RS" w:eastAsia="en-US"/>
        </w:rPr>
        <w:t xml:space="preserve">Потребан је и већи степен координације између </w:t>
      </w:r>
      <w:proofErr w:type="spellStart"/>
      <w:r w:rsidR="00E01A3D" w:rsidRPr="00817909">
        <w:rPr>
          <w:bCs/>
          <w:sz w:val="22"/>
          <w:szCs w:val="22"/>
          <w:lang w:val="sr-Cyrl-RS" w:eastAsia="en-US"/>
        </w:rPr>
        <w:t>мјера</w:t>
      </w:r>
      <w:proofErr w:type="spellEnd"/>
      <w:r w:rsidR="00E01A3D" w:rsidRPr="00817909">
        <w:rPr>
          <w:bCs/>
          <w:sz w:val="22"/>
          <w:szCs w:val="22"/>
          <w:lang w:val="sr-Cyrl-RS" w:eastAsia="en-US"/>
        </w:rPr>
        <w:t xml:space="preserve"> које проводи Влада РС и поједине ЈЛС. </w:t>
      </w:r>
    </w:p>
    <w:p w14:paraId="7A1DE05B" w14:textId="77777777" w:rsidR="00A0538D" w:rsidRDefault="00A0538D" w:rsidP="00A0538D">
      <w:pPr>
        <w:tabs>
          <w:tab w:val="left" w:pos="709"/>
          <w:tab w:val="left" w:pos="1530"/>
        </w:tabs>
        <w:spacing w:line="276" w:lineRule="auto"/>
        <w:jc w:val="both"/>
        <w:rPr>
          <w:bCs/>
          <w:sz w:val="22"/>
          <w:szCs w:val="22"/>
          <w:lang w:val="sr-Cyrl-RS" w:eastAsia="en-US"/>
        </w:rPr>
      </w:pPr>
      <w:r>
        <w:rPr>
          <w:bCs/>
          <w:sz w:val="22"/>
          <w:szCs w:val="22"/>
          <w:lang w:val="sr-Cyrl-RS" w:eastAsia="en-US"/>
        </w:rPr>
        <w:lastRenderedPageBreak/>
        <w:tab/>
      </w:r>
      <w:r w:rsidR="00920E75" w:rsidRPr="00A0538D">
        <w:rPr>
          <w:bCs/>
          <w:sz w:val="22"/>
          <w:szCs w:val="22"/>
          <w:lang w:val="sr-Cyrl-RS" w:eastAsia="en-US"/>
        </w:rPr>
        <w:t>Све ЈЛС су пов</w:t>
      </w:r>
      <w:r w:rsidR="00244561" w:rsidRPr="00A0538D">
        <w:rPr>
          <w:bCs/>
          <w:sz w:val="22"/>
          <w:szCs w:val="22"/>
          <w:lang w:val="sr-Cyrl-RS" w:eastAsia="en-US"/>
        </w:rPr>
        <w:t>ећале износе средстава за субве</w:t>
      </w:r>
      <w:r w:rsidR="00920E75" w:rsidRPr="00A0538D">
        <w:rPr>
          <w:bCs/>
          <w:sz w:val="22"/>
          <w:szCs w:val="22"/>
          <w:lang w:val="sr-Cyrl-RS" w:eastAsia="en-US"/>
        </w:rPr>
        <w:t>н</w:t>
      </w:r>
      <w:r w:rsidR="00244561" w:rsidRPr="00A0538D">
        <w:rPr>
          <w:bCs/>
          <w:sz w:val="22"/>
          <w:szCs w:val="22"/>
          <w:lang w:val="sr-Cyrl-RS" w:eastAsia="en-US"/>
        </w:rPr>
        <w:t>ц</w:t>
      </w:r>
      <w:r w:rsidR="00920E75" w:rsidRPr="00A0538D">
        <w:rPr>
          <w:bCs/>
          <w:sz w:val="22"/>
          <w:szCs w:val="22"/>
          <w:lang w:val="sr-Cyrl-RS" w:eastAsia="en-US"/>
        </w:rPr>
        <w:t>ије</w:t>
      </w:r>
      <w:r w:rsidR="00445BD8" w:rsidRPr="00A0538D">
        <w:rPr>
          <w:bCs/>
          <w:sz w:val="22"/>
          <w:szCs w:val="22"/>
          <w:lang w:val="sr-Cyrl-RS" w:eastAsia="en-US"/>
        </w:rPr>
        <w:t>,</w:t>
      </w:r>
      <w:r w:rsidR="00920E75" w:rsidRPr="00A0538D">
        <w:rPr>
          <w:bCs/>
          <w:sz w:val="22"/>
          <w:szCs w:val="22"/>
          <w:lang w:val="sr-Cyrl-RS" w:eastAsia="en-US"/>
        </w:rPr>
        <w:t xml:space="preserve"> како у привреди, тако и у пољопривреди.</w:t>
      </w:r>
      <w:r w:rsidR="007E2BAD" w:rsidRPr="00A0538D">
        <w:rPr>
          <w:bCs/>
          <w:sz w:val="22"/>
          <w:szCs w:val="22"/>
          <w:lang w:val="sr-Cyrl-RS" w:eastAsia="en-US"/>
        </w:rPr>
        <w:t xml:space="preserve"> Искуство Бање</w:t>
      </w:r>
      <w:r w:rsidR="000938C0" w:rsidRPr="00A0538D">
        <w:rPr>
          <w:bCs/>
          <w:sz w:val="22"/>
          <w:szCs w:val="22"/>
          <w:lang w:val="sr-Cyrl-RS" w:eastAsia="en-US"/>
        </w:rPr>
        <w:t xml:space="preserve"> Луке показује да субвенције/гаранције за кредите нису дале већи ефекат, односно, није исказан значајан интерес за коришћење ове </w:t>
      </w:r>
      <w:proofErr w:type="spellStart"/>
      <w:r w:rsidR="000938C0" w:rsidRPr="00A0538D">
        <w:rPr>
          <w:bCs/>
          <w:sz w:val="22"/>
          <w:szCs w:val="22"/>
          <w:lang w:val="sr-Cyrl-RS" w:eastAsia="en-US"/>
        </w:rPr>
        <w:t>мјере</w:t>
      </w:r>
      <w:proofErr w:type="spellEnd"/>
      <w:r w:rsidR="000938C0" w:rsidRPr="00A0538D">
        <w:rPr>
          <w:bCs/>
          <w:sz w:val="22"/>
          <w:szCs w:val="22"/>
          <w:lang w:val="sr-Cyrl-RS" w:eastAsia="en-US"/>
        </w:rPr>
        <w:t xml:space="preserve">. Очигледно је да су </w:t>
      </w:r>
      <w:r w:rsidR="007E2BAD" w:rsidRPr="00A0538D">
        <w:rPr>
          <w:bCs/>
          <w:sz w:val="22"/>
          <w:szCs w:val="22"/>
          <w:lang w:val="sr-Cyrl-RS" w:eastAsia="en-US"/>
        </w:rPr>
        <w:t xml:space="preserve">повољнији услови и </w:t>
      </w:r>
      <w:r w:rsidR="00DE3722" w:rsidRPr="00A0538D">
        <w:rPr>
          <w:bCs/>
          <w:sz w:val="22"/>
          <w:szCs w:val="22"/>
          <w:lang w:val="sr-Cyrl-RS" w:eastAsia="en-US"/>
        </w:rPr>
        <w:t xml:space="preserve">да је </w:t>
      </w:r>
      <w:r w:rsidR="007E2BAD" w:rsidRPr="00A0538D">
        <w:rPr>
          <w:bCs/>
          <w:sz w:val="22"/>
          <w:szCs w:val="22"/>
          <w:lang w:val="sr-Cyrl-RS" w:eastAsia="en-US"/>
        </w:rPr>
        <w:t>ефикасније к</w:t>
      </w:r>
      <w:r w:rsidR="000938C0" w:rsidRPr="00A0538D">
        <w:rPr>
          <w:bCs/>
          <w:sz w:val="22"/>
          <w:szCs w:val="22"/>
          <w:lang w:val="sr-Cyrl-RS" w:eastAsia="en-US"/>
        </w:rPr>
        <w:t>о</w:t>
      </w:r>
      <w:r w:rsidR="007E2BAD" w:rsidRPr="00A0538D">
        <w:rPr>
          <w:bCs/>
          <w:sz w:val="22"/>
          <w:szCs w:val="22"/>
          <w:lang w:val="sr-Cyrl-RS" w:eastAsia="en-US"/>
        </w:rPr>
        <w:t>р</w:t>
      </w:r>
      <w:r w:rsidR="00DE3722" w:rsidRPr="00A0538D">
        <w:rPr>
          <w:bCs/>
          <w:sz w:val="22"/>
          <w:szCs w:val="22"/>
          <w:lang w:val="sr-Cyrl-RS" w:eastAsia="en-US"/>
        </w:rPr>
        <w:t>и</w:t>
      </w:r>
      <w:r w:rsidR="000938C0" w:rsidRPr="00A0538D">
        <w:rPr>
          <w:bCs/>
          <w:sz w:val="22"/>
          <w:szCs w:val="22"/>
          <w:lang w:val="sr-Cyrl-RS" w:eastAsia="en-US"/>
        </w:rPr>
        <w:t xml:space="preserve">шћење шема које нуди Гарантни фонд РС, чије функционисање додатно прилагођено у </w:t>
      </w:r>
      <w:proofErr w:type="spellStart"/>
      <w:r w:rsidR="000938C0" w:rsidRPr="00A0538D">
        <w:rPr>
          <w:bCs/>
          <w:sz w:val="22"/>
          <w:szCs w:val="22"/>
          <w:lang w:val="sr-Cyrl-RS" w:eastAsia="en-US"/>
        </w:rPr>
        <w:t>вријеме</w:t>
      </w:r>
      <w:proofErr w:type="spellEnd"/>
      <w:r w:rsidR="000938C0" w:rsidRPr="00A0538D">
        <w:rPr>
          <w:bCs/>
          <w:sz w:val="22"/>
          <w:szCs w:val="22"/>
          <w:lang w:val="sr-Cyrl-RS" w:eastAsia="en-US"/>
        </w:rPr>
        <w:t xml:space="preserve"> </w:t>
      </w:r>
      <w:proofErr w:type="spellStart"/>
      <w:r w:rsidR="000938C0" w:rsidRPr="00A0538D">
        <w:rPr>
          <w:bCs/>
          <w:sz w:val="22"/>
          <w:szCs w:val="22"/>
          <w:lang w:val="sr-Cyrl-RS" w:eastAsia="en-US"/>
        </w:rPr>
        <w:t>пандемије</w:t>
      </w:r>
      <w:proofErr w:type="spellEnd"/>
      <w:r w:rsidR="000938C0" w:rsidRPr="00A0538D">
        <w:rPr>
          <w:bCs/>
          <w:sz w:val="22"/>
          <w:szCs w:val="22"/>
          <w:lang w:val="sr-Cyrl-RS" w:eastAsia="en-US"/>
        </w:rPr>
        <w:t xml:space="preserve">. </w:t>
      </w:r>
    </w:p>
    <w:p w14:paraId="6734F04D" w14:textId="2C7E46D4" w:rsidR="00A0538D" w:rsidRDefault="00A0538D" w:rsidP="00A0538D">
      <w:pPr>
        <w:tabs>
          <w:tab w:val="left" w:pos="709"/>
          <w:tab w:val="left" w:pos="1530"/>
        </w:tabs>
        <w:spacing w:line="276" w:lineRule="auto"/>
        <w:jc w:val="both"/>
        <w:rPr>
          <w:bCs/>
          <w:sz w:val="22"/>
          <w:lang w:val="sr-Cyrl-RS" w:eastAsia="en-US"/>
        </w:rPr>
      </w:pPr>
      <w:r>
        <w:rPr>
          <w:bCs/>
          <w:sz w:val="22"/>
          <w:szCs w:val="22"/>
          <w:lang w:val="sr-Cyrl-RS" w:eastAsia="en-US"/>
        </w:rPr>
        <w:tab/>
      </w:r>
      <w:r w:rsidR="007E2BAD" w:rsidRPr="00A0538D">
        <w:rPr>
          <w:bCs/>
          <w:sz w:val="22"/>
          <w:szCs w:val="22"/>
          <w:lang w:val="sr-Cyrl-RS" w:eastAsia="en-US"/>
        </w:rPr>
        <w:t>Капацитет</w:t>
      </w:r>
      <w:r w:rsidR="00244561" w:rsidRPr="00A0538D">
        <w:rPr>
          <w:bCs/>
          <w:sz w:val="22"/>
          <w:szCs w:val="22"/>
          <w:lang w:val="sr-Cyrl-RS" w:eastAsia="en-US"/>
        </w:rPr>
        <w:t xml:space="preserve"> ЈЛС ограничен</w:t>
      </w:r>
      <w:r w:rsidR="007E2BAD" w:rsidRPr="00A0538D">
        <w:rPr>
          <w:bCs/>
          <w:sz w:val="22"/>
          <w:szCs w:val="22"/>
          <w:lang w:val="sr-Cyrl-RS" w:eastAsia="en-US"/>
        </w:rPr>
        <w:t xml:space="preserve"> је</w:t>
      </w:r>
      <w:r w:rsidR="00244561" w:rsidRPr="00A0538D">
        <w:rPr>
          <w:bCs/>
          <w:sz w:val="22"/>
          <w:szCs w:val="22"/>
          <w:lang w:val="sr-Cyrl-RS" w:eastAsia="en-US"/>
        </w:rPr>
        <w:t xml:space="preserve"> у смислу помоћи привреди</w:t>
      </w:r>
      <w:r w:rsidR="00E01A3D">
        <w:rPr>
          <w:bCs/>
          <w:sz w:val="22"/>
          <w:szCs w:val="22"/>
          <w:lang w:val="sr-Cyrl-RS" w:eastAsia="en-US"/>
        </w:rPr>
        <w:t xml:space="preserve">, како са становишта </w:t>
      </w:r>
      <w:r w:rsidR="00A50009" w:rsidRPr="00A0538D">
        <w:rPr>
          <w:bCs/>
          <w:sz w:val="22"/>
          <w:szCs w:val="22"/>
          <w:lang w:val="sr-Cyrl-RS" w:eastAsia="en-US"/>
        </w:rPr>
        <w:t>прописа, тако и са становишт</w:t>
      </w:r>
      <w:r w:rsidR="00131C85" w:rsidRPr="00A0538D">
        <w:rPr>
          <w:bCs/>
          <w:sz w:val="22"/>
          <w:szCs w:val="22"/>
          <w:lang w:val="sr-Cyrl-RS" w:eastAsia="en-US"/>
        </w:rPr>
        <w:t xml:space="preserve">а расположивих средстава. </w:t>
      </w:r>
      <w:r w:rsidR="00097BEA" w:rsidRPr="00A0538D">
        <w:rPr>
          <w:bCs/>
          <w:sz w:val="22"/>
          <w:lang w:val="sr-Cyrl-RS" w:eastAsia="en-US"/>
        </w:rPr>
        <w:t xml:space="preserve">У наредном периоду, постојеће програме субвенција треба додатно </w:t>
      </w:r>
      <w:r w:rsidR="00E01A3D">
        <w:rPr>
          <w:bCs/>
          <w:sz w:val="22"/>
          <w:lang w:val="sr-Cyrl-RS" w:eastAsia="en-US"/>
        </w:rPr>
        <w:t>размотрити</w:t>
      </w:r>
      <w:r w:rsidR="006438A2">
        <w:rPr>
          <w:bCs/>
          <w:sz w:val="22"/>
          <w:lang w:val="sr-Cyrl-RS" w:eastAsia="en-US"/>
        </w:rPr>
        <w:t>,</w:t>
      </w:r>
      <w:r w:rsidR="00E01A3D">
        <w:rPr>
          <w:bCs/>
          <w:sz w:val="22"/>
          <w:lang w:val="sr-Cyrl-RS" w:eastAsia="en-US"/>
        </w:rPr>
        <w:t xml:space="preserve"> те</w:t>
      </w:r>
      <w:r w:rsidRPr="00A0538D">
        <w:rPr>
          <w:bCs/>
          <w:sz w:val="22"/>
          <w:lang w:val="sr-Cyrl-RS" w:eastAsia="en-US"/>
        </w:rPr>
        <w:t xml:space="preserve"> нове програме ста</w:t>
      </w:r>
      <w:r w:rsidR="00E01A3D">
        <w:rPr>
          <w:bCs/>
          <w:sz w:val="22"/>
          <w:lang w:val="sr-Cyrl-RS" w:eastAsia="en-US"/>
        </w:rPr>
        <w:t>вити у функцију привредног опоравка</w:t>
      </w:r>
      <w:r w:rsidRPr="00A0538D">
        <w:rPr>
          <w:bCs/>
          <w:sz w:val="22"/>
          <w:lang w:val="sr-Cyrl-RS" w:eastAsia="en-US"/>
        </w:rPr>
        <w:t xml:space="preserve"> након </w:t>
      </w:r>
      <w:proofErr w:type="spellStart"/>
      <w:r w:rsidRPr="00A0538D">
        <w:rPr>
          <w:bCs/>
          <w:sz w:val="22"/>
          <w:lang w:val="sr-Cyrl-RS" w:eastAsia="en-US"/>
        </w:rPr>
        <w:t>пандемије</w:t>
      </w:r>
      <w:proofErr w:type="spellEnd"/>
      <w:r w:rsidRPr="00A0538D">
        <w:rPr>
          <w:bCs/>
          <w:sz w:val="22"/>
          <w:lang w:val="sr-Cyrl-RS" w:eastAsia="en-US"/>
        </w:rPr>
        <w:t>, уз консултације са привредним субјектима.</w:t>
      </w:r>
      <w:r w:rsidR="00097BEA" w:rsidRPr="00A0538D">
        <w:rPr>
          <w:bCs/>
          <w:sz w:val="22"/>
          <w:lang w:val="sr-Cyrl-RS" w:eastAsia="en-US"/>
        </w:rPr>
        <w:t xml:space="preserve"> </w:t>
      </w:r>
      <w:r w:rsidR="00817909" w:rsidRPr="00817909">
        <w:rPr>
          <w:bCs/>
          <w:sz w:val="22"/>
          <w:lang w:val="sr-Cyrl-RS" w:eastAsia="en-US"/>
        </w:rPr>
        <w:t xml:space="preserve">Треба дефинисати циљне области и врсте субјеката и утврдити нове критеријуме за </w:t>
      </w:r>
      <w:proofErr w:type="spellStart"/>
      <w:r w:rsidR="00817909" w:rsidRPr="00817909">
        <w:rPr>
          <w:bCs/>
          <w:sz w:val="22"/>
          <w:lang w:val="sr-Cyrl-RS" w:eastAsia="en-US"/>
        </w:rPr>
        <w:t>додјелу</w:t>
      </w:r>
      <w:proofErr w:type="spellEnd"/>
      <w:r w:rsidR="00817909" w:rsidRPr="00817909">
        <w:rPr>
          <w:bCs/>
          <w:sz w:val="22"/>
          <w:lang w:val="sr-Cyrl-RS" w:eastAsia="en-US"/>
        </w:rPr>
        <w:t xml:space="preserve"> и </w:t>
      </w:r>
      <w:proofErr w:type="spellStart"/>
      <w:r w:rsidR="00817909" w:rsidRPr="00817909">
        <w:rPr>
          <w:bCs/>
          <w:sz w:val="22"/>
          <w:lang w:val="sr-Cyrl-RS" w:eastAsia="en-US"/>
        </w:rPr>
        <w:t>процјену</w:t>
      </w:r>
      <w:proofErr w:type="spellEnd"/>
      <w:r w:rsidR="00817909" w:rsidRPr="00817909">
        <w:rPr>
          <w:bCs/>
          <w:sz w:val="22"/>
          <w:lang w:val="sr-Cyrl-RS" w:eastAsia="en-US"/>
        </w:rPr>
        <w:t xml:space="preserve"> ефикас</w:t>
      </w:r>
      <w:r w:rsidR="006438A2">
        <w:rPr>
          <w:bCs/>
          <w:sz w:val="22"/>
          <w:lang w:val="sr-Cyrl-RS" w:eastAsia="en-US"/>
        </w:rPr>
        <w:t>ности. Корисно би било, испред С</w:t>
      </w:r>
      <w:r w:rsidR="00817909" w:rsidRPr="00817909">
        <w:rPr>
          <w:bCs/>
          <w:sz w:val="22"/>
          <w:lang w:val="sr-Cyrl-RS" w:eastAsia="en-US"/>
        </w:rPr>
        <w:t>авеза, органи</w:t>
      </w:r>
      <w:r w:rsidR="00817909">
        <w:rPr>
          <w:bCs/>
          <w:sz w:val="22"/>
          <w:lang w:val="sr-Cyrl-RS" w:eastAsia="en-US"/>
        </w:rPr>
        <w:t>зовати округли сто, на ову тему.</w:t>
      </w:r>
    </w:p>
    <w:p w14:paraId="74F3B3E1" w14:textId="77777777" w:rsidR="00A0538D" w:rsidRDefault="00A0538D" w:rsidP="00A0538D">
      <w:pPr>
        <w:tabs>
          <w:tab w:val="left" w:pos="709"/>
          <w:tab w:val="left" w:pos="1530"/>
        </w:tabs>
        <w:spacing w:line="276" w:lineRule="auto"/>
        <w:jc w:val="both"/>
        <w:rPr>
          <w:bCs/>
          <w:sz w:val="22"/>
          <w:szCs w:val="22"/>
          <w:lang w:val="sr-Cyrl-RS" w:eastAsia="en-US"/>
        </w:rPr>
      </w:pPr>
      <w:r>
        <w:rPr>
          <w:bCs/>
          <w:sz w:val="22"/>
          <w:lang w:val="sr-Cyrl-RS" w:eastAsia="en-US"/>
        </w:rPr>
        <w:tab/>
      </w:r>
      <w:r w:rsidR="00131C85" w:rsidRPr="00A0538D">
        <w:rPr>
          <w:bCs/>
          <w:sz w:val="22"/>
          <w:szCs w:val="22"/>
          <w:lang w:val="sr-Cyrl-RS" w:eastAsia="en-US"/>
        </w:rPr>
        <w:t>Ствар</w:t>
      </w:r>
      <w:r w:rsidR="00A50009" w:rsidRPr="00A0538D">
        <w:rPr>
          <w:bCs/>
          <w:sz w:val="22"/>
          <w:szCs w:val="22"/>
          <w:lang w:val="sr-Cyrl-RS" w:eastAsia="en-US"/>
        </w:rPr>
        <w:t>на помоћ привреди са локалног нивоа треба да се</w:t>
      </w:r>
      <w:r w:rsidR="00445BD8" w:rsidRPr="00A0538D">
        <w:rPr>
          <w:bCs/>
          <w:sz w:val="22"/>
          <w:szCs w:val="22"/>
          <w:lang w:val="sr-Cyrl-RS" w:eastAsia="en-US"/>
        </w:rPr>
        <w:t>, поред осталог,</w:t>
      </w:r>
      <w:r w:rsidR="00A50009" w:rsidRPr="00A0538D">
        <w:rPr>
          <w:bCs/>
          <w:sz w:val="22"/>
          <w:szCs w:val="22"/>
          <w:lang w:val="sr-Cyrl-RS" w:eastAsia="en-US"/>
        </w:rPr>
        <w:t xml:space="preserve"> </w:t>
      </w:r>
      <w:r w:rsidR="00445BD8" w:rsidRPr="00A0538D">
        <w:rPr>
          <w:bCs/>
          <w:sz w:val="22"/>
          <w:szCs w:val="22"/>
          <w:lang w:val="sr-Cyrl-RS" w:eastAsia="en-US"/>
        </w:rPr>
        <w:t>фокусира на ефикаснију админист</w:t>
      </w:r>
      <w:r w:rsidR="00A50009" w:rsidRPr="00A0538D">
        <w:rPr>
          <w:bCs/>
          <w:sz w:val="22"/>
          <w:szCs w:val="22"/>
          <w:lang w:val="sr-Cyrl-RS" w:eastAsia="en-US"/>
        </w:rPr>
        <w:t>р</w:t>
      </w:r>
      <w:r w:rsidR="00445BD8" w:rsidRPr="00A0538D">
        <w:rPr>
          <w:bCs/>
          <w:sz w:val="22"/>
          <w:szCs w:val="22"/>
          <w:lang w:val="sr-Cyrl-RS" w:eastAsia="en-US"/>
        </w:rPr>
        <w:t>а</w:t>
      </w:r>
      <w:r w:rsidR="00A50009" w:rsidRPr="00A0538D">
        <w:rPr>
          <w:bCs/>
          <w:sz w:val="22"/>
          <w:szCs w:val="22"/>
          <w:lang w:val="sr-Cyrl-RS" w:eastAsia="en-US"/>
        </w:rPr>
        <w:t>цију, пружању бољих услуг</w:t>
      </w:r>
      <w:r w:rsidR="00DA29C9" w:rsidRPr="00A0538D">
        <w:rPr>
          <w:bCs/>
          <w:sz w:val="22"/>
          <w:szCs w:val="22"/>
          <w:lang w:val="sr-Cyrl-RS" w:eastAsia="en-US"/>
        </w:rPr>
        <w:t>а, те</w:t>
      </w:r>
      <w:r w:rsidR="00205451" w:rsidRPr="00A0538D">
        <w:rPr>
          <w:bCs/>
          <w:sz w:val="22"/>
          <w:szCs w:val="22"/>
          <w:lang w:val="sr-Cyrl-RS" w:eastAsia="en-US"/>
        </w:rPr>
        <w:t xml:space="preserve"> смањивање</w:t>
      </w:r>
      <w:r w:rsidR="00A50009" w:rsidRPr="00A0538D">
        <w:rPr>
          <w:bCs/>
          <w:sz w:val="22"/>
          <w:szCs w:val="22"/>
          <w:lang w:val="sr-Cyrl-RS" w:eastAsia="en-US"/>
        </w:rPr>
        <w:t xml:space="preserve"> адми</w:t>
      </w:r>
      <w:r w:rsidR="009F4008" w:rsidRPr="00A0538D">
        <w:rPr>
          <w:bCs/>
          <w:sz w:val="22"/>
          <w:szCs w:val="22"/>
          <w:lang w:val="sr-Cyrl-RS" w:eastAsia="en-US"/>
        </w:rPr>
        <w:t>ни</w:t>
      </w:r>
      <w:r w:rsidR="00DA29C9" w:rsidRPr="00A0538D">
        <w:rPr>
          <w:bCs/>
          <w:sz w:val="22"/>
          <w:szCs w:val="22"/>
          <w:lang w:val="sr-Cyrl-RS" w:eastAsia="en-US"/>
        </w:rPr>
        <w:t>с</w:t>
      </w:r>
      <w:r w:rsidR="009F4008" w:rsidRPr="00A0538D">
        <w:rPr>
          <w:bCs/>
          <w:sz w:val="22"/>
          <w:szCs w:val="22"/>
          <w:lang w:val="sr-Cyrl-RS" w:eastAsia="en-US"/>
        </w:rPr>
        <w:t>тративних баријера.</w:t>
      </w:r>
      <w:r w:rsidR="00DA29C9" w:rsidRPr="00A0538D">
        <w:rPr>
          <w:bCs/>
          <w:sz w:val="22"/>
          <w:szCs w:val="22"/>
          <w:lang w:val="sr-Cyrl-RS" w:eastAsia="en-US"/>
        </w:rPr>
        <w:t xml:space="preserve"> </w:t>
      </w:r>
    </w:p>
    <w:p w14:paraId="4448ACE2" w14:textId="77777777" w:rsidR="00131C85" w:rsidRPr="00A0538D" w:rsidRDefault="00A0538D" w:rsidP="00A0538D">
      <w:pPr>
        <w:tabs>
          <w:tab w:val="left" w:pos="709"/>
          <w:tab w:val="left" w:pos="1530"/>
        </w:tabs>
        <w:spacing w:line="276" w:lineRule="auto"/>
        <w:jc w:val="both"/>
        <w:rPr>
          <w:bCs/>
          <w:sz w:val="22"/>
          <w:szCs w:val="22"/>
          <w:lang w:val="sr-Cyrl-RS" w:eastAsia="en-US"/>
        </w:rPr>
      </w:pPr>
      <w:r>
        <w:rPr>
          <w:bCs/>
          <w:sz w:val="22"/>
          <w:szCs w:val="22"/>
          <w:lang w:val="sr-Cyrl-RS" w:eastAsia="en-US"/>
        </w:rPr>
        <w:tab/>
      </w:r>
      <w:r w:rsidR="009F4008" w:rsidRPr="00A0538D">
        <w:rPr>
          <w:bCs/>
          <w:sz w:val="22"/>
          <w:szCs w:val="22"/>
          <w:lang w:val="sr-Cyrl-RS" w:eastAsia="en-US"/>
        </w:rPr>
        <w:t>За унапређење пословног окруже</w:t>
      </w:r>
      <w:r w:rsidR="00131C85" w:rsidRPr="00A0538D">
        <w:rPr>
          <w:bCs/>
          <w:sz w:val="22"/>
          <w:szCs w:val="22"/>
          <w:lang w:val="sr-Cyrl-RS" w:eastAsia="en-US"/>
        </w:rPr>
        <w:t xml:space="preserve">ња, а тиме и помоћ привреди </w:t>
      </w:r>
      <w:r w:rsidR="00445BD8" w:rsidRPr="00A0538D">
        <w:rPr>
          <w:bCs/>
          <w:sz w:val="22"/>
          <w:szCs w:val="22"/>
          <w:lang w:val="sr-Cyrl-RS" w:eastAsia="en-US"/>
        </w:rPr>
        <w:t xml:space="preserve">у </w:t>
      </w:r>
      <w:proofErr w:type="spellStart"/>
      <w:r w:rsidR="00131C85" w:rsidRPr="00A0538D">
        <w:rPr>
          <w:bCs/>
          <w:sz w:val="22"/>
          <w:szCs w:val="22"/>
          <w:lang w:val="sr-Cyrl-RS" w:eastAsia="en-US"/>
        </w:rPr>
        <w:t>пост</w:t>
      </w:r>
      <w:r w:rsidR="009F4008" w:rsidRPr="00A0538D">
        <w:rPr>
          <w:bCs/>
          <w:sz w:val="22"/>
          <w:szCs w:val="22"/>
          <w:lang w:val="sr-Cyrl-RS" w:eastAsia="en-US"/>
        </w:rPr>
        <w:t>пандемијском</w:t>
      </w:r>
      <w:proofErr w:type="spellEnd"/>
      <w:r w:rsidR="009F4008" w:rsidRPr="00A0538D">
        <w:rPr>
          <w:bCs/>
          <w:sz w:val="22"/>
          <w:szCs w:val="22"/>
          <w:lang w:val="sr-Cyrl-RS" w:eastAsia="en-US"/>
        </w:rPr>
        <w:t xml:space="preserve"> периоду биће значајно да се у потпуности искористи успостављени регистар пореских и </w:t>
      </w:r>
      <w:proofErr w:type="spellStart"/>
      <w:r w:rsidR="009F4008" w:rsidRPr="00A0538D">
        <w:rPr>
          <w:bCs/>
          <w:sz w:val="22"/>
          <w:szCs w:val="22"/>
          <w:lang w:val="sr-Cyrl-RS" w:eastAsia="en-US"/>
        </w:rPr>
        <w:t>непорес</w:t>
      </w:r>
      <w:r w:rsidR="00C75BFD" w:rsidRPr="00A0538D">
        <w:rPr>
          <w:bCs/>
          <w:sz w:val="22"/>
          <w:szCs w:val="22"/>
          <w:lang w:val="sr-Cyrl-RS" w:eastAsia="en-US"/>
        </w:rPr>
        <w:t>ких</w:t>
      </w:r>
      <w:proofErr w:type="spellEnd"/>
      <w:r w:rsidR="00C75BFD" w:rsidRPr="00A0538D">
        <w:rPr>
          <w:bCs/>
          <w:sz w:val="22"/>
          <w:szCs w:val="22"/>
          <w:lang w:val="sr-Cyrl-RS" w:eastAsia="en-US"/>
        </w:rPr>
        <w:t xml:space="preserve"> давања из 2017. године, а који је објављен 2020. године. </w:t>
      </w:r>
      <w:r w:rsidR="00E6691B" w:rsidRPr="00A0538D">
        <w:rPr>
          <w:bCs/>
          <w:sz w:val="22"/>
          <w:szCs w:val="22"/>
          <w:lang w:val="sr-Cyrl-RS" w:eastAsia="en-US"/>
        </w:rPr>
        <w:t xml:space="preserve">Свеобухватна анализа оптерећености становништва и привреде пореским и </w:t>
      </w:r>
      <w:proofErr w:type="spellStart"/>
      <w:r w:rsidR="00E6691B" w:rsidRPr="00A0538D">
        <w:rPr>
          <w:bCs/>
          <w:sz w:val="22"/>
          <w:szCs w:val="22"/>
          <w:lang w:val="sr-Cyrl-RS" w:eastAsia="en-US"/>
        </w:rPr>
        <w:t>непореским</w:t>
      </w:r>
      <w:proofErr w:type="spellEnd"/>
      <w:r w:rsidR="00E6691B" w:rsidRPr="00A0538D">
        <w:rPr>
          <w:bCs/>
          <w:sz w:val="22"/>
          <w:szCs w:val="22"/>
          <w:lang w:val="sr-Cyrl-RS" w:eastAsia="en-US"/>
        </w:rPr>
        <w:t xml:space="preserve"> давањима, у интересу је и </w:t>
      </w:r>
      <w:r w:rsidR="00131C85" w:rsidRPr="00A0538D">
        <w:rPr>
          <w:bCs/>
          <w:sz w:val="22"/>
          <w:szCs w:val="22"/>
          <w:lang w:val="sr-Cyrl-RS" w:eastAsia="en-US"/>
        </w:rPr>
        <w:t>Ј</w:t>
      </w:r>
      <w:r w:rsidR="00E6691B" w:rsidRPr="00A0538D">
        <w:rPr>
          <w:bCs/>
          <w:sz w:val="22"/>
          <w:szCs w:val="22"/>
          <w:lang w:val="sr-Cyrl-RS" w:eastAsia="en-US"/>
        </w:rPr>
        <w:t>ЛС</w:t>
      </w:r>
      <w:r w:rsidR="00131C85" w:rsidRPr="00A0538D">
        <w:rPr>
          <w:bCs/>
          <w:sz w:val="22"/>
          <w:szCs w:val="22"/>
          <w:lang w:val="sr-Cyrl-RS" w:eastAsia="en-US"/>
        </w:rPr>
        <w:t>,</w:t>
      </w:r>
      <w:r w:rsidR="00E6691B" w:rsidRPr="00A0538D">
        <w:rPr>
          <w:bCs/>
          <w:sz w:val="22"/>
          <w:szCs w:val="22"/>
          <w:lang w:val="sr-Cyrl-RS" w:eastAsia="en-US"/>
        </w:rPr>
        <w:t xml:space="preserve"> које </w:t>
      </w:r>
      <w:r w:rsidR="00920E75" w:rsidRPr="00A0538D">
        <w:rPr>
          <w:bCs/>
          <w:sz w:val="22"/>
          <w:szCs w:val="22"/>
          <w:lang w:val="sr-Cyrl-RS" w:eastAsia="en-US"/>
        </w:rPr>
        <w:t>би се, преко Сав</w:t>
      </w:r>
      <w:r w:rsidR="00DE3722" w:rsidRPr="00A0538D">
        <w:rPr>
          <w:bCs/>
          <w:sz w:val="22"/>
          <w:szCs w:val="22"/>
          <w:lang w:val="sr-Cyrl-RS" w:eastAsia="en-US"/>
        </w:rPr>
        <w:t xml:space="preserve">еза, требале укључити у анализу, а након тога, и предложити одговарајуће </w:t>
      </w:r>
      <w:proofErr w:type="spellStart"/>
      <w:r w:rsidR="00DE3722" w:rsidRPr="00A0538D">
        <w:rPr>
          <w:bCs/>
          <w:sz w:val="22"/>
          <w:szCs w:val="22"/>
          <w:lang w:val="sr-Cyrl-RS" w:eastAsia="en-US"/>
        </w:rPr>
        <w:t>измјене</w:t>
      </w:r>
      <w:proofErr w:type="spellEnd"/>
      <w:r w:rsidR="00DE3722" w:rsidRPr="00A0538D">
        <w:rPr>
          <w:bCs/>
          <w:sz w:val="22"/>
          <w:szCs w:val="22"/>
          <w:lang w:val="sr-Cyrl-RS" w:eastAsia="en-US"/>
        </w:rPr>
        <w:t xml:space="preserve"> пропи</w:t>
      </w:r>
      <w:r w:rsidR="00097BEA" w:rsidRPr="00A0538D">
        <w:rPr>
          <w:bCs/>
          <w:sz w:val="22"/>
          <w:szCs w:val="22"/>
          <w:lang w:val="sr-Cyrl-RS" w:eastAsia="en-US"/>
        </w:rPr>
        <w:t>са за локални и републички ниво.</w:t>
      </w:r>
    </w:p>
    <w:p w14:paraId="331D348B" w14:textId="77777777" w:rsidR="00097BEA" w:rsidRPr="00097BEA" w:rsidRDefault="00097BEA" w:rsidP="00097BEA">
      <w:pPr>
        <w:pStyle w:val="ListParagraph"/>
        <w:tabs>
          <w:tab w:val="left" w:pos="709"/>
          <w:tab w:val="left" w:pos="1530"/>
        </w:tabs>
        <w:spacing w:line="276" w:lineRule="auto"/>
        <w:ind w:left="360"/>
        <w:jc w:val="both"/>
        <w:rPr>
          <w:bCs/>
          <w:sz w:val="22"/>
          <w:szCs w:val="22"/>
          <w:lang w:val="sr-Cyrl-RS" w:eastAsia="en-US"/>
        </w:rPr>
      </w:pPr>
    </w:p>
    <w:p w14:paraId="02757531" w14:textId="77777777" w:rsidR="00131C85" w:rsidRDefault="00131C85" w:rsidP="005264E0">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Pr>
          <w:bCs/>
          <w:sz w:val="22"/>
          <w:szCs w:val="22"/>
          <w:lang w:val="sr-Cyrl-RS" w:eastAsia="en-US"/>
        </w:rPr>
        <w:t>На нивоу анкети</w:t>
      </w:r>
      <w:r w:rsidR="009E3EC6">
        <w:rPr>
          <w:bCs/>
          <w:sz w:val="22"/>
          <w:szCs w:val="22"/>
          <w:lang w:val="sr-Cyrl-RS" w:eastAsia="en-US"/>
        </w:rPr>
        <w:t>раних ЈЛС пружени су различити видови финансијске и материјалне помоћи различитим категоријама становништва, а прије све</w:t>
      </w:r>
      <w:r w:rsidR="002D3017">
        <w:rPr>
          <w:bCs/>
          <w:sz w:val="22"/>
          <w:szCs w:val="22"/>
          <w:lang w:val="sr-Cyrl-RS" w:eastAsia="en-US"/>
        </w:rPr>
        <w:t>га</w:t>
      </w:r>
      <w:r w:rsidR="009E3EC6">
        <w:rPr>
          <w:bCs/>
          <w:sz w:val="22"/>
          <w:szCs w:val="22"/>
          <w:lang w:val="sr-Cyrl-RS" w:eastAsia="en-US"/>
        </w:rPr>
        <w:t xml:space="preserve"> оним финансијски угроженим. Треба рећи да су</w:t>
      </w:r>
      <w:r w:rsidR="000938C0" w:rsidRPr="00131C85">
        <w:rPr>
          <w:bCs/>
          <w:sz w:val="22"/>
          <w:szCs w:val="22"/>
          <w:lang w:val="sr-Cyrl-RS" w:eastAsia="en-US"/>
        </w:rPr>
        <w:t xml:space="preserve"> поред финансијске и материјалне помоћи, поједине ЈЛС </w:t>
      </w:r>
      <w:r w:rsidR="002D3017">
        <w:rPr>
          <w:bCs/>
          <w:sz w:val="22"/>
          <w:szCs w:val="22"/>
          <w:lang w:val="sr-Cyrl-RS" w:eastAsia="en-US"/>
        </w:rPr>
        <w:t xml:space="preserve">имале </w:t>
      </w:r>
      <w:r w:rsidR="00234F20" w:rsidRPr="00131C85">
        <w:rPr>
          <w:bCs/>
          <w:sz w:val="22"/>
          <w:szCs w:val="22"/>
          <w:lang w:val="sr-Cyrl-RS" w:eastAsia="en-US"/>
        </w:rPr>
        <w:t>и посебне про</w:t>
      </w:r>
      <w:r w:rsidR="000938C0" w:rsidRPr="00131C85">
        <w:rPr>
          <w:bCs/>
          <w:sz w:val="22"/>
          <w:szCs w:val="22"/>
          <w:lang w:val="sr-Cyrl-RS" w:eastAsia="en-US"/>
        </w:rPr>
        <w:t>граме подршке</w:t>
      </w:r>
      <w:r w:rsidR="00DE3722">
        <w:rPr>
          <w:bCs/>
          <w:sz w:val="22"/>
          <w:szCs w:val="22"/>
          <w:lang w:val="sr-Cyrl-RS" w:eastAsia="en-US"/>
        </w:rPr>
        <w:t xml:space="preserve"> (бесплатне доставе грађанима и сл.)</w:t>
      </w:r>
      <w:r w:rsidR="000938C0" w:rsidRPr="00BC57D1">
        <w:rPr>
          <w:rStyle w:val="FootnoteReference"/>
          <w:bCs/>
          <w:sz w:val="22"/>
          <w:szCs w:val="22"/>
          <w:lang w:val="sr-Cyrl-RS" w:eastAsia="en-US"/>
        </w:rPr>
        <w:footnoteReference w:id="25"/>
      </w:r>
      <w:r w:rsidR="005957CE" w:rsidRPr="00131C85">
        <w:rPr>
          <w:bCs/>
          <w:sz w:val="22"/>
          <w:szCs w:val="22"/>
          <w:lang w:val="sr-Cyrl-RS" w:eastAsia="en-US"/>
        </w:rPr>
        <w:t xml:space="preserve">. ЈЛС </w:t>
      </w:r>
      <w:r w:rsidR="009E3EC6">
        <w:rPr>
          <w:bCs/>
          <w:sz w:val="22"/>
          <w:szCs w:val="22"/>
          <w:lang w:val="sr-Cyrl-RS" w:eastAsia="en-US"/>
        </w:rPr>
        <w:t>су се нашле</w:t>
      </w:r>
      <w:r w:rsidR="005957CE" w:rsidRPr="00131C85">
        <w:rPr>
          <w:bCs/>
          <w:sz w:val="22"/>
          <w:szCs w:val="22"/>
          <w:lang w:val="sr-Cyrl-RS" w:eastAsia="en-US"/>
        </w:rPr>
        <w:t xml:space="preserve"> пред изазовом да </w:t>
      </w:r>
      <w:proofErr w:type="spellStart"/>
      <w:r w:rsidR="005957CE" w:rsidRPr="00131C85">
        <w:rPr>
          <w:bCs/>
          <w:sz w:val="22"/>
          <w:szCs w:val="22"/>
          <w:lang w:val="sr-Cyrl-RS" w:eastAsia="en-US"/>
        </w:rPr>
        <w:t>обезбјеђују</w:t>
      </w:r>
      <w:proofErr w:type="spellEnd"/>
      <w:r w:rsidR="005957CE" w:rsidRPr="00131C85">
        <w:rPr>
          <w:bCs/>
          <w:sz w:val="22"/>
          <w:szCs w:val="22"/>
          <w:lang w:val="sr-Cyrl-RS" w:eastAsia="en-US"/>
        </w:rPr>
        <w:t xml:space="preserve"> грађанима</w:t>
      </w:r>
      <w:r w:rsidR="009E3EC6">
        <w:rPr>
          <w:bCs/>
          <w:sz w:val="22"/>
          <w:szCs w:val="22"/>
          <w:lang w:val="sr-Cyrl-RS" w:eastAsia="en-US"/>
        </w:rPr>
        <w:t>, не само админист</w:t>
      </w:r>
      <w:r w:rsidR="005957CE" w:rsidRPr="00131C85">
        <w:rPr>
          <w:bCs/>
          <w:sz w:val="22"/>
          <w:szCs w:val="22"/>
          <w:lang w:val="sr-Cyrl-RS" w:eastAsia="en-US"/>
        </w:rPr>
        <w:t>р</w:t>
      </w:r>
      <w:r w:rsidR="009E3EC6">
        <w:rPr>
          <w:bCs/>
          <w:sz w:val="22"/>
          <w:szCs w:val="22"/>
          <w:lang w:val="sr-Cyrl-RS" w:eastAsia="en-US"/>
        </w:rPr>
        <w:t xml:space="preserve">ативне, </w:t>
      </w:r>
      <w:r w:rsidR="005957CE" w:rsidRPr="00131C85">
        <w:rPr>
          <w:bCs/>
          <w:sz w:val="22"/>
          <w:szCs w:val="22"/>
          <w:lang w:val="sr-Cyrl-RS" w:eastAsia="en-US"/>
        </w:rPr>
        <w:t xml:space="preserve">комуналне </w:t>
      </w:r>
      <w:r w:rsidR="009E3EC6">
        <w:rPr>
          <w:bCs/>
          <w:sz w:val="22"/>
          <w:szCs w:val="22"/>
          <w:lang w:val="sr-Cyrl-RS" w:eastAsia="en-US"/>
        </w:rPr>
        <w:t xml:space="preserve">и инфраструктурне </w:t>
      </w:r>
      <w:r w:rsidR="005957CE" w:rsidRPr="00131C85">
        <w:rPr>
          <w:bCs/>
          <w:sz w:val="22"/>
          <w:szCs w:val="22"/>
          <w:lang w:val="sr-Cyrl-RS" w:eastAsia="en-US"/>
        </w:rPr>
        <w:t xml:space="preserve">функције, него да им олакшају свакодневницу у кризним ситуацијама и да их правовремено информишу о свим </w:t>
      </w:r>
      <w:proofErr w:type="spellStart"/>
      <w:r w:rsidR="005957CE" w:rsidRPr="00131C85">
        <w:rPr>
          <w:bCs/>
          <w:sz w:val="22"/>
          <w:szCs w:val="22"/>
          <w:lang w:val="sr-Cyrl-RS" w:eastAsia="en-US"/>
        </w:rPr>
        <w:t>мјерама</w:t>
      </w:r>
      <w:proofErr w:type="spellEnd"/>
      <w:r w:rsidR="005957CE" w:rsidRPr="00131C85">
        <w:rPr>
          <w:bCs/>
          <w:sz w:val="22"/>
          <w:szCs w:val="22"/>
          <w:lang w:val="sr-Cyrl-RS" w:eastAsia="en-US"/>
        </w:rPr>
        <w:t xml:space="preserve"> и активностима. Показало се да је подстицање међусобне солидарности веома битно као психолошка и друга подршка грађанима</w:t>
      </w:r>
      <w:r w:rsidR="00DA2138" w:rsidRPr="00131C85">
        <w:rPr>
          <w:bCs/>
          <w:sz w:val="22"/>
          <w:szCs w:val="22"/>
          <w:lang w:val="sr-Cyrl-RS" w:eastAsia="en-US"/>
        </w:rPr>
        <w:t>. Веома је зн</w:t>
      </w:r>
      <w:r w:rsidR="002D3017">
        <w:rPr>
          <w:bCs/>
          <w:sz w:val="22"/>
          <w:szCs w:val="22"/>
          <w:lang w:val="sr-Cyrl-RS" w:eastAsia="en-US"/>
        </w:rPr>
        <w:t>ачајна и улога ЈЛС у подстицању</w:t>
      </w:r>
      <w:r w:rsidR="00DA2138" w:rsidRPr="00131C85">
        <w:rPr>
          <w:bCs/>
          <w:sz w:val="22"/>
          <w:szCs w:val="22"/>
          <w:lang w:val="sr-Cyrl-RS" w:eastAsia="en-US"/>
        </w:rPr>
        <w:t xml:space="preserve"> грађана на</w:t>
      </w:r>
      <w:r w:rsidR="009E3EC6">
        <w:rPr>
          <w:bCs/>
          <w:sz w:val="22"/>
          <w:szCs w:val="22"/>
          <w:lang w:val="sr-Cyrl-RS" w:eastAsia="en-US"/>
        </w:rPr>
        <w:t xml:space="preserve"> одговорно здравствено понашање, што </w:t>
      </w:r>
      <w:r w:rsidR="002D3017">
        <w:rPr>
          <w:bCs/>
          <w:sz w:val="22"/>
          <w:szCs w:val="22"/>
          <w:lang w:val="sr-Cyrl-RS" w:eastAsia="en-US"/>
        </w:rPr>
        <w:t xml:space="preserve">се </w:t>
      </w:r>
      <w:r w:rsidR="009E3EC6">
        <w:rPr>
          <w:bCs/>
          <w:sz w:val="22"/>
          <w:szCs w:val="22"/>
          <w:lang w:val="sr-Cyrl-RS" w:eastAsia="en-US"/>
        </w:rPr>
        <w:t xml:space="preserve">треба наставити и у </w:t>
      </w:r>
      <w:proofErr w:type="spellStart"/>
      <w:r w:rsidR="009E3EC6">
        <w:rPr>
          <w:bCs/>
          <w:sz w:val="22"/>
          <w:szCs w:val="22"/>
          <w:lang w:val="sr-Cyrl-RS" w:eastAsia="en-US"/>
        </w:rPr>
        <w:t>постпандемијском</w:t>
      </w:r>
      <w:proofErr w:type="spellEnd"/>
      <w:r w:rsidR="009E3EC6">
        <w:rPr>
          <w:bCs/>
          <w:sz w:val="22"/>
          <w:szCs w:val="22"/>
          <w:lang w:val="sr-Cyrl-RS" w:eastAsia="en-US"/>
        </w:rPr>
        <w:t xml:space="preserve"> периоду, </w:t>
      </w:r>
      <w:r w:rsidR="002D3017">
        <w:rPr>
          <w:bCs/>
          <w:sz w:val="22"/>
          <w:szCs w:val="22"/>
          <w:lang w:val="sr-Cyrl-RS" w:eastAsia="en-US"/>
        </w:rPr>
        <w:t>а</w:t>
      </w:r>
      <w:r w:rsidR="009E3EC6">
        <w:rPr>
          <w:bCs/>
          <w:sz w:val="22"/>
          <w:szCs w:val="22"/>
          <w:lang w:val="sr-Cyrl-RS" w:eastAsia="en-US"/>
        </w:rPr>
        <w:t xml:space="preserve"> може</w:t>
      </w:r>
      <w:r w:rsidR="002D3017">
        <w:rPr>
          <w:bCs/>
          <w:sz w:val="22"/>
          <w:szCs w:val="22"/>
          <w:lang w:val="sr-Cyrl-RS" w:eastAsia="en-US"/>
        </w:rPr>
        <w:t xml:space="preserve"> се</w:t>
      </w:r>
      <w:r w:rsidR="009E3EC6">
        <w:rPr>
          <w:bCs/>
          <w:sz w:val="22"/>
          <w:szCs w:val="22"/>
          <w:lang w:val="sr-Cyrl-RS" w:eastAsia="en-US"/>
        </w:rPr>
        <w:t xml:space="preserve"> провести кроз едукацију, али и организовање превентивних здравствених прегледа на терет буџета.</w:t>
      </w:r>
      <w:r w:rsidR="0065361B">
        <w:rPr>
          <w:bCs/>
          <w:sz w:val="22"/>
          <w:szCs w:val="22"/>
          <w:lang w:val="sr-Cyrl-RS" w:eastAsia="en-US"/>
        </w:rPr>
        <w:t xml:space="preserve"> Препорука је да се </w:t>
      </w:r>
      <w:r w:rsidR="00967B26">
        <w:rPr>
          <w:bCs/>
          <w:sz w:val="22"/>
          <w:szCs w:val="22"/>
          <w:lang w:val="sr-Cyrl-RS" w:eastAsia="en-US"/>
        </w:rPr>
        <w:t>у сарадњи са локалним центрима</w:t>
      </w:r>
      <w:r w:rsidR="0065361B" w:rsidRPr="009E157E">
        <w:rPr>
          <w:bCs/>
          <w:sz w:val="22"/>
          <w:szCs w:val="22"/>
          <w:lang w:val="sr-Cyrl-RS" w:eastAsia="en-US"/>
        </w:rPr>
        <w:t xml:space="preserve"> за социјални рад</w:t>
      </w:r>
      <w:r w:rsidR="00967B26">
        <w:rPr>
          <w:bCs/>
          <w:sz w:val="22"/>
          <w:szCs w:val="22"/>
          <w:lang w:val="sr-Cyrl-RS" w:eastAsia="en-US"/>
        </w:rPr>
        <w:t>, донесу</w:t>
      </w:r>
      <w:r w:rsidR="00967B26" w:rsidRPr="009E157E">
        <w:rPr>
          <w:bCs/>
          <w:sz w:val="22"/>
          <w:szCs w:val="22"/>
          <w:lang w:val="sr-Cyrl-RS" w:eastAsia="en-US"/>
        </w:rPr>
        <w:t xml:space="preserve"> акциони план</w:t>
      </w:r>
      <w:r w:rsidR="00967B26">
        <w:rPr>
          <w:bCs/>
          <w:sz w:val="22"/>
          <w:szCs w:val="22"/>
          <w:lang w:val="sr-Cyrl-RS" w:eastAsia="en-US"/>
        </w:rPr>
        <w:t>ови,</w:t>
      </w:r>
      <w:r w:rsidR="0065361B" w:rsidRPr="009E157E">
        <w:rPr>
          <w:bCs/>
          <w:sz w:val="22"/>
          <w:szCs w:val="22"/>
          <w:lang w:val="sr-Cyrl-RS" w:eastAsia="en-US"/>
        </w:rPr>
        <w:t xml:space="preserve"> како би се </w:t>
      </w:r>
      <w:proofErr w:type="spellStart"/>
      <w:r w:rsidR="0065361B" w:rsidRPr="009E157E">
        <w:rPr>
          <w:bCs/>
          <w:sz w:val="22"/>
          <w:szCs w:val="22"/>
          <w:lang w:val="sr-Cyrl-RS" w:eastAsia="en-US"/>
        </w:rPr>
        <w:t>унаприједила</w:t>
      </w:r>
      <w:proofErr w:type="spellEnd"/>
      <w:r w:rsidR="0065361B" w:rsidRPr="009E157E">
        <w:rPr>
          <w:bCs/>
          <w:sz w:val="22"/>
          <w:szCs w:val="22"/>
          <w:lang w:val="sr-Cyrl-RS" w:eastAsia="en-US"/>
        </w:rPr>
        <w:t xml:space="preserve"> помоћ рањи</w:t>
      </w:r>
      <w:r w:rsidR="00967B26">
        <w:rPr>
          <w:bCs/>
          <w:sz w:val="22"/>
          <w:szCs w:val="22"/>
          <w:lang w:val="sr-Cyrl-RS" w:eastAsia="en-US"/>
        </w:rPr>
        <w:t xml:space="preserve">вим категоријама становништва, а на бази </w:t>
      </w:r>
      <w:r w:rsidR="0065361B" w:rsidRPr="009E157E">
        <w:rPr>
          <w:bCs/>
          <w:sz w:val="22"/>
          <w:szCs w:val="22"/>
          <w:lang w:val="sr-Cyrl-RS" w:eastAsia="en-US"/>
        </w:rPr>
        <w:t>а</w:t>
      </w:r>
      <w:r w:rsidR="00205451">
        <w:rPr>
          <w:bCs/>
          <w:sz w:val="22"/>
          <w:szCs w:val="22"/>
          <w:lang w:val="sr-Cyrl-RS" w:eastAsia="en-US"/>
        </w:rPr>
        <w:t xml:space="preserve">декватно </w:t>
      </w:r>
      <w:proofErr w:type="spellStart"/>
      <w:r w:rsidR="00205451">
        <w:rPr>
          <w:bCs/>
          <w:sz w:val="22"/>
          <w:szCs w:val="22"/>
          <w:lang w:val="sr-Cyrl-RS" w:eastAsia="en-US"/>
        </w:rPr>
        <w:t>процијењ</w:t>
      </w:r>
      <w:r w:rsidR="00967B26">
        <w:rPr>
          <w:bCs/>
          <w:sz w:val="22"/>
          <w:szCs w:val="22"/>
          <w:lang w:val="sr-Cyrl-RS" w:eastAsia="en-US"/>
        </w:rPr>
        <w:t>ених</w:t>
      </w:r>
      <w:proofErr w:type="spellEnd"/>
      <w:r w:rsidR="00967B26">
        <w:rPr>
          <w:bCs/>
          <w:sz w:val="22"/>
          <w:szCs w:val="22"/>
          <w:lang w:val="sr-Cyrl-RS" w:eastAsia="en-US"/>
        </w:rPr>
        <w:t xml:space="preserve"> потреба.</w:t>
      </w:r>
    </w:p>
    <w:p w14:paraId="6F1D9138" w14:textId="77777777" w:rsidR="009451E0" w:rsidRPr="005264E0" w:rsidRDefault="009451E0" w:rsidP="009451E0">
      <w:pPr>
        <w:pStyle w:val="ListParagraph"/>
        <w:tabs>
          <w:tab w:val="left" w:pos="709"/>
          <w:tab w:val="left" w:pos="1530"/>
        </w:tabs>
        <w:spacing w:line="276" w:lineRule="auto"/>
        <w:ind w:left="360"/>
        <w:jc w:val="both"/>
        <w:rPr>
          <w:bCs/>
          <w:sz w:val="22"/>
          <w:szCs w:val="22"/>
          <w:lang w:val="sr-Cyrl-RS" w:eastAsia="en-US"/>
        </w:rPr>
      </w:pPr>
    </w:p>
    <w:p w14:paraId="5C5908EE" w14:textId="77777777" w:rsidR="009E3EC6" w:rsidRDefault="009E3EC6" w:rsidP="005202DD">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Pr>
          <w:bCs/>
          <w:sz w:val="22"/>
          <w:szCs w:val="22"/>
          <w:lang w:val="sr-Cyrl-RS" w:eastAsia="en-US"/>
        </w:rPr>
        <w:t>В</w:t>
      </w:r>
      <w:r w:rsidR="00DA2138" w:rsidRPr="009E157E">
        <w:rPr>
          <w:bCs/>
          <w:sz w:val="22"/>
          <w:szCs w:val="22"/>
          <w:lang w:val="sr-Cyrl-RS" w:eastAsia="en-US"/>
        </w:rPr>
        <w:t>елико смањење расхода односило се на грантове организацијама и удружењима из области културе, туризма</w:t>
      </w:r>
      <w:r w:rsidR="00205451">
        <w:rPr>
          <w:bCs/>
          <w:sz w:val="22"/>
          <w:szCs w:val="22"/>
          <w:lang w:val="sr-Cyrl-RS" w:eastAsia="en-US"/>
        </w:rPr>
        <w:t>,</w:t>
      </w:r>
      <w:r w:rsidR="00DA2138" w:rsidRPr="009E157E">
        <w:rPr>
          <w:bCs/>
          <w:sz w:val="22"/>
          <w:szCs w:val="22"/>
          <w:lang w:val="sr-Cyrl-RS" w:eastAsia="en-US"/>
        </w:rPr>
        <w:t xml:space="preserve"> а затим и спорта</w:t>
      </w:r>
      <w:r w:rsidR="00C216F8">
        <w:rPr>
          <w:bCs/>
          <w:sz w:val="22"/>
          <w:szCs w:val="22"/>
          <w:lang w:val="sr-Cyrl-RS" w:eastAsia="en-US"/>
        </w:rPr>
        <w:t xml:space="preserve">. </w:t>
      </w:r>
      <w:proofErr w:type="spellStart"/>
      <w:r w:rsidR="00C216F8">
        <w:rPr>
          <w:bCs/>
          <w:sz w:val="22"/>
          <w:szCs w:val="22"/>
          <w:lang w:val="sr-Cyrl-RS" w:eastAsia="en-US"/>
        </w:rPr>
        <w:t>Значајн</w:t>
      </w:r>
      <w:proofErr w:type="spellEnd"/>
      <w:r w:rsidR="00C216F8">
        <w:rPr>
          <w:bCs/>
          <w:sz w:val="22"/>
          <w:szCs w:val="22"/>
          <w:lang w:val="sr-Cyrl-RS" w:eastAsia="en-US"/>
        </w:rPr>
        <w:t xml:space="preserve"> </w:t>
      </w:r>
      <w:proofErr w:type="spellStart"/>
      <w:r w:rsidR="00C216F8">
        <w:rPr>
          <w:bCs/>
          <w:sz w:val="22"/>
          <w:szCs w:val="22"/>
          <w:lang w:val="sr-Cyrl-RS" w:eastAsia="en-US"/>
        </w:rPr>
        <w:t>дио</w:t>
      </w:r>
      <w:proofErr w:type="spellEnd"/>
      <w:r w:rsidR="00C216F8">
        <w:rPr>
          <w:bCs/>
          <w:sz w:val="22"/>
          <w:szCs w:val="22"/>
          <w:lang w:val="sr-Cyrl-RS" w:eastAsia="en-US"/>
        </w:rPr>
        <w:t xml:space="preserve"> манифестација које</w:t>
      </w:r>
      <w:r w:rsidR="00DA2138" w:rsidRPr="009E157E">
        <w:rPr>
          <w:bCs/>
          <w:sz w:val="22"/>
          <w:szCs w:val="22"/>
          <w:lang w:val="sr-Cyrl-RS" w:eastAsia="en-US"/>
        </w:rPr>
        <w:t xml:space="preserve"> се финансирају из локалних буџета ниј</w:t>
      </w:r>
      <w:r w:rsidR="000C097F">
        <w:rPr>
          <w:bCs/>
          <w:sz w:val="22"/>
          <w:szCs w:val="22"/>
          <w:lang w:val="sr-Cyrl-RS" w:eastAsia="en-US"/>
        </w:rPr>
        <w:t>е</w:t>
      </w:r>
      <w:r w:rsidR="00DA2138" w:rsidRPr="009E157E">
        <w:rPr>
          <w:bCs/>
          <w:sz w:val="22"/>
          <w:szCs w:val="22"/>
          <w:lang w:val="sr-Cyrl-RS" w:eastAsia="en-US"/>
        </w:rPr>
        <w:t xml:space="preserve"> одржан, </w:t>
      </w:r>
      <w:r>
        <w:rPr>
          <w:bCs/>
          <w:sz w:val="22"/>
          <w:szCs w:val="22"/>
          <w:lang w:val="sr-Cyrl-RS" w:eastAsia="en-US"/>
        </w:rPr>
        <w:t>па су због тога смањени и расходи по том основу. А</w:t>
      </w:r>
      <w:r w:rsidR="00DA2138" w:rsidRPr="009E157E">
        <w:rPr>
          <w:bCs/>
          <w:sz w:val="22"/>
          <w:szCs w:val="22"/>
          <w:lang w:val="sr-Cyrl-RS" w:eastAsia="en-US"/>
        </w:rPr>
        <w:t xml:space="preserve">ли треба имати у виду да ове </w:t>
      </w:r>
      <w:proofErr w:type="spellStart"/>
      <w:r w:rsidR="00DA2138" w:rsidRPr="009E157E">
        <w:rPr>
          <w:bCs/>
          <w:sz w:val="22"/>
          <w:szCs w:val="22"/>
          <w:lang w:val="sr-Cyrl-RS" w:eastAsia="en-US"/>
        </w:rPr>
        <w:t>огранизације</w:t>
      </w:r>
      <w:proofErr w:type="spellEnd"/>
      <w:r w:rsidR="00DA2138" w:rsidRPr="009E157E">
        <w:rPr>
          <w:bCs/>
          <w:sz w:val="22"/>
          <w:szCs w:val="22"/>
          <w:lang w:val="sr-Cyrl-RS" w:eastAsia="en-US"/>
        </w:rPr>
        <w:t xml:space="preserve"> имају и </w:t>
      </w:r>
      <w:proofErr w:type="spellStart"/>
      <w:r w:rsidR="00DA2138" w:rsidRPr="009E157E">
        <w:rPr>
          <w:bCs/>
          <w:sz w:val="22"/>
          <w:szCs w:val="22"/>
          <w:lang w:val="sr-Cyrl-RS" w:eastAsia="en-US"/>
        </w:rPr>
        <w:t>дио</w:t>
      </w:r>
      <w:proofErr w:type="spellEnd"/>
      <w:r w:rsidR="00DA2138" w:rsidRPr="009E157E">
        <w:rPr>
          <w:bCs/>
          <w:sz w:val="22"/>
          <w:szCs w:val="22"/>
          <w:lang w:val="sr-Cyrl-RS" w:eastAsia="en-US"/>
        </w:rPr>
        <w:t xml:space="preserve"> фиксних трошкова, као и расхода за плате стално запосленима, који су у овим условима отежано</w:t>
      </w:r>
      <w:r w:rsidR="00C216F8">
        <w:rPr>
          <w:bCs/>
          <w:sz w:val="22"/>
          <w:szCs w:val="22"/>
          <w:lang w:val="sr-Cyrl-RS" w:eastAsia="en-US"/>
        </w:rPr>
        <w:t>г</w:t>
      </w:r>
      <w:r w:rsidR="00205451">
        <w:rPr>
          <w:bCs/>
          <w:sz w:val="22"/>
          <w:szCs w:val="22"/>
          <w:lang w:val="sr-Cyrl-RS" w:eastAsia="en-US"/>
        </w:rPr>
        <w:t xml:space="preserve"> финансирања</w:t>
      </w:r>
      <w:r w:rsidR="00DA2138" w:rsidRPr="009E157E">
        <w:rPr>
          <w:bCs/>
          <w:sz w:val="22"/>
          <w:szCs w:val="22"/>
          <w:lang w:val="sr-Cyrl-RS" w:eastAsia="en-US"/>
        </w:rPr>
        <w:t>.</w:t>
      </w:r>
      <w:r w:rsidR="00C216F8">
        <w:rPr>
          <w:bCs/>
          <w:sz w:val="22"/>
          <w:szCs w:val="22"/>
          <w:lang w:val="sr-Cyrl-RS" w:eastAsia="en-US"/>
        </w:rPr>
        <w:t xml:space="preserve"> </w:t>
      </w:r>
      <w:r w:rsidR="000C097F">
        <w:rPr>
          <w:bCs/>
          <w:sz w:val="22"/>
          <w:szCs w:val="22"/>
          <w:lang w:val="sr-Cyrl-RS" w:eastAsia="en-US"/>
        </w:rPr>
        <w:t xml:space="preserve">Због продужења </w:t>
      </w:r>
      <w:proofErr w:type="spellStart"/>
      <w:r w:rsidR="000C097F">
        <w:rPr>
          <w:bCs/>
          <w:sz w:val="22"/>
          <w:szCs w:val="22"/>
          <w:lang w:val="sr-Cyrl-RS" w:eastAsia="en-US"/>
        </w:rPr>
        <w:t>пандемије</w:t>
      </w:r>
      <w:proofErr w:type="spellEnd"/>
      <w:r w:rsidR="000C097F">
        <w:rPr>
          <w:bCs/>
          <w:sz w:val="22"/>
          <w:szCs w:val="22"/>
          <w:lang w:val="sr-Cyrl-RS" w:eastAsia="en-US"/>
        </w:rPr>
        <w:t xml:space="preserve"> и рестриктивних </w:t>
      </w:r>
      <w:proofErr w:type="spellStart"/>
      <w:r w:rsidR="000C097F">
        <w:rPr>
          <w:bCs/>
          <w:sz w:val="22"/>
          <w:szCs w:val="22"/>
          <w:lang w:val="sr-Cyrl-RS" w:eastAsia="en-US"/>
        </w:rPr>
        <w:t>мјера</w:t>
      </w:r>
      <w:proofErr w:type="spellEnd"/>
      <w:r w:rsidR="000C097F">
        <w:rPr>
          <w:bCs/>
          <w:sz w:val="22"/>
          <w:szCs w:val="22"/>
          <w:lang w:val="sr-Cyrl-RS" w:eastAsia="en-US"/>
        </w:rPr>
        <w:t xml:space="preserve">, треба редефинисати услове за дознаке удружењима, организујући што више активности и програма кроз које се чланови удружења и волонтери могу укључити и помоћи ЈЛС у провођењу различитих </w:t>
      </w:r>
      <w:proofErr w:type="spellStart"/>
      <w:r w:rsidR="000C097F">
        <w:rPr>
          <w:bCs/>
          <w:sz w:val="22"/>
          <w:szCs w:val="22"/>
          <w:lang w:val="sr-Cyrl-RS" w:eastAsia="en-US"/>
        </w:rPr>
        <w:t>мјера</w:t>
      </w:r>
      <w:proofErr w:type="spellEnd"/>
      <w:r w:rsidR="000C097F">
        <w:rPr>
          <w:bCs/>
          <w:sz w:val="22"/>
          <w:szCs w:val="22"/>
          <w:lang w:val="sr-Cyrl-RS" w:eastAsia="en-US"/>
        </w:rPr>
        <w:t xml:space="preserve"> у борби против </w:t>
      </w:r>
      <w:proofErr w:type="spellStart"/>
      <w:r w:rsidR="000C097F">
        <w:rPr>
          <w:bCs/>
          <w:sz w:val="22"/>
          <w:szCs w:val="22"/>
          <w:lang w:val="sr-Cyrl-RS" w:eastAsia="en-US"/>
        </w:rPr>
        <w:t>пандемије</w:t>
      </w:r>
      <w:proofErr w:type="spellEnd"/>
      <w:r w:rsidR="000C097F">
        <w:rPr>
          <w:bCs/>
          <w:sz w:val="22"/>
          <w:szCs w:val="22"/>
          <w:lang w:val="sr-Cyrl-RS" w:eastAsia="en-US"/>
        </w:rPr>
        <w:t xml:space="preserve">.   </w:t>
      </w:r>
      <w:r w:rsidR="00C216F8">
        <w:rPr>
          <w:bCs/>
          <w:sz w:val="22"/>
          <w:szCs w:val="22"/>
          <w:lang w:val="sr-Cyrl-RS" w:eastAsia="en-US"/>
        </w:rPr>
        <w:t xml:space="preserve">Препорука је да се у </w:t>
      </w:r>
      <w:proofErr w:type="spellStart"/>
      <w:r w:rsidR="00C216F8">
        <w:rPr>
          <w:bCs/>
          <w:sz w:val="22"/>
          <w:szCs w:val="22"/>
          <w:lang w:val="sr-Cyrl-RS" w:eastAsia="en-US"/>
        </w:rPr>
        <w:t>постпандемијском</w:t>
      </w:r>
      <w:proofErr w:type="spellEnd"/>
      <w:r w:rsidR="00C216F8">
        <w:rPr>
          <w:bCs/>
          <w:sz w:val="22"/>
          <w:szCs w:val="22"/>
          <w:lang w:val="sr-Cyrl-RS" w:eastAsia="en-US"/>
        </w:rPr>
        <w:t xml:space="preserve"> периоду финансирање организација цивилног друштва, у свим друштвеним областима, базира на јасним и транспарентним стандардима</w:t>
      </w:r>
      <w:r w:rsidR="00C216F8">
        <w:rPr>
          <w:rStyle w:val="FootnoteReference"/>
          <w:bCs/>
          <w:sz w:val="22"/>
          <w:szCs w:val="22"/>
          <w:lang w:val="sr-Cyrl-RS" w:eastAsia="en-US"/>
        </w:rPr>
        <w:footnoteReference w:id="26"/>
      </w:r>
      <w:r w:rsidR="00C216F8">
        <w:rPr>
          <w:bCs/>
          <w:sz w:val="22"/>
          <w:szCs w:val="22"/>
          <w:lang w:val="sr-Cyrl-RS" w:eastAsia="en-US"/>
        </w:rPr>
        <w:t>.</w:t>
      </w:r>
    </w:p>
    <w:p w14:paraId="5EB87F7B" w14:textId="77777777" w:rsidR="000E14E2" w:rsidRDefault="000E14E2" w:rsidP="000E14E2">
      <w:pPr>
        <w:pStyle w:val="ListParagraph"/>
        <w:tabs>
          <w:tab w:val="left" w:pos="709"/>
          <w:tab w:val="left" w:pos="1530"/>
        </w:tabs>
        <w:spacing w:line="276" w:lineRule="auto"/>
        <w:ind w:left="360"/>
        <w:jc w:val="both"/>
        <w:rPr>
          <w:bCs/>
          <w:sz w:val="22"/>
          <w:szCs w:val="22"/>
          <w:lang w:val="sr-Cyrl-RS" w:eastAsia="en-US"/>
        </w:rPr>
      </w:pPr>
    </w:p>
    <w:p w14:paraId="66FF7689" w14:textId="77777777" w:rsidR="00581280" w:rsidRPr="00623A7A" w:rsidRDefault="00A027BF" w:rsidP="00623A7A">
      <w:pPr>
        <w:pStyle w:val="ListParagraph"/>
        <w:numPr>
          <w:ilvl w:val="0"/>
          <w:numId w:val="10"/>
        </w:numPr>
        <w:tabs>
          <w:tab w:val="left" w:pos="709"/>
          <w:tab w:val="left" w:pos="1530"/>
        </w:tabs>
        <w:spacing w:line="276" w:lineRule="auto"/>
        <w:ind w:left="0" w:firstLine="360"/>
        <w:jc w:val="both"/>
        <w:rPr>
          <w:bCs/>
          <w:sz w:val="22"/>
          <w:szCs w:val="22"/>
          <w:lang w:val="sr-Cyrl-RS" w:eastAsia="en-US"/>
        </w:rPr>
      </w:pPr>
      <w:r>
        <w:rPr>
          <w:bCs/>
          <w:sz w:val="22"/>
          <w:szCs w:val="22"/>
          <w:lang w:val="sr-Cyrl-RS" w:eastAsia="en-US"/>
        </w:rPr>
        <w:t xml:space="preserve">Позитивним се може </w:t>
      </w:r>
      <w:proofErr w:type="spellStart"/>
      <w:r>
        <w:rPr>
          <w:bCs/>
          <w:sz w:val="22"/>
          <w:szCs w:val="22"/>
          <w:lang w:val="sr-Cyrl-RS" w:eastAsia="en-US"/>
        </w:rPr>
        <w:t>оцијенити</w:t>
      </w:r>
      <w:proofErr w:type="spellEnd"/>
      <w:r>
        <w:rPr>
          <w:bCs/>
          <w:sz w:val="22"/>
          <w:szCs w:val="22"/>
          <w:lang w:val="sr-Cyrl-RS" w:eastAsia="en-US"/>
        </w:rPr>
        <w:t xml:space="preserve"> да су с</w:t>
      </w:r>
      <w:r w:rsidR="005957CE" w:rsidRPr="009E157E">
        <w:rPr>
          <w:bCs/>
          <w:sz w:val="22"/>
          <w:szCs w:val="22"/>
          <w:lang w:val="sr-Cyrl-RS" w:eastAsia="en-US"/>
        </w:rPr>
        <w:t xml:space="preserve">ви програми и </w:t>
      </w:r>
      <w:proofErr w:type="spellStart"/>
      <w:r w:rsidR="005957CE" w:rsidRPr="009E157E">
        <w:rPr>
          <w:bCs/>
          <w:sz w:val="22"/>
          <w:szCs w:val="22"/>
          <w:lang w:val="sr-Cyrl-RS" w:eastAsia="en-US"/>
        </w:rPr>
        <w:t>мјере</w:t>
      </w:r>
      <w:proofErr w:type="spellEnd"/>
      <w:r w:rsidR="005957CE" w:rsidRPr="009E157E">
        <w:rPr>
          <w:bCs/>
          <w:sz w:val="22"/>
          <w:szCs w:val="22"/>
          <w:lang w:val="sr-Cyrl-RS" w:eastAsia="en-US"/>
        </w:rPr>
        <w:t xml:space="preserve"> помоћи, к</w:t>
      </w:r>
      <w:r w:rsidR="00234F20" w:rsidRPr="009E157E">
        <w:rPr>
          <w:bCs/>
          <w:sz w:val="22"/>
          <w:szCs w:val="22"/>
          <w:lang w:val="sr-Cyrl-RS" w:eastAsia="en-US"/>
        </w:rPr>
        <w:t>а</w:t>
      </w:r>
      <w:r w:rsidR="005957CE" w:rsidRPr="009E157E">
        <w:rPr>
          <w:bCs/>
          <w:sz w:val="22"/>
          <w:szCs w:val="22"/>
          <w:lang w:val="sr-Cyrl-RS" w:eastAsia="en-US"/>
        </w:rPr>
        <w:t>к</w:t>
      </w:r>
      <w:r w:rsidR="00234F20" w:rsidRPr="009E157E">
        <w:rPr>
          <w:bCs/>
          <w:sz w:val="22"/>
          <w:szCs w:val="22"/>
          <w:lang w:val="sr-Cyrl-RS" w:eastAsia="en-US"/>
        </w:rPr>
        <w:t>о привреди тако и становништву</w:t>
      </w:r>
      <w:r>
        <w:rPr>
          <w:bCs/>
          <w:sz w:val="22"/>
          <w:szCs w:val="22"/>
          <w:lang w:val="sr-Cyrl-RS" w:eastAsia="en-US"/>
        </w:rPr>
        <w:t xml:space="preserve"> у анкетираним ЈЛС, </w:t>
      </w:r>
      <w:proofErr w:type="spellStart"/>
      <w:r>
        <w:rPr>
          <w:bCs/>
          <w:sz w:val="22"/>
          <w:szCs w:val="22"/>
          <w:lang w:val="sr-Cyrl-RS" w:eastAsia="en-US"/>
        </w:rPr>
        <w:t>провођењи</w:t>
      </w:r>
      <w:proofErr w:type="spellEnd"/>
      <w:r w:rsidR="00234F20" w:rsidRPr="009E157E">
        <w:rPr>
          <w:bCs/>
          <w:sz w:val="22"/>
          <w:szCs w:val="22"/>
          <w:lang w:val="sr-Cyrl-RS" w:eastAsia="en-US"/>
        </w:rPr>
        <w:t xml:space="preserve"> </w:t>
      </w:r>
      <w:r>
        <w:rPr>
          <w:bCs/>
          <w:sz w:val="22"/>
          <w:szCs w:val="22"/>
          <w:lang w:val="sr-Cyrl-RS" w:eastAsia="en-US"/>
        </w:rPr>
        <w:t>на транспарентан начин (об</w:t>
      </w:r>
      <w:r w:rsidR="00234F20" w:rsidRPr="009E157E">
        <w:rPr>
          <w:bCs/>
          <w:sz w:val="22"/>
          <w:szCs w:val="22"/>
          <w:lang w:val="sr-Cyrl-RS" w:eastAsia="en-US"/>
        </w:rPr>
        <w:t>јава у службеним гласницима, јавни позиви, интернет странице). Циљ је</w:t>
      </w:r>
      <w:r>
        <w:rPr>
          <w:bCs/>
          <w:sz w:val="22"/>
          <w:szCs w:val="22"/>
          <w:lang w:val="sr-Cyrl-RS" w:eastAsia="en-US"/>
        </w:rPr>
        <w:t xml:space="preserve"> био да помоћ стигне до што већег</w:t>
      </w:r>
      <w:r w:rsidR="00234F20" w:rsidRPr="009E157E">
        <w:rPr>
          <w:bCs/>
          <w:sz w:val="22"/>
          <w:szCs w:val="22"/>
          <w:lang w:val="sr-Cyrl-RS" w:eastAsia="en-US"/>
        </w:rPr>
        <w:t xml:space="preserve"> број</w:t>
      </w:r>
      <w:r>
        <w:rPr>
          <w:bCs/>
          <w:sz w:val="22"/>
          <w:szCs w:val="22"/>
          <w:lang w:val="sr-Cyrl-RS" w:eastAsia="en-US"/>
        </w:rPr>
        <w:t>а</w:t>
      </w:r>
      <w:r w:rsidR="00234F20" w:rsidRPr="009E157E">
        <w:rPr>
          <w:bCs/>
          <w:sz w:val="22"/>
          <w:szCs w:val="22"/>
          <w:lang w:val="sr-Cyrl-RS" w:eastAsia="en-US"/>
        </w:rPr>
        <w:t xml:space="preserve"> потенцијалних корисника.</w:t>
      </w:r>
    </w:p>
    <w:p w14:paraId="71735257" w14:textId="77777777" w:rsidR="00D54776" w:rsidRPr="000227A2" w:rsidRDefault="00D54776" w:rsidP="000227A2">
      <w:pPr>
        <w:tabs>
          <w:tab w:val="left" w:pos="709"/>
          <w:tab w:val="left" w:pos="1530"/>
        </w:tabs>
        <w:spacing w:line="276" w:lineRule="auto"/>
        <w:jc w:val="both"/>
        <w:rPr>
          <w:bCs/>
          <w:sz w:val="22"/>
          <w:szCs w:val="22"/>
          <w:lang w:val="sr-Cyrl-RS" w:eastAsia="en-US"/>
        </w:rPr>
      </w:pPr>
    </w:p>
    <w:p w14:paraId="702AB502" w14:textId="77777777" w:rsidR="0070435F" w:rsidRPr="00DC609B" w:rsidRDefault="00DC609B" w:rsidP="005202DD">
      <w:pPr>
        <w:pStyle w:val="ListParagraph"/>
        <w:numPr>
          <w:ilvl w:val="0"/>
          <w:numId w:val="10"/>
        </w:numPr>
        <w:tabs>
          <w:tab w:val="left" w:pos="709"/>
          <w:tab w:val="left" w:pos="1530"/>
        </w:tabs>
        <w:spacing w:line="276" w:lineRule="auto"/>
        <w:ind w:left="0" w:firstLine="360"/>
        <w:jc w:val="both"/>
        <w:rPr>
          <w:bCs/>
          <w:sz w:val="22"/>
          <w:szCs w:val="22"/>
          <w:lang w:val="en-US" w:eastAsia="en-US"/>
        </w:rPr>
      </w:pPr>
      <w:proofErr w:type="spellStart"/>
      <w:r>
        <w:rPr>
          <w:bCs/>
          <w:sz w:val="22"/>
          <w:szCs w:val="22"/>
          <w:lang w:val="sr-Cyrl-RS" w:eastAsia="en-US"/>
        </w:rPr>
        <w:t>Д</w:t>
      </w:r>
      <w:r w:rsidR="0070435F" w:rsidRPr="009E157E">
        <w:rPr>
          <w:bCs/>
          <w:sz w:val="22"/>
          <w:szCs w:val="22"/>
          <w:lang w:val="sr-Cyrl-RS" w:eastAsia="en-US"/>
        </w:rPr>
        <w:t>ио</w:t>
      </w:r>
      <w:proofErr w:type="spellEnd"/>
      <w:r w:rsidR="0070435F" w:rsidRPr="009E157E">
        <w:rPr>
          <w:bCs/>
          <w:sz w:val="22"/>
          <w:szCs w:val="22"/>
          <w:lang w:val="sr-Cyrl-RS" w:eastAsia="en-US"/>
        </w:rPr>
        <w:t xml:space="preserve"> анкетираних ЈЛС у</w:t>
      </w:r>
      <w:r>
        <w:rPr>
          <w:bCs/>
          <w:sz w:val="22"/>
          <w:szCs w:val="22"/>
          <w:lang w:val="sr-Cyrl-RS" w:eastAsia="en-US"/>
        </w:rPr>
        <w:t>спо</w:t>
      </w:r>
      <w:r w:rsidR="00273DD1" w:rsidRPr="009E157E">
        <w:rPr>
          <w:bCs/>
          <w:sz w:val="22"/>
          <w:szCs w:val="22"/>
          <w:lang w:val="sr-Cyrl-RS" w:eastAsia="en-US"/>
        </w:rPr>
        <w:t>с</w:t>
      </w:r>
      <w:r>
        <w:rPr>
          <w:bCs/>
          <w:sz w:val="22"/>
          <w:szCs w:val="22"/>
          <w:lang w:val="sr-Cyrl-RS" w:eastAsia="en-US"/>
        </w:rPr>
        <w:t>т</w:t>
      </w:r>
      <w:r w:rsidR="00273DD1" w:rsidRPr="009E157E">
        <w:rPr>
          <w:bCs/>
          <w:sz w:val="22"/>
          <w:szCs w:val="22"/>
          <w:lang w:val="sr-Cyrl-RS" w:eastAsia="en-US"/>
        </w:rPr>
        <w:t>авио је директне дигиталне канале комуникације са грађанима</w:t>
      </w:r>
      <w:r w:rsidR="0070435F" w:rsidRPr="009E157E">
        <w:rPr>
          <w:bCs/>
          <w:sz w:val="22"/>
          <w:szCs w:val="22"/>
          <w:lang w:val="sr-Cyrl-RS" w:eastAsia="en-US"/>
        </w:rPr>
        <w:t xml:space="preserve">. </w:t>
      </w:r>
      <w:r w:rsidR="00273DD1" w:rsidRPr="009E157E">
        <w:rPr>
          <w:bCs/>
          <w:sz w:val="22"/>
          <w:szCs w:val="22"/>
          <w:lang w:val="sr-Cyrl-RS" w:eastAsia="en-US"/>
        </w:rPr>
        <w:t xml:space="preserve"> </w:t>
      </w:r>
      <w:r w:rsidR="0070435F" w:rsidRPr="009E157E">
        <w:rPr>
          <w:bCs/>
          <w:sz w:val="22"/>
          <w:szCs w:val="22"/>
          <w:lang w:val="sr-Cyrl-RS" w:eastAsia="en-US"/>
        </w:rPr>
        <w:t xml:space="preserve">Бања Лука има </w:t>
      </w:r>
      <w:proofErr w:type="spellStart"/>
      <w:r w:rsidR="0070435F" w:rsidRPr="009E157E">
        <w:rPr>
          <w:bCs/>
          <w:sz w:val="22"/>
          <w:szCs w:val="22"/>
          <w:lang w:val="sr-Cyrl-RS" w:eastAsia="en-US"/>
        </w:rPr>
        <w:t>двије</w:t>
      </w:r>
      <w:proofErr w:type="spellEnd"/>
      <w:r w:rsidR="0070435F" w:rsidRPr="009E157E">
        <w:rPr>
          <w:bCs/>
          <w:sz w:val="22"/>
          <w:szCs w:val="22"/>
          <w:lang w:val="sr-Cyrl-RS" w:eastAsia="en-US"/>
        </w:rPr>
        <w:t xml:space="preserve"> апликације: </w:t>
      </w:r>
      <w:proofErr w:type="spellStart"/>
      <w:r w:rsidR="0070435F" w:rsidRPr="009E157E">
        <w:rPr>
          <w:bCs/>
          <w:sz w:val="22"/>
          <w:szCs w:val="22"/>
          <w:lang w:val="en-US" w:eastAsia="en-US"/>
        </w:rPr>
        <w:t>viber</w:t>
      </w:r>
      <w:proofErr w:type="spellEnd"/>
      <w:r w:rsidR="0070435F" w:rsidRPr="009E157E">
        <w:rPr>
          <w:bCs/>
          <w:sz w:val="22"/>
          <w:szCs w:val="22"/>
          <w:lang w:val="en-US" w:eastAsia="en-US"/>
        </w:rPr>
        <w:t xml:space="preserve"> </w:t>
      </w:r>
      <w:r w:rsidR="00CF47E5">
        <w:rPr>
          <w:bCs/>
          <w:sz w:val="22"/>
          <w:szCs w:val="22"/>
          <w:lang w:val="sr-Cyrl-RS" w:eastAsia="en-US"/>
        </w:rPr>
        <w:t>заједницу (са</w:t>
      </w:r>
      <w:r w:rsidR="0070435F" w:rsidRPr="009E157E">
        <w:rPr>
          <w:bCs/>
          <w:sz w:val="22"/>
          <w:szCs w:val="22"/>
          <w:lang w:val="sr-Cyrl-RS" w:eastAsia="en-US"/>
        </w:rPr>
        <w:t xml:space="preserve"> 29.000 чланова</w:t>
      </w:r>
      <w:r w:rsidR="00CF47E5">
        <w:rPr>
          <w:bCs/>
          <w:sz w:val="22"/>
          <w:szCs w:val="22"/>
          <w:lang w:val="sr-Cyrl-RS" w:eastAsia="en-US"/>
        </w:rPr>
        <w:t>)</w:t>
      </w:r>
      <w:r w:rsidR="0070435F" w:rsidRPr="009E157E">
        <w:rPr>
          <w:bCs/>
          <w:sz w:val="22"/>
          <w:szCs w:val="22"/>
          <w:lang w:val="sr-Cyrl-RS" w:eastAsia="en-US"/>
        </w:rPr>
        <w:t xml:space="preserve"> путем које грађани </w:t>
      </w:r>
      <w:r w:rsidR="00273DD1" w:rsidRPr="009E157E">
        <w:rPr>
          <w:bCs/>
          <w:sz w:val="22"/>
          <w:szCs w:val="22"/>
          <w:lang w:val="sr-Cyrl-RS" w:eastAsia="en-US"/>
        </w:rPr>
        <w:t xml:space="preserve">добијају </w:t>
      </w:r>
      <w:proofErr w:type="spellStart"/>
      <w:r w:rsidR="00273DD1" w:rsidRPr="009E157E">
        <w:rPr>
          <w:bCs/>
          <w:sz w:val="22"/>
          <w:szCs w:val="22"/>
          <w:lang w:val="sr-Cyrl-RS" w:eastAsia="en-US"/>
        </w:rPr>
        <w:t>дикретна</w:t>
      </w:r>
      <w:proofErr w:type="spellEnd"/>
      <w:r w:rsidR="00273DD1" w:rsidRPr="009E157E">
        <w:rPr>
          <w:bCs/>
          <w:sz w:val="22"/>
          <w:szCs w:val="22"/>
          <w:lang w:val="sr-Cyrl-RS" w:eastAsia="en-US"/>
        </w:rPr>
        <w:t xml:space="preserve"> </w:t>
      </w:r>
      <w:proofErr w:type="spellStart"/>
      <w:r w:rsidR="00273DD1" w:rsidRPr="009E157E">
        <w:rPr>
          <w:bCs/>
          <w:sz w:val="22"/>
          <w:szCs w:val="22"/>
          <w:lang w:val="sr-Cyrl-RS" w:eastAsia="en-US"/>
        </w:rPr>
        <w:t>обавјештења</w:t>
      </w:r>
      <w:proofErr w:type="spellEnd"/>
      <w:r w:rsidR="00273DD1" w:rsidRPr="009E157E">
        <w:rPr>
          <w:bCs/>
          <w:sz w:val="22"/>
          <w:szCs w:val="22"/>
          <w:lang w:val="sr-Cyrl-RS" w:eastAsia="en-US"/>
        </w:rPr>
        <w:t xml:space="preserve"> о свим значајним догађајима, а посебно о непредвиђеним и ванредним ситуацијама</w:t>
      </w:r>
      <w:r w:rsidR="00CF47E5">
        <w:rPr>
          <w:bCs/>
          <w:sz w:val="22"/>
          <w:szCs w:val="22"/>
          <w:lang w:val="sr-Cyrl-RS" w:eastAsia="en-US"/>
        </w:rPr>
        <w:t>.</w:t>
      </w:r>
      <w:r w:rsidR="0070435F" w:rsidRPr="009E157E">
        <w:rPr>
          <w:bCs/>
          <w:sz w:val="22"/>
          <w:szCs w:val="22"/>
          <w:lang w:val="sr-Cyrl-RS" w:eastAsia="en-US"/>
        </w:rPr>
        <w:t xml:space="preserve"> „Грађанска патрола“ је друга апликација, </w:t>
      </w:r>
      <w:proofErr w:type="spellStart"/>
      <w:r w:rsidR="0070435F" w:rsidRPr="009E157E">
        <w:rPr>
          <w:bCs/>
          <w:sz w:val="22"/>
          <w:szCs w:val="22"/>
          <w:lang w:val="sr-Cyrl-RS" w:eastAsia="en-US"/>
        </w:rPr>
        <w:t>гдје</w:t>
      </w:r>
      <w:proofErr w:type="spellEnd"/>
      <w:r w:rsidR="0070435F" w:rsidRPr="009E157E">
        <w:rPr>
          <w:bCs/>
          <w:sz w:val="22"/>
          <w:szCs w:val="22"/>
          <w:lang w:val="sr-Cyrl-RS" w:eastAsia="en-US"/>
        </w:rPr>
        <w:t xml:space="preserve"> грађани могу </w:t>
      </w:r>
      <w:proofErr w:type="spellStart"/>
      <w:r w:rsidR="0070435F" w:rsidRPr="009E157E">
        <w:rPr>
          <w:bCs/>
          <w:sz w:val="22"/>
          <w:szCs w:val="22"/>
          <w:lang w:val="sr-Cyrl-RS" w:eastAsia="en-US"/>
        </w:rPr>
        <w:t>обавијестити</w:t>
      </w:r>
      <w:proofErr w:type="spellEnd"/>
      <w:r w:rsidR="0070435F" w:rsidRPr="009E157E">
        <w:rPr>
          <w:bCs/>
          <w:sz w:val="22"/>
          <w:szCs w:val="22"/>
          <w:lang w:val="sr-Cyrl-RS" w:eastAsia="en-US"/>
        </w:rPr>
        <w:t xml:space="preserve"> надлежне службе о комуналним и другим проблемима у функционисању града. Градишка и Приједор су приступили </w:t>
      </w:r>
      <w:r w:rsidR="0070435F" w:rsidRPr="009E157E">
        <w:rPr>
          <w:bCs/>
          <w:sz w:val="22"/>
          <w:szCs w:val="22"/>
          <w:lang w:val="en-US" w:eastAsia="en-US"/>
        </w:rPr>
        <w:t xml:space="preserve">online </w:t>
      </w:r>
      <w:r w:rsidR="0070435F" w:rsidRPr="009E157E">
        <w:rPr>
          <w:bCs/>
          <w:sz w:val="22"/>
          <w:szCs w:val="22"/>
          <w:lang w:val="sr-Cyrl-RS" w:eastAsia="en-US"/>
        </w:rPr>
        <w:t xml:space="preserve">платформи </w:t>
      </w:r>
      <w:hyperlink r:id="rId11" w:history="1">
        <w:r w:rsidR="0070435F" w:rsidRPr="009E157E">
          <w:rPr>
            <w:rStyle w:val="Hyperlink"/>
            <w:bCs/>
            <w:sz w:val="22"/>
            <w:szCs w:val="22"/>
            <w:lang w:val="sr-Latn-RS" w:eastAsia="en-US"/>
          </w:rPr>
          <w:t>www.ecitizen.ba</w:t>
        </w:r>
      </w:hyperlink>
      <w:r w:rsidR="0070435F" w:rsidRPr="00BC57D1">
        <w:rPr>
          <w:rStyle w:val="FootnoteReference"/>
          <w:bCs/>
          <w:sz w:val="22"/>
          <w:szCs w:val="22"/>
          <w:lang w:val="sr-Latn-RS" w:eastAsia="en-US"/>
        </w:rPr>
        <w:footnoteReference w:id="27"/>
      </w:r>
      <w:r w:rsidR="0070435F" w:rsidRPr="009E157E">
        <w:rPr>
          <w:bCs/>
          <w:sz w:val="22"/>
          <w:szCs w:val="22"/>
          <w:lang w:val="sr-Cyrl-RS" w:eastAsia="en-US"/>
        </w:rPr>
        <w:t xml:space="preserve">. </w:t>
      </w:r>
      <w:r w:rsidR="0070435F" w:rsidRPr="003A0354">
        <w:rPr>
          <w:bCs/>
          <w:sz w:val="22"/>
          <w:szCs w:val="22"/>
          <w:lang w:val="sr-Cyrl-RS" w:eastAsia="en-US"/>
        </w:rPr>
        <w:t xml:space="preserve">Са </w:t>
      </w:r>
      <w:proofErr w:type="spellStart"/>
      <w:r w:rsidR="0070435F" w:rsidRPr="003A0354">
        <w:rPr>
          <w:bCs/>
          <w:sz w:val="22"/>
          <w:szCs w:val="22"/>
          <w:lang w:val="sr-Cyrl-RS" w:eastAsia="en-US"/>
        </w:rPr>
        <w:t>примјеном</w:t>
      </w:r>
      <w:proofErr w:type="spellEnd"/>
      <w:r w:rsidR="0070435F" w:rsidRPr="003A0354">
        <w:rPr>
          <w:bCs/>
          <w:sz w:val="22"/>
          <w:szCs w:val="22"/>
          <w:lang w:val="sr-Cyrl-RS" w:eastAsia="en-US"/>
        </w:rPr>
        <w:t xml:space="preserve"> ове апликац</w:t>
      </w:r>
      <w:r w:rsidR="00095C02">
        <w:rPr>
          <w:bCs/>
          <w:sz w:val="22"/>
          <w:szCs w:val="22"/>
          <w:lang w:val="sr-Cyrl-RS" w:eastAsia="en-US"/>
        </w:rPr>
        <w:t xml:space="preserve">ије се започело управо почетком </w:t>
      </w:r>
      <w:proofErr w:type="spellStart"/>
      <w:r w:rsidR="00095C02">
        <w:rPr>
          <w:bCs/>
          <w:sz w:val="22"/>
          <w:szCs w:val="22"/>
          <w:lang w:val="sr-Cyrl-RS" w:eastAsia="en-US"/>
        </w:rPr>
        <w:t>пандемије</w:t>
      </w:r>
      <w:proofErr w:type="spellEnd"/>
      <w:r w:rsidR="0070435F" w:rsidRPr="003A0354">
        <w:rPr>
          <w:bCs/>
          <w:sz w:val="22"/>
          <w:szCs w:val="22"/>
          <w:lang w:val="sr-Cyrl-RS" w:eastAsia="en-US"/>
        </w:rPr>
        <w:t>, када се показала сва њена корист</w:t>
      </w:r>
      <w:r w:rsidR="00095C02">
        <w:rPr>
          <w:bCs/>
          <w:sz w:val="22"/>
          <w:szCs w:val="22"/>
          <w:lang w:val="sr-Cyrl-RS" w:eastAsia="en-US"/>
        </w:rPr>
        <w:t>,</w:t>
      </w:r>
      <w:r w:rsidR="0070435F" w:rsidRPr="003A0354">
        <w:rPr>
          <w:bCs/>
          <w:sz w:val="22"/>
          <w:szCs w:val="22"/>
          <w:lang w:val="sr-Cyrl-RS" w:eastAsia="en-US"/>
        </w:rPr>
        <w:t xml:space="preserve"> јер је</w:t>
      </w:r>
      <w:r w:rsidR="00095C02">
        <w:rPr>
          <w:bCs/>
          <w:sz w:val="22"/>
          <w:szCs w:val="22"/>
          <w:lang w:val="sr-Cyrl-RS" w:eastAsia="en-US"/>
        </w:rPr>
        <w:t xml:space="preserve"> адекватна комуникација са локалним</w:t>
      </w:r>
      <w:r w:rsidR="0070435F" w:rsidRPr="003A0354">
        <w:rPr>
          <w:bCs/>
          <w:sz w:val="22"/>
          <w:szCs w:val="22"/>
          <w:lang w:val="sr-Cyrl-RS" w:eastAsia="en-US"/>
        </w:rPr>
        <w:t xml:space="preserve"> самоуправама кључна у доба кризе. Ова платформа омогућава </w:t>
      </w:r>
      <w:proofErr w:type="spellStart"/>
      <w:r w:rsidR="0070435F" w:rsidRPr="003A0354">
        <w:rPr>
          <w:bCs/>
          <w:sz w:val="22"/>
          <w:szCs w:val="22"/>
          <w:lang w:val="sr-Cyrl-RS" w:eastAsia="en-US"/>
        </w:rPr>
        <w:t>двосмјерну</w:t>
      </w:r>
      <w:proofErr w:type="spellEnd"/>
      <w:r w:rsidR="0070435F" w:rsidRPr="003A0354">
        <w:rPr>
          <w:bCs/>
          <w:sz w:val="22"/>
          <w:szCs w:val="22"/>
          <w:lang w:val="sr-Cyrl-RS" w:eastAsia="en-US"/>
        </w:rPr>
        <w:t xml:space="preserve"> к</w:t>
      </w:r>
      <w:r w:rsidR="00095C02">
        <w:rPr>
          <w:bCs/>
          <w:sz w:val="22"/>
          <w:szCs w:val="22"/>
          <w:lang w:val="sr-Cyrl-RS" w:eastAsia="en-US"/>
        </w:rPr>
        <w:t>омуникацију на релацији грађани-лок</w:t>
      </w:r>
      <w:r w:rsidR="0070435F" w:rsidRPr="003A0354">
        <w:rPr>
          <w:bCs/>
          <w:sz w:val="22"/>
          <w:szCs w:val="22"/>
          <w:lang w:val="sr-Cyrl-RS" w:eastAsia="en-US"/>
        </w:rPr>
        <w:t>а</w:t>
      </w:r>
      <w:r w:rsidR="00095C02">
        <w:rPr>
          <w:bCs/>
          <w:sz w:val="22"/>
          <w:szCs w:val="22"/>
          <w:lang w:val="sr-Cyrl-RS" w:eastAsia="en-US"/>
        </w:rPr>
        <w:t>л</w:t>
      </w:r>
      <w:r w:rsidR="0070435F" w:rsidRPr="003A0354">
        <w:rPr>
          <w:bCs/>
          <w:sz w:val="22"/>
          <w:szCs w:val="22"/>
          <w:lang w:val="sr-Cyrl-RS" w:eastAsia="en-US"/>
        </w:rPr>
        <w:t xml:space="preserve">не власти, што би </w:t>
      </w:r>
      <w:proofErr w:type="spellStart"/>
      <w:r w:rsidR="0070435F" w:rsidRPr="003A0354">
        <w:rPr>
          <w:bCs/>
          <w:sz w:val="22"/>
          <w:szCs w:val="22"/>
          <w:lang w:val="sr-Cyrl-RS" w:eastAsia="en-US"/>
        </w:rPr>
        <w:t>трабло</w:t>
      </w:r>
      <w:proofErr w:type="spellEnd"/>
      <w:r w:rsidR="0070435F" w:rsidRPr="003A0354">
        <w:rPr>
          <w:bCs/>
          <w:sz w:val="22"/>
          <w:szCs w:val="22"/>
          <w:lang w:val="sr-Cyrl-RS" w:eastAsia="en-US"/>
        </w:rPr>
        <w:t xml:space="preserve"> да резултира већом </w:t>
      </w:r>
      <w:proofErr w:type="spellStart"/>
      <w:r w:rsidR="0070435F" w:rsidRPr="003A0354">
        <w:rPr>
          <w:bCs/>
          <w:sz w:val="22"/>
          <w:szCs w:val="22"/>
          <w:lang w:val="sr-Cyrl-RS" w:eastAsia="en-US"/>
        </w:rPr>
        <w:t>траснпа</w:t>
      </w:r>
      <w:r w:rsidR="00095C02">
        <w:rPr>
          <w:bCs/>
          <w:sz w:val="22"/>
          <w:szCs w:val="22"/>
          <w:lang w:val="sr-Cyrl-RS" w:eastAsia="en-US"/>
        </w:rPr>
        <w:t>рентношћу</w:t>
      </w:r>
      <w:proofErr w:type="spellEnd"/>
      <w:r w:rsidR="00095C02">
        <w:rPr>
          <w:bCs/>
          <w:sz w:val="22"/>
          <w:szCs w:val="22"/>
          <w:lang w:val="sr-Cyrl-RS" w:eastAsia="en-US"/>
        </w:rPr>
        <w:t xml:space="preserve"> и одговорношћу на лок</w:t>
      </w:r>
      <w:r w:rsidR="0070435F" w:rsidRPr="003A0354">
        <w:rPr>
          <w:bCs/>
          <w:sz w:val="22"/>
          <w:szCs w:val="22"/>
          <w:lang w:val="sr-Cyrl-RS" w:eastAsia="en-US"/>
        </w:rPr>
        <w:t>а</w:t>
      </w:r>
      <w:r w:rsidR="00095C02">
        <w:rPr>
          <w:bCs/>
          <w:sz w:val="22"/>
          <w:szCs w:val="22"/>
          <w:lang w:val="sr-Cyrl-RS" w:eastAsia="en-US"/>
        </w:rPr>
        <w:t>л</w:t>
      </w:r>
      <w:r w:rsidR="0070435F" w:rsidRPr="003A0354">
        <w:rPr>
          <w:bCs/>
          <w:sz w:val="22"/>
          <w:szCs w:val="22"/>
          <w:lang w:val="sr-Cyrl-RS" w:eastAsia="en-US"/>
        </w:rPr>
        <w:t>ном нивоу. На платформу се могу повезати и све јавне установе и комунална предузећа. Поред притужби на функционисање различитих служби</w:t>
      </w:r>
      <w:r w:rsidR="00095C02">
        <w:rPr>
          <w:bCs/>
          <w:sz w:val="22"/>
          <w:szCs w:val="22"/>
          <w:lang w:val="sr-Cyrl-RS" w:eastAsia="en-US"/>
        </w:rPr>
        <w:t xml:space="preserve"> и других проблема, могуће је </w:t>
      </w:r>
      <w:r w:rsidR="0070435F" w:rsidRPr="003A0354">
        <w:rPr>
          <w:bCs/>
          <w:sz w:val="22"/>
          <w:szCs w:val="22"/>
          <w:lang w:val="sr-Cyrl-RS" w:eastAsia="en-US"/>
        </w:rPr>
        <w:t>поставити и питања (</w:t>
      </w:r>
      <w:proofErr w:type="spellStart"/>
      <w:r w:rsidR="0070435F" w:rsidRPr="003A0354">
        <w:rPr>
          <w:bCs/>
          <w:sz w:val="22"/>
          <w:szCs w:val="22"/>
          <w:lang w:val="sr-Cyrl-RS" w:eastAsia="en-US"/>
        </w:rPr>
        <w:t>градо</w:t>
      </w:r>
      <w:proofErr w:type="spellEnd"/>
      <w:r w:rsidR="0070435F" w:rsidRPr="003A0354">
        <w:rPr>
          <w:bCs/>
          <w:sz w:val="22"/>
          <w:szCs w:val="22"/>
          <w:lang w:val="sr-Cyrl-RS" w:eastAsia="en-US"/>
        </w:rPr>
        <w:t>)</w:t>
      </w:r>
      <w:r w:rsidR="00095C02">
        <w:rPr>
          <w:bCs/>
          <w:sz w:val="22"/>
          <w:szCs w:val="22"/>
          <w:lang w:val="sr-Cyrl-RS" w:eastAsia="en-US"/>
        </w:rPr>
        <w:t xml:space="preserve"> </w:t>
      </w:r>
      <w:r w:rsidR="0070435F" w:rsidRPr="003A0354">
        <w:rPr>
          <w:bCs/>
          <w:sz w:val="22"/>
          <w:szCs w:val="22"/>
          <w:lang w:val="sr-Cyrl-RS" w:eastAsia="en-US"/>
        </w:rPr>
        <w:t>начелнику</w:t>
      </w:r>
      <w:r w:rsidR="00095C02">
        <w:rPr>
          <w:bCs/>
          <w:sz w:val="22"/>
          <w:szCs w:val="22"/>
          <w:lang w:val="sr-Cyrl-RS" w:eastAsia="en-US"/>
        </w:rPr>
        <w:t>,</w:t>
      </w:r>
      <w:r w:rsidR="0070435F" w:rsidRPr="003A0354">
        <w:rPr>
          <w:bCs/>
          <w:sz w:val="22"/>
          <w:szCs w:val="22"/>
          <w:lang w:val="sr-Cyrl-RS" w:eastAsia="en-US"/>
        </w:rPr>
        <w:t xml:space="preserve"> али и другим одборницима и слично.</w:t>
      </w:r>
    </w:p>
    <w:p w14:paraId="316F1306" w14:textId="77777777" w:rsidR="00DC609B" w:rsidRPr="00DC609B" w:rsidRDefault="00DC609B" w:rsidP="00DC609B">
      <w:pPr>
        <w:tabs>
          <w:tab w:val="left" w:pos="709"/>
          <w:tab w:val="left" w:pos="1530"/>
        </w:tabs>
        <w:spacing w:line="276" w:lineRule="auto"/>
        <w:jc w:val="both"/>
        <w:rPr>
          <w:bCs/>
          <w:sz w:val="22"/>
          <w:szCs w:val="22"/>
          <w:lang w:val="en-US" w:eastAsia="en-US"/>
        </w:rPr>
      </w:pPr>
    </w:p>
    <w:p w14:paraId="0C87E944" w14:textId="77777777" w:rsidR="00F846F2" w:rsidRDefault="00F846F2" w:rsidP="00F846F2">
      <w:pPr>
        <w:tabs>
          <w:tab w:val="left" w:pos="709"/>
          <w:tab w:val="left" w:pos="1530"/>
        </w:tabs>
        <w:spacing w:line="276" w:lineRule="auto"/>
        <w:jc w:val="both"/>
        <w:rPr>
          <w:bCs/>
          <w:sz w:val="22"/>
          <w:szCs w:val="22"/>
          <w:lang w:val="sr-Cyrl-RS" w:eastAsia="en-US"/>
        </w:rPr>
      </w:pPr>
      <w:r>
        <w:rPr>
          <w:sz w:val="22"/>
          <w:lang w:val="sr-Cyrl-CS"/>
        </w:rPr>
        <w:tab/>
        <w:t>И</w:t>
      </w:r>
      <w:r w:rsidRPr="00F846F2">
        <w:rPr>
          <w:sz w:val="22"/>
          <w:lang w:val="sr-Cyrl-CS"/>
        </w:rPr>
        <w:t xml:space="preserve">ако велике и развијене ЈЛС номинално имају највећи пад прихода, криза је више погодила мале и неразвијене ЈЛС, и редуковала њихову способност да значајније пројекте самостално финансирају. Њихов </w:t>
      </w:r>
      <w:proofErr w:type="spellStart"/>
      <w:r w:rsidRPr="00F846F2">
        <w:rPr>
          <w:sz w:val="22"/>
          <w:lang w:val="sr-Cyrl-CS"/>
        </w:rPr>
        <w:t>социо</w:t>
      </w:r>
      <w:proofErr w:type="spellEnd"/>
      <w:r w:rsidRPr="00F846F2">
        <w:rPr>
          <w:sz w:val="22"/>
          <w:lang w:val="sr-Cyrl-CS"/>
        </w:rPr>
        <w:t xml:space="preserve">-економски опоравак послије </w:t>
      </w:r>
      <w:proofErr w:type="spellStart"/>
      <w:r w:rsidRPr="00F846F2">
        <w:rPr>
          <w:sz w:val="22"/>
          <w:lang w:val="sr-Cyrl-CS"/>
        </w:rPr>
        <w:t>пандемије</w:t>
      </w:r>
      <w:proofErr w:type="spellEnd"/>
      <w:r w:rsidRPr="00F846F2">
        <w:rPr>
          <w:sz w:val="22"/>
          <w:lang w:val="sr-Cyrl-CS"/>
        </w:rPr>
        <w:t xml:space="preserve">, зависиће, не само од њихових редовних прихода, већ и од величине и </w:t>
      </w:r>
      <w:proofErr w:type="spellStart"/>
      <w:r w:rsidRPr="00F846F2">
        <w:rPr>
          <w:sz w:val="22"/>
          <w:lang w:val="sr-Cyrl-CS"/>
        </w:rPr>
        <w:t>намјене</w:t>
      </w:r>
      <w:proofErr w:type="spellEnd"/>
      <w:r w:rsidRPr="00F846F2">
        <w:rPr>
          <w:sz w:val="22"/>
          <w:lang w:val="sr-Cyrl-CS"/>
        </w:rPr>
        <w:t xml:space="preserve"> трансфера који буду стизали од Владе РС. Испред Савеза би требало припремити иницијативу према Влади РС, да се у сарадњи са Министарством финансија, на бази података о стањима буџета свих ЈЛС, припреме </w:t>
      </w:r>
      <w:proofErr w:type="spellStart"/>
      <w:r w:rsidRPr="00F846F2">
        <w:rPr>
          <w:sz w:val="22"/>
          <w:lang w:val="sr-Cyrl-CS"/>
        </w:rPr>
        <w:t>мјере</w:t>
      </w:r>
      <w:proofErr w:type="spellEnd"/>
      <w:r w:rsidRPr="00F846F2">
        <w:rPr>
          <w:sz w:val="22"/>
          <w:lang w:val="sr-Cyrl-CS"/>
        </w:rPr>
        <w:t xml:space="preserve"> средњорочне помоћи према при</w:t>
      </w:r>
      <w:r>
        <w:rPr>
          <w:sz w:val="22"/>
          <w:lang w:val="sr-Cyrl-CS"/>
        </w:rPr>
        <w:t>оритетима и степену угрожености.</w:t>
      </w:r>
      <w:r>
        <w:rPr>
          <w:bCs/>
          <w:sz w:val="22"/>
          <w:szCs w:val="22"/>
          <w:lang w:val="sr-Cyrl-RS" w:eastAsia="en-US"/>
        </w:rPr>
        <w:t xml:space="preserve"> </w:t>
      </w:r>
    </w:p>
    <w:p w14:paraId="537CA33F" w14:textId="77777777" w:rsidR="00F846F2" w:rsidRDefault="00F846F2" w:rsidP="00F846F2">
      <w:pPr>
        <w:tabs>
          <w:tab w:val="left" w:pos="709"/>
          <w:tab w:val="left" w:pos="1530"/>
        </w:tabs>
        <w:spacing w:line="276" w:lineRule="auto"/>
        <w:jc w:val="both"/>
        <w:rPr>
          <w:bCs/>
          <w:sz w:val="22"/>
          <w:szCs w:val="22"/>
          <w:lang w:val="sr-Cyrl-RS" w:eastAsia="en-US"/>
        </w:rPr>
      </w:pPr>
    </w:p>
    <w:p w14:paraId="65E0253C" w14:textId="51DC1DC8" w:rsidR="00817909" w:rsidRPr="00F846F2" w:rsidRDefault="00F846F2" w:rsidP="00F846F2">
      <w:pPr>
        <w:tabs>
          <w:tab w:val="left" w:pos="709"/>
          <w:tab w:val="left" w:pos="1530"/>
        </w:tabs>
        <w:spacing w:line="276" w:lineRule="auto"/>
        <w:jc w:val="both"/>
        <w:rPr>
          <w:bCs/>
          <w:sz w:val="22"/>
          <w:szCs w:val="22"/>
          <w:lang w:val="sr-Cyrl-RS" w:eastAsia="en-US"/>
        </w:rPr>
      </w:pPr>
      <w:r>
        <w:rPr>
          <w:bCs/>
          <w:sz w:val="22"/>
          <w:szCs w:val="22"/>
          <w:lang w:val="sr-Cyrl-RS" w:eastAsia="en-US"/>
        </w:rPr>
        <w:tab/>
      </w:r>
      <w:r w:rsidR="0098532E">
        <w:rPr>
          <w:bCs/>
          <w:sz w:val="22"/>
          <w:szCs w:val="22"/>
          <w:lang w:val="sr-Cyrl-RS" w:eastAsia="en-US"/>
        </w:rPr>
        <w:t>Из свега наведеног произилази, да су анкетиране ЈЛС</w:t>
      </w:r>
      <w:r w:rsidR="004F3961">
        <w:rPr>
          <w:bCs/>
          <w:sz w:val="22"/>
          <w:szCs w:val="22"/>
          <w:lang w:val="sr-Cyrl-RS" w:eastAsia="en-US"/>
        </w:rPr>
        <w:t>,</w:t>
      </w:r>
      <w:r w:rsidR="0098532E">
        <w:rPr>
          <w:bCs/>
          <w:sz w:val="22"/>
          <w:szCs w:val="22"/>
          <w:lang w:val="sr-Cyrl-RS" w:eastAsia="en-US"/>
        </w:rPr>
        <w:t xml:space="preserve"> </w:t>
      </w:r>
      <w:r w:rsidR="004F3961">
        <w:rPr>
          <w:bCs/>
          <w:sz w:val="22"/>
          <w:szCs w:val="22"/>
          <w:lang w:val="sr-Cyrl-RS" w:eastAsia="en-US"/>
        </w:rPr>
        <w:t xml:space="preserve">краткорочно посматрано, </w:t>
      </w:r>
      <w:r w:rsidR="0098532E">
        <w:rPr>
          <w:bCs/>
          <w:sz w:val="22"/>
          <w:szCs w:val="22"/>
          <w:lang w:val="sr-Cyrl-RS" w:eastAsia="en-US"/>
        </w:rPr>
        <w:t xml:space="preserve">релативно </w:t>
      </w:r>
      <w:proofErr w:type="spellStart"/>
      <w:r w:rsidR="0098532E">
        <w:rPr>
          <w:bCs/>
          <w:sz w:val="22"/>
          <w:szCs w:val="22"/>
          <w:lang w:val="sr-Cyrl-RS" w:eastAsia="en-US"/>
        </w:rPr>
        <w:t>успјешно</w:t>
      </w:r>
      <w:proofErr w:type="spellEnd"/>
      <w:r w:rsidR="0098532E">
        <w:rPr>
          <w:bCs/>
          <w:sz w:val="22"/>
          <w:szCs w:val="22"/>
          <w:lang w:val="sr-Cyrl-RS" w:eastAsia="en-US"/>
        </w:rPr>
        <w:t xml:space="preserve"> реаговале на кризу</w:t>
      </w:r>
      <w:r w:rsidR="004F3961">
        <w:rPr>
          <w:bCs/>
          <w:sz w:val="22"/>
          <w:szCs w:val="22"/>
          <w:lang w:val="sr-Cyrl-RS" w:eastAsia="en-US"/>
        </w:rPr>
        <w:t>,</w:t>
      </w:r>
      <w:r w:rsidR="0098532E">
        <w:rPr>
          <w:bCs/>
          <w:sz w:val="22"/>
          <w:szCs w:val="22"/>
          <w:lang w:val="sr-Cyrl-RS" w:eastAsia="en-US"/>
        </w:rPr>
        <w:t xml:space="preserve"> </w:t>
      </w:r>
      <w:r w:rsidR="004F3961">
        <w:rPr>
          <w:bCs/>
          <w:sz w:val="22"/>
          <w:szCs w:val="22"/>
          <w:lang w:val="sr-Cyrl-RS" w:eastAsia="en-US"/>
        </w:rPr>
        <w:t xml:space="preserve">односно, пад прихода </w:t>
      </w:r>
      <w:proofErr w:type="spellStart"/>
      <w:r w:rsidR="004F3961">
        <w:rPr>
          <w:bCs/>
          <w:sz w:val="22"/>
          <w:szCs w:val="22"/>
          <w:lang w:val="sr-Cyrl-RS" w:eastAsia="en-US"/>
        </w:rPr>
        <w:t>супституисале</w:t>
      </w:r>
      <w:proofErr w:type="spellEnd"/>
      <w:r w:rsidR="004F3961">
        <w:rPr>
          <w:bCs/>
          <w:sz w:val="22"/>
          <w:szCs w:val="22"/>
          <w:lang w:val="sr-Cyrl-RS" w:eastAsia="en-US"/>
        </w:rPr>
        <w:t xml:space="preserve"> су додатним задужењима и трансферима Владе РС, оствариле су одређене</w:t>
      </w:r>
      <w:r w:rsidR="00CF47E5">
        <w:rPr>
          <w:bCs/>
          <w:sz w:val="22"/>
          <w:szCs w:val="22"/>
          <w:lang w:val="sr-Cyrl-RS" w:eastAsia="en-US"/>
        </w:rPr>
        <w:t>-селективне</w:t>
      </w:r>
      <w:r w:rsidR="004F3961">
        <w:rPr>
          <w:bCs/>
          <w:sz w:val="22"/>
          <w:szCs w:val="22"/>
          <w:lang w:val="sr-Cyrl-RS" w:eastAsia="en-US"/>
        </w:rPr>
        <w:t xml:space="preserve"> уштеде у буџету, и </w:t>
      </w:r>
      <w:proofErr w:type="spellStart"/>
      <w:r w:rsidR="004F3961">
        <w:rPr>
          <w:bCs/>
          <w:sz w:val="22"/>
          <w:szCs w:val="22"/>
          <w:lang w:val="sr-Cyrl-RS" w:eastAsia="en-US"/>
        </w:rPr>
        <w:t>обезбиједиле</w:t>
      </w:r>
      <w:proofErr w:type="spellEnd"/>
      <w:r w:rsidR="004F3961">
        <w:rPr>
          <w:bCs/>
          <w:sz w:val="22"/>
          <w:szCs w:val="22"/>
          <w:lang w:val="sr-Cyrl-RS" w:eastAsia="en-US"/>
        </w:rPr>
        <w:t xml:space="preserve"> финансијска средства за прву </w:t>
      </w:r>
      <w:r w:rsidR="0098532E">
        <w:rPr>
          <w:bCs/>
          <w:sz w:val="22"/>
          <w:szCs w:val="22"/>
          <w:lang w:val="sr-Cyrl-RS" w:eastAsia="en-US"/>
        </w:rPr>
        <w:t xml:space="preserve">помоћ привреди </w:t>
      </w:r>
      <w:r w:rsidR="004F3961">
        <w:rPr>
          <w:bCs/>
          <w:sz w:val="22"/>
          <w:szCs w:val="22"/>
          <w:lang w:val="sr-Cyrl-RS" w:eastAsia="en-US"/>
        </w:rPr>
        <w:t>и становниш</w:t>
      </w:r>
      <w:r w:rsidR="0098532E">
        <w:rPr>
          <w:bCs/>
          <w:sz w:val="22"/>
          <w:szCs w:val="22"/>
          <w:lang w:val="sr-Cyrl-RS" w:eastAsia="en-US"/>
        </w:rPr>
        <w:t>т</w:t>
      </w:r>
      <w:r w:rsidR="004F3961">
        <w:rPr>
          <w:bCs/>
          <w:sz w:val="22"/>
          <w:szCs w:val="22"/>
          <w:lang w:val="sr-Cyrl-RS" w:eastAsia="en-US"/>
        </w:rPr>
        <w:t>ву.</w:t>
      </w:r>
      <w:r w:rsidR="0098532E">
        <w:rPr>
          <w:bCs/>
          <w:sz w:val="22"/>
          <w:szCs w:val="22"/>
          <w:lang w:val="sr-Cyrl-RS" w:eastAsia="en-US"/>
        </w:rPr>
        <w:t xml:space="preserve"> </w:t>
      </w:r>
      <w:r w:rsidR="00A0047D">
        <w:rPr>
          <w:bCs/>
          <w:sz w:val="22"/>
          <w:szCs w:val="22"/>
          <w:lang w:val="sr-Cyrl-RS" w:eastAsia="en-US"/>
        </w:rPr>
        <w:t xml:space="preserve">Осим финансијских проблема, ЈЛС су се суочиле са потребом да управљају кризом и у другим сегментима (здравство, саобраћај, јавна хигијена, начин рада привредних субјеката итд.). Адекватна комуникација са медијима и правовремене и тачне информације показале су се од изузетног значаја. </w:t>
      </w:r>
      <w:r w:rsidR="004F3961">
        <w:rPr>
          <w:bCs/>
          <w:sz w:val="22"/>
          <w:szCs w:val="22"/>
          <w:lang w:val="sr-Cyrl-RS" w:eastAsia="en-US"/>
        </w:rPr>
        <w:t xml:space="preserve">Ипак, </w:t>
      </w:r>
      <w:proofErr w:type="spellStart"/>
      <w:r w:rsidR="004F3961">
        <w:rPr>
          <w:bCs/>
          <w:sz w:val="22"/>
          <w:szCs w:val="22"/>
          <w:lang w:val="sr-Cyrl-RS" w:eastAsia="en-US"/>
        </w:rPr>
        <w:t>процјене</w:t>
      </w:r>
      <w:proofErr w:type="spellEnd"/>
      <w:r w:rsidR="004F3961">
        <w:rPr>
          <w:bCs/>
          <w:sz w:val="22"/>
          <w:szCs w:val="22"/>
          <w:lang w:val="sr-Cyrl-RS" w:eastAsia="en-US"/>
        </w:rPr>
        <w:t xml:space="preserve"> су да ће се негативни ефекти кризе, на нивоу ЈЛС,</w:t>
      </w:r>
      <w:r w:rsidR="004F3961">
        <w:rPr>
          <w:bCs/>
          <w:sz w:val="22"/>
          <w:szCs w:val="22"/>
          <w:lang w:val="en-US" w:eastAsia="en-US"/>
        </w:rPr>
        <w:t xml:space="preserve"> </w:t>
      </w:r>
      <w:proofErr w:type="spellStart"/>
      <w:r w:rsidR="003F03F9">
        <w:rPr>
          <w:bCs/>
          <w:sz w:val="22"/>
          <w:szCs w:val="22"/>
          <w:lang w:val="sr-Cyrl-RS" w:eastAsia="en-US"/>
        </w:rPr>
        <w:t>осјећати</w:t>
      </w:r>
      <w:proofErr w:type="spellEnd"/>
      <w:r w:rsidR="003F03F9">
        <w:rPr>
          <w:bCs/>
          <w:sz w:val="22"/>
          <w:szCs w:val="22"/>
          <w:lang w:val="sr-Cyrl-RS" w:eastAsia="en-US"/>
        </w:rPr>
        <w:t xml:space="preserve"> у дужем периоду</w:t>
      </w:r>
      <w:r w:rsidR="000A4134">
        <w:rPr>
          <w:rStyle w:val="FootnoteReference"/>
          <w:bCs/>
          <w:sz w:val="22"/>
          <w:szCs w:val="22"/>
          <w:lang w:val="sr-Cyrl-RS" w:eastAsia="en-US"/>
        </w:rPr>
        <w:footnoteReference w:id="28"/>
      </w:r>
      <w:r w:rsidR="003F03F9">
        <w:rPr>
          <w:bCs/>
          <w:sz w:val="22"/>
          <w:szCs w:val="22"/>
          <w:lang w:val="sr-Cyrl-RS" w:eastAsia="en-US"/>
        </w:rPr>
        <w:t xml:space="preserve">, што значи да </w:t>
      </w:r>
      <w:r w:rsidR="000A4134">
        <w:rPr>
          <w:bCs/>
          <w:sz w:val="22"/>
          <w:szCs w:val="22"/>
          <w:lang w:val="sr-Cyrl-RS" w:eastAsia="en-US"/>
        </w:rPr>
        <w:t xml:space="preserve">би препоруке дате у овом истраживању, као и друге </w:t>
      </w:r>
      <w:proofErr w:type="spellStart"/>
      <w:r w:rsidR="000A4134">
        <w:rPr>
          <w:bCs/>
          <w:sz w:val="22"/>
          <w:szCs w:val="22"/>
          <w:lang w:val="sr-Cyrl-RS" w:eastAsia="en-US"/>
        </w:rPr>
        <w:t>мјере</w:t>
      </w:r>
      <w:proofErr w:type="spellEnd"/>
      <w:r w:rsidR="000A4134">
        <w:rPr>
          <w:bCs/>
          <w:sz w:val="22"/>
          <w:szCs w:val="22"/>
          <w:lang w:val="sr-Cyrl-RS" w:eastAsia="en-US"/>
        </w:rPr>
        <w:t xml:space="preserve">, које свака ЈЛС утврди као битне и специфичне за своје прилике, требало провести тако да се </w:t>
      </w:r>
      <w:proofErr w:type="spellStart"/>
      <w:r w:rsidR="000A4134">
        <w:rPr>
          <w:bCs/>
          <w:sz w:val="22"/>
          <w:szCs w:val="22"/>
          <w:lang w:val="sr-Cyrl-RS" w:eastAsia="en-US"/>
        </w:rPr>
        <w:t>формализују</w:t>
      </w:r>
      <w:proofErr w:type="spellEnd"/>
      <w:r w:rsidR="000A4134">
        <w:rPr>
          <w:bCs/>
          <w:sz w:val="22"/>
          <w:szCs w:val="22"/>
          <w:lang w:val="sr-Cyrl-RS" w:eastAsia="en-US"/>
        </w:rPr>
        <w:t xml:space="preserve"> кроз званичне документе – пр</w:t>
      </w:r>
      <w:r w:rsidR="00CF47E5">
        <w:rPr>
          <w:bCs/>
          <w:sz w:val="22"/>
          <w:szCs w:val="22"/>
          <w:lang w:val="sr-Cyrl-RS" w:eastAsia="en-US"/>
        </w:rPr>
        <w:t xml:space="preserve">ограме, акционе планове и </w:t>
      </w:r>
      <w:proofErr w:type="spellStart"/>
      <w:r w:rsidR="00CF47E5">
        <w:rPr>
          <w:bCs/>
          <w:sz w:val="22"/>
          <w:szCs w:val="22"/>
          <w:lang w:val="sr-Cyrl-RS" w:eastAsia="en-US"/>
        </w:rPr>
        <w:t>сл</w:t>
      </w:r>
      <w:proofErr w:type="spellEnd"/>
      <w:r w:rsidR="000A4134">
        <w:rPr>
          <w:bCs/>
          <w:sz w:val="22"/>
          <w:szCs w:val="22"/>
          <w:lang w:val="sr-Cyrl-RS" w:eastAsia="en-US"/>
        </w:rPr>
        <w:t>, и наравно</w:t>
      </w:r>
      <w:r w:rsidR="00A93451">
        <w:rPr>
          <w:bCs/>
          <w:sz w:val="22"/>
          <w:szCs w:val="22"/>
          <w:lang w:val="sr-Cyrl-RS" w:eastAsia="en-US"/>
        </w:rPr>
        <w:t>, након тога,</w:t>
      </w:r>
      <w:r w:rsidR="000A4134">
        <w:rPr>
          <w:bCs/>
          <w:sz w:val="22"/>
          <w:szCs w:val="22"/>
          <w:lang w:val="sr-Cyrl-RS" w:eastAsia="en-US"/>
        </w:rPr>
        <w:t xml:space="preserve"> пратити </w:t>
      </w:r>
      <w:r w:rsidR="00D7545C">
        <w:rPr>
          <w:bCs/>
          <w:sz w:val="22"/>
          <w:szCs w:val="22"/>
          <w:lang w:val="sr-Cyrl-RS" w:eastAsia="en-US"/>
        </w:rPr>
        <w:t xml:space="preserve">њихову </w:t>
      </w:r>
      <w:r w:rsidR="000A4134">
        <w:rPr>
          <w:bCs/>
          <w:sz w:val="22"/>
          <w:szCs w:val="22"/>
          <w:lang w:val="sr-Cyrl-RS" w:eastAsia="en-US"/>
        </w:rPr>
        <w:t>р</w:t>
      </w:r>
      <w:r>
        <w:rPr>
          <w:bCs/>
          <w:sz w:val="22"/>
          <w:szCs w:val="22"/>
          <w:lang w:val="sr-Cyrl-RS" w:eastAsia="en-US"/>
        </w:rPr>
        <w:t xml:space="preserve">еализацију. </w:t>
      </w:r>
    </w:p>
    <w:p w14:paraId="2A8AA92B" w14:textId="77777777" w:rsidR="00817909" w:rsidRDefault="00817909" w:rsidP="00CF47E5">
      <w:pPr>
        <w:tabs>
          <w:tab w:val="left" w:pos="709"/>
          <w:tab w:val="left" w:pos="1530"/>
        </w:tabs>
        <w:spacing w:line="276" w:lineRule="auto"/>
        <w:jc w:val="both"/>
        <w:rPr>
          <w:bCs/>
          <w:sz w:val="22"/>
          <w:szCs w:val="22"/>
          <w:lang w:val="sr-Cyrl-RS" w:eastAsia="en-US"/>
        </w:rPr>
      </w:pPr>
    </w:p>
    <w:p w14:paraId="45DB2862" w14:textId="750E4C4E" w:rsidR="00D065D0" w:rsidRPr="00CF47E5" w:rsidRDefault="00D065D0" w:rsidP="00CF47E5">
      <w:pPr>
        <w:tabs>
          <w:tab w:val="left" w:pos="709"/>
          <w:tab w:val="left" w:pos="1530"/>
        </w:tabs>
        <w:spacing w:line="276" w:lineRule="auto"/>
        <w:jc w:val="both"/>
        <w:rPr>
          <w:bCs/>
          <w:sz w:val="22"/>
          <w:szCs w:val="22"/>
          <w:lang w:val="sr-Cyrl-RS" w:eastAsia="en-US"/>
        </w:rPr>
      </w:pPr>
    </w:p>
    <w:sectPr w:rsidR="00D065D0" w:rsidRPr="00CF47E5" w:rsidSect="00A156F1">
      <w:footerReference w:type="default" r:id="rId12"/>
      <w:pgSz w:w="11906" w:h="16838" w:code="9"/>
      <w:pgMar w:top="1135" w:right="991"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B3E3" w14:textId="77777777" w:rsidR="00CE11CD" w:rsidRDefault="00CE11CD">
      <w:r>
        <w:separator/>
      </w:r>
    </w:p>
  </w:endnote>
  <w:endnote w:type="continuationSeparator" w:id="0">
    <w:p w14:paraId="252A327E" w14:textId="77777777" w:rsidR="00CE11CD" w:rsidRDefault="00CE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ir Times Roman">
    <w:altName w:val="Times New Roman"/>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258333"/>
      <w:docPartObj>
        <w:docPartGallery w:val="Page Numbers (Bottom of Page)"/>
        <w:docPartUnique/>
      </w:docPartObj>
    </w:sdtPr>
    <w:sdtEndPr>
      <w:rPr>
        <w:noProof/>
      </w:rPr>
    </w:sdtEndPr>
    <w:sdtContent>
      <w:p w14:paraId="2301B546" w14:textId="77777777" w:rsidR="006E5012" w:rsidRDefault="006E5012">
        <w:pPr>
          <w:jc w:val="right"/>
          <w:rPr>
            <w:lang w:val="sr-Cyrl-BA"/>
          </w:rPr>
        </w:pPr>
      </w:p>
      <w:p w14:paraId="13940624" w14:textId="396962AB" w:rsidR="006E5012" w:rsidRDefault="006E5012">
        <w:pPr>
          <w:jc w:val="right"/>
        </w:pPr>
        <w:r w:rsidRPr="0033646F">
          <w:rPr>
            <w:sz w:val="20"/>
          </w:rPr>
          <w:fldChar w:fldCharType="begin"/>
        </w:r>
        <w:r w:rsidRPr="0033646F">
          <w:rPr>
            <w:sz w:val="20"/>
          </w:rPr>
          <w:instrText xml:space="preserve"> PAGE   \* MERGEFORMAT </w:instrText>
        </w:r>
        <w:r w:rsidRPr="0033646F">
          <w:rPr>
            <w:sz w:val="20"/>
          </w:rPr>
          <w:fldChar w:fldCharType="separate"/>
        </w:r>
        <w:r w:rsidR="00E3669D">
          <w:rPr>
            <w:noProof/>
            <w:sz w:val="20"/>
          </w:rPr>
          <w:t>21</w:t>
        </w:r>
        <w:r w:rsidRPr="0033646F">
          <w:rPr>
            <w:noProof/>
            <w:sz w:val="20"/>
          </w:rPr>
          <w:fldChar w:fldCharType="end"/>
        </w:r>
      </w:p>
    </w:sdtContent>
  </w:sdt>
  <w:p w14:paraId="30BC4009" w14:textId="77777777" w:rsidR="006E5012" w:rsidRDefault="006E5012"/>
  <w:p w14:paraId="40F17282" w14:textId="77777777" w:rsidR="006E5012" w:rsidRDefault="006E50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B47A9" w14:textId="77777777" w:rsidR="00CE11CD" w:rsidRDefault="00CE11CD">
      <w:r>
        <w:separator/>
      </w:r>
    </w:p>
  </w:footnote>
  <w:footnote w:type="continuationSeparator" w:id="0">
    <w:p w14:paraId="2FD010DB" w14:textId="77777777" w:rsidR="00CE11CD" w:rsidRDefault="00CE11CD">
      <w:r>
        <w:continuationSeparator/>
      </w:r>
    </w:p>
  </w:footnote>
  <w:footnote w:id="1">
    <w:p w14:paraId="273CD19B" w14:textId="77777777" w:rsidR="006E5012" w:rsidRPr="002C031E" w:rsidRDefault="006E5012" w:rsidP="00006AAF">
      <w:pPr>
        <w:jc w:val="both"/>
        <w:rPr>
          <w:sz w:val="18"/>
          <w:szCs w:val="18"/>
          <w:lang w:val="sr-Latn-RS"/>
        </w:rPr>
      </w:pPr>
      <w:r w:rsidRPr="002C031E">
        <w:rPr>
          <w:sz w:val="18"/>
          <w:szCs w:val="18"/>
        </w:rPr>
        <w:footnoteRef/>
      </w:r>
      <w:r w:rsidRPr="002C031E">
        <w:rPr>
          <w:sz w:val="18"/>
          <w:szCs w:val="18"/>
        </w:rPr>
        <w:t xml:space="preserve"> </w:t>
      </w:r>
      <w:r w:rsidRPr="002C031E">
        <w:rPr>
          <w:sz w:val="18"/>
          <w:szCs w:val="18"/>
          <w:lang w:val="sr-Cyrl-CS"/>
        </w:rPr>
        <w:t>Извор: "Д</w:t>
      </w:r>
      <w:r w:rsidRPr="002C031E">
        <w:rPr>
          <w:sz w:val="18"/>
          <w:szCs w:val="18"/>
          <w:lang w:val="sr-Cyrl-BA"/>
        </w:rPr>
        <w:t>окумент оквирног буџета</w:t>
      </w:r>
      <w:r w:rsidRPr="002C031E">
        <w:rPr>
          <w:sz w:val="18"/>
          <w:szCs w:val="18"/>
          <w:lang w:val="sr-Cyrl-CS"/>
        </w:rPr>
        <w:t xml:space="preserve"> Републике Српске за период 2021</w:t>
      </w:r>
      <w:r w:rsidRPr="002C031E">
        <w:rPr>
          <w:sz w:val="18"/>
          <w:szCs w:val="18"/>
          <w:lang w:val="sr-Latn-RS"/>
        </w:rPr>
        <w:t>.</w:t>
      </w:r>
      <w:r w:rsidRPr="002C031E">
        <w:rPr>
          <w:sz w:val="18"/>
          <w:szCs w:val="18"/>
          <w:lang w:val="sr-Cyrl-CS"/>
        </w:rPr>
        <w:t xml:space="preserve">-2023. године" </w:t>
      </w:r>
      <w:r w:rsidRPr="002C031E">
        <w:rPr>
          <w:sz w:val="18"/>
          <w:szCs w:val="18"/>
          <w:lang w:val="sr-Latn-RS"/>
        </w:rPr>
        <w:t>(</w:t>
      </w:r>
      <w:r w:rsidRPr="002C031E">
        <w:rPr>
          <w:sz w:val="18"/>
          <w:szCs w:val="18"/>
          <w:lang w:val="sr-Cyrl-BA"/>
        </w:rPr>
        <w:t>документ објављен на сајту Владе РС/Министарство финансија</w:t>
      </w:r>
      <w:r w:rsidRPr="002C031E">
        <w:rPr>
          <w:sz w:val="18"/>
          <w:szCs w:val="18"/>
          <w:lang w:val="sr-Cyrl-CS"/>
        </w:rPr>
        <w:t xml:space="preserve">, </w:t>
      </w:r>
      <w:hyperlink r:id="rId1" w:history="1">
        <w:r w:rsidRPr="002C031E">
          <w:rPr>
            <w:sz w:val="18"/>
            <w:szCs w:val="18"/>
            <w:lang w:val="en-GB"/>
          </w:rPr>
          <w:t>www.vladars.net</w:t>
        </w:r>
      </w:hyperlink>
      <w:r w:rsidRPr="002C031E">
        <w:rPr>
          <w:sz w:val="18"/>
          <w:szCs w:val="18"/>
          <w:lang w:val="sr-Cyrl-BA"/>
        </w:rPr>
        <w:t>, дана 31.07.2020. године.</w:t>
      </w:r>
      <w:r w:rsidRPr="002C031E">
        <w:rPr>
          <w:sz w:val="18"/>
          <w:szCs w:val="18"/>
        </w:rPr>
        <w:t xml:space="preserve"> Законом о буџетском систему </w:t>
      </w:r>
      <w:r w:rsidRPr="002C031E">
        <w:rPr>
          <w:sz w:val="18"/>
          <w:szCs w:val="18"/>
          <w:lang w:val="sr-Cyrl-RS"/>
        </w:rPr>
        <w:t>РС</w:t>
      </w:r>
      <w:r w:rsidRPr="002C031E">
        <w:rPr>
          <w:sz w:val="18"/>
          <w:szCs w:val="18"/>
        </w:rPr>
        <w:t xml:space="preserve"> утврђена је обавеза  израде </w:t>
      </w:r>
      <w:r w:rsidRPr="002C031E">
        <w:rPr>
          <w:sz w:val="18"/>
          <w:szCs w:val="18"/>
          <w:lang w:val="sr-Cyrl-RS"/>
        </w:rPr>
        <w:t>Документа оквирног буџета</w:t>
      </w:r>
      <w:r w:rsidRPr="002C031E">
        <w:rPr>
          <w:sz w:val="18"/>
          <w:szCs w:val="18"/>
          <w:lang w:val="sr-Cyrl-BA"/>
        </w:rPr>
        <w:t>,</w:t>
      </w:r>
      <w:r w:rsidRPr="002C031E">
        <w:rPr>
          <w:sz w:val="18"/>
          <w:szCs w:val="18"/>
          <w:lang w:val="sr-Cyrl-RS"/>
        </w:rPr>
        <w:t xml:space="preserve"> </w:t>
      </w:r>
      <w:r w:rsidRPr="002C031E">
        <w:rPr>
          <w:sz w:val="18"/>
          <w:szCs w:val="18"/>
        </w:rPr>
        <w:t>као основе за припрему и израду буџета</w:t>
      </w:r>
      <w:r w:rsidRPr="002C031E">
        <w:rPr>
          <w:sz w:val="18"/>
          <w:szCs w:val="18"/>
          <w:lang w:val="sr-Cyrl-BA"/>
        </w:rPr>
        <w:t xml:space="preserve"> ЈЛС</w:t>
      </w:r>
      <w:r w:rsidRPr="002C031E">
        <w:rPr>
          <w:sz w:val="18"/>
          <w:szCs w:val="18"/>
        </w:rPr>
        <w:t xml:space="preserve">. </w:t>
      </w:r>
      <w:r w:rsidRPr="002C031E">
        <w:rPr>
          <w:sz w:val="18"/>
          <w:szCs w:val="18"/>
          <w:lang w:val="sr-Cyrl-RS"/>
        </w:rPr>
        <w:t>„</w:t>
      </w:r>
      <w:r w:rsidRPr="002C031E">
        <w:rPr>
          <w:sz w:val="18"/>
          <w:szCs w:val="18"/>
          <w:lang w:val="sr-Cyrl-CS"/>
        </w:rPr>
        <w:t>ДОБ за период 2021.-2023. г.“  је</w:t>
      </w:r>
      <w:r w:rsidRPr="002C031E">
        <w:rPr>
          <w:sz w:val="18"/>
          <w:szCs w:val="18"/>
        </w:rPr>
        <w:t xml:space="preserve"> документ средњорочног планирања</w:t>
      </w:r>
      <w:r w:rsidRPr="002C031E">
        <w:rPr>
          <w:sz w:val="18"/>
          <w:szCs w:val="18"/>
          <w:lang w:val="sr-Cyrl-CS"/>
        </w:rPr>
        <w:t xml:space="preserve"> буџета</w:t>
      </w:r>
      <w:r w:rsidRPr="002C031E">
        <w:rPr>
          <w:sz w:val="18"/>
          <w:szCs w:val="18"/>
        </w:rPr>
        <w:t xml:space="preserve"> у који су укључене анализе и пројекције</w:t>
      </w:r>
      <w:r w:rsidRPr="002C031E">
        <w:rPr>
          <w:sz w:val="18"/>
          <w:szCs w:val="18"/>
          <w:lang w:val="sr-Cyrl-CS"/>
        </w:rPr>
        <w:t xml:space="preserve"> </w:t>
      </w:r>
      <w:r w:rsidRPr="002C031E">
        <w:rPr>
          <w:sz w:val="18"/>
          <w:szCs w:val="18"/>
        </w:rPr>
        <w:t>републичког буџета, буџета општина и градова и ванбуџетских фондова</w:t>
      </w:r>
      <w:r w:rsidRPr="002C031E">
        <w:rPr>
          <w:sz w:val="18"/>
          <w:szCs w:val="18"/>
          <w:lang w:val="sr-Cyrl-RS"/>
        </w:rPr>
        <w:t xml:space="preserve">. </w:t>
      </w:r>
    </w:p>
  </w:footnote>
  <w:footnote w:id="2">
    <w:p w14:paraId="6341FEAC" w14:textId="77777777" w:rsidR="006E5012" w:rsidRPr="002C031E" w:rsidRDefault="006E5012" w:rsidP="00CC7AEF">
      <w:pPr>
        <w:jc w:val="both"/>
        <w:rPr>
          <w:sz w:val="18"/>
          <w:szCs w:val="18"/>
          <w:lang w:val="sr-Cyrl-RS"/>
        </w:rPr>
      </w:pPr>
      <w:r w:rsidRPr="002C031E">
        <w:rPr>
          <w:sz w:val="18"/>
          <w:szCs w:val="18"/>
        </w:rPr>
        <w:footnoteRef/>
      </w:r>
      <w:r w:rsidRPr="002C031E">
        <w:rPr>
          <w:sz w:val="18"/>
          <w:szCs w:val="18"/>
          <w:lang w:val="sr-Cyrl-RS"/>
        </w:rPr>
        <w:t xml:space="preserve"> </w:t>
      </w:r>
      <w:hyperlink r:id="rId2" w:history="1">
        <w:r w:rsidRPr="002C031E">
          <w:rPr>
            <w:rStyle w:val="Hyperlink"/>
            <w:sz w:val="18"/>
            <w:szCs w:val="18"/>
          </w:rPr>
          <w:t>https://www.imf.org/en/Publications/WEO/Issues/2020/06/24/WEOUpdateJune2020?utm_medium=email&amp;utm_source=</w:t>
        </w:r>
        <w:r w:rsidRPr="002C031E">
          <w:rPr>
            <w:rStyle w:val="Hyperlink"/>
            <w:sz w:val="18"/>
            <w:szCs w:val="18"/>
            <w:lang w:val="sr-Cyrl-RS"/>
          </w:rPr>
          <w:t xml:space="preserve"> </w:t>
        </w:r>
        <w:r w:rsidRPr="002C031E">
          <w:rPr>
            <w:rStyle w:val="Hyperlink"/>
            <w:sz w:val="18"/>
            <w:szCs w:val="18"/>
          </w:rPr>
          <w:t>govdelivery</w:t>
        </w:r>
      </w:hyperlink>
    </w:p>
  </w:footnote>
  <w:footnote w:id="3">
    <w:p w14:paraId="75D404BE" w14:textId="77777777" w:rsidR="006E5012" w:rsidRPr="002C031E" w:rsidRDefault="006E5012" w:rsidP="008A135B">
      <w:pPr>
        <w:rPr>
          <w:sz w:val="18"/>
          <w:szCs w:val="18"/>
          <w:lang w:val="sr-Latn-BA"/>
        </w:rPr>
      </w:pPr>
      <w:r w:rsidRPr="002C031E">
        <w:rPr>
          <w:sz w:val="18"/>
          <w:szCs w:val="18"/>
        </w:rPr>
        <w:footnoteRef/>
      </w:r>
      <w:r w:rsidRPr="002C031E">
        <w:rPr>
          <w:sz w:val="18"/>
          <w:szCs w:val="18"/>
        </w:rPr>
        <w:t xml:space="preserve"> </w:t>
      </w:r>
      <w:r w:rsidRPr="002C031E">
        <w:rPr>
          <w:color w:val="365F91" w:themeColor="accent1" w:themeShade="BF"/>
          <w:sz w:val="18"/>
          <w:szCs w:val="18"/>
          <w:u w:val="single"/>
        </w:rPr>
        <w:t>https://www.worldbank.org/en/publication/global-economic-prospects</w:t>
      </w:r>
    </w:p>
  </w:footnote>
  <w:footnote w:id="4">
    <w:p w14:paraId="61C6DB51" w14:textId="77777777" w:rsidR="006E5012" w:rsidRPr="002C031E" w:rsidRDefault="006E5012" w:rsidP="00231FEF">
      <w:pPr>
        <w:jc w:val="both"/>
        <w:rPr>
          <w:sz w:val="18"/>
          <w:szCs w:val="18"/>
          <w:lang w:val="en-US"/>
        </w:rPr>
      </w:pPr>
      <w:r w:rsidRPr="002C031E">
        <w:rPr>
          <w:sz w:val="18"/>
          <w:szCs w:val="18"/>
        </w:rPr>
        <w:footnoteRef/>
      </w:r>
      <w:r w:rsidRPr="002C031E">
        <w:rPr>
          <w:sz w:val="18"/>
          <w:szCs w:val="18"/>
        </w:rPr>
        <w:t xml:space="preserve"> World Bank, Western Balkans Regular Economic Report, 2020, The Economic and Social Impact of Covid -19 , The Conutry Note, Bosnia and Herzegovina.</w:t>
      </w:r>
    </w:p>
  </w:footnote>
  <w:footnote w:id="5">
    <w:p w14:paraId="24D89AA7" w14:textId="77777777" w:rsidR="006E5012" w:rsidRPr="00672C6A" w:rsidRDefault="006E5012" w:rsidP="00E07FE7">
      <w:pPr>
        <w:jc w:val="both"/>
        <w:rPr>
          <w:sz w:val="18"/>
          <w:szCs w:val="18"/>
          <w:lang w:val="sr-Cyrl-RS"/>
        </w:rPr>
      </w:pPr>
      <w:r w:rsidRPr="00672C6A">
        <w:rPr>
          <w:sz w:val="18"/>
          <w:szCs w:val="18"/>
        </w:rPr>
        <w:footnoteRef/>
      </w:r>
      <w:r w:rsidRPr="00672C6A">
        <w:rPr>
          <w:sz w:val="18"/>
          <w:szCs w:val="18"/>
        </w:rPr>
        <w:t xml:space="preserve"> </w:t>
      </w:r>
      <w:r w:rsidRPr="00672C6A">
        <w:rPr>
          <w:sz w:val="18"/>
          <w:szCs w:val="18"/>
          <w:lang w:val="sr-Cyrl-RS"/>
        </w:rPr>
        <w:t>З</w:t>
      </w:r>
      <w:r>
        <w:rPr>
          <w:sz w:val="18"/>
          <w:szCs w:val="18"/>
          <w:lang w:val="sr-Cyrl-RS"/>
        </w:rPr>
        <w:t>а остале земље у региону пад БДП</w:t>
      </w:r>
      <w:r w:rsidRPr="00672C6A">
        <w:rPr>
          <w:sz w:val="18"/>
          <w:szCs w:val="18"/>
          <w:lang w:val="sr-Cyrl-RS"/>
        </w:rPr>
        <w:t xml:space="preserve"> у 2020. години се процјењује како слиједи: Црна Гора 12%, Хрватска 9%, Албанија 7,5%, Сјеверна Македонија 5,4% и Србија 2,5%. </w:t>
      </w:r>
    </w:p>
  </w:footnote>
  <w:footnote w:id="6">
    <w:p w14:paraId="24B1C58C" w14:textId="77777777" w:rsidR="006E5012" w:rsidRPr="002C031E" w:rsidRDefault="006E5012" w:rsidP="00EA6FFA">
      <w:pPr>
        <w:pStyle w:val="FootnoteText"/>
        <w:jc w:val="both"/>
        <w:rPr>
          <w:rFonts w:ascii="Times New Roman" w:hAnsi="Times New Roman"/>
          <w:sz w:val="18"/>
          <w:lang w:val="sr-Cyrl-RS"/>
        </w:rPr>
      </w:pPr>
      <w:r w:rsidRPr="002C031E">
        <w:rPr>
          <w:rStyle w:val="FootnoteReference"/>
          <w:rFonts w:ascii="Times New Roman" w:hAnsi="Times New Roman"/>
          <w:sz w:val="18"/>
        </w:rPr>
        <w:footnoteRef/>
      </w:r>
      <w:r w:rsidRPr="002C031E">
        <w:rPr>
          <w:rFonts w:ascii="Times New Roman" w:hAnsi="Times New Roman"/>
          <w:sz w:val="18"/>
        </w:rPr>
        <w:t xml:space="preserve"> </w:t>
      </w:r>
      <w:r w:rsidRPr="002C031E">
        <w:rPr>
          <w:rFonts w:ascii="Times New Roman" w:hAnsi="Times New Roman"/>
          <w:sz w:val="18"/>
          <w:lang w:val="sr-Cyrl-BA"/>
        </w:rPr>
        <w:t xml:space="preserve">„Анализи кретања пореских и непореских прихода јединица локалних самопурава РС и прихода комуналних предузећа-утицај </w:t>
      </w:r>
      <w:r w:rsidRPr="002C031E">
        <w:rPr>
          <w:rFonts w:ascii="Times New Roman" w:hAnsi="Times New Roman"/>
          <w:sz w:val="18"/>
          <w:lang w:val="en-US"/>
        </w:rPr>
        <w:t>COVID-19</w:t>
      </w:r>
      <w:r>
        <w:rPr>
          <w:rFonts w:ascii="Times New Roman" w:hAnsi="Times New Roman"/>
          <w:sz w:val="18"/>
          <w:lang w:val="sr-Cyrl-BA"/>
        </w:rPr>
        <w:t>“, документ Савеза</w:t>
      </w:r>
      <w:r w:rsidRPr="002C031E">
        <w:rPr>
          <w:rFonts w:ascii="Times New Roman" w:hAnsi="Times New Roman"/>
          <w:sz w:val="18"/>
          <w:lang w:val="sr-Cyrl-BA"/>
        </w:rPr>
        <w:t>, Бијељина, јуни 2020. године.</w:t>
      </w:r>
    </w:p>
  </w:footnote>
  <w:footnote w:id="7">
    <w:p w14:paraId="52F44D45" w14:textId="77777777" w:rsidR="006E5012" w:rsidRPr="002C031E" w:rsidRDefault="006E5012" w:rsidP="00757718">
      <w:pPr>
        <w:pStyle w:val="FootnoteText"/>
        <w:jc w:val="both"/>
        <w:rPr>
          <w:rFonts w:ascii="Times New Roman" w:hAnsi="Times New Roman"/>
          <w:sz w:val="18"/>
          <w:szCs w:val="18"/>
          <w:lang w:val="sr-Cyrl-R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sidRPr="002C031E">
        <w:rPr>
          <w:rFonts w:ascii="Times New Roman" w:hAnsi="Times New Roman"/>
          <w:sz w:val="18"/>
          <w:szCs w:val="18"/>
          <w:lang w:val="sr-Cyrl-RS"/>
        </w:rPr>
        <w:t xml:space="preserve">Постоје различите метеодологије за израчун фискалне аутономије ЈЛС, а такође и различити нивои који се сматрају минимално прихватљивим. Нпр. </w:t>
      </w:r>
      <w:r w:rsidRPr="002C031E">
        <w:rPr>
          <w:rFonts w:ascii="Times New Roman" w:hAnsi="Times New Roman"/>
          <w:sz w:val="18"/>
          <w:szCs w:val="18"/>
          <w:lang w:val="en-US"/>
        </w:rPr>
        <w:t xml:space="preserve">MFSA </w:t>
      </w:r>
      <w:r w:rsidRPr="002C031E">
        <w:rPr>
          <w:rFonts w:ascii="Times New Roman" w:hAnsi="Times New Roman"/>
          <w:sz w:val="18"/>
          <w:szCs w:val="18"/>
          <w:lang w:val="sr-Cyrl-RS"/>
        </w:rPr>
        <w:t>методологија тражи реалитвно високе стопе фискалне аутономије, у односу на оне које тренутно достижу ЈЛС у РС.</w:t>
      </w:r>
    </w:p>
  </w:footnote>
  <w:footnote w:id="8">
    <w:p w14:paraId="01453FDD" w14:textId="77777777" w:rsidR="006E5012" w:rsidRPr="002C031E" w:rsidRDefault="006E5012" w:rsidP="00DA7E81">
      <w:pPr>
        <w:pStyle w:val="FootnoteText"/>
        <w:jc w:val="both"/>
        <w:rPr>
          <w:rFonts w:ascii="Times New Roman" w:hAnsi="Times New Roman"/>
          <w:sz w:val="18"/>
          <w:szCs w:val="18"/>
          <w:lang w:val="en-U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sidRPr="002C031E">
        <w:rPr>
          <w:rFonts w:ascii="Times New Roman" w:hAnsi="Times New Roman"/>
          <w:sz w:val="18"/>
          <w:szCs w:val="18"/>
          <w:lang w:val="sr-Latn-RS"/>
        </w:rPr>
        <w:t xml:space="preserve">NALAS </w:t>
      </w:r>
      <w:r w:rsidRPr="002C031E">
        <w:rPr>
          <w:rFonts w:ascii="Times New Roman" w:hAnsi="Times New Roman"/>
          <w:sz w:val="18"/>
          <w:szCs w:val="18"/>
          <w:lang w:val="sr-Cyrl-RS"/>
        </w:rPr>
        <w:t>је мрежа удружења локалних власти југоисточне Европе. Мрежа окупља 14 удружења која представљају приближно 9000 локалних власти (изабраних од око 80 милиона грађана овог региона). Основан је 2001. године, под покровитељством Пакта стабилности за југоисточну Европу и Савјета Европе.</w:t>
      </w:r>
    </w:p>
  </w:footnote>
  <w:footnote w:id="9">
    <w:p w14:paraId="378DA559" w14:textId="07949BB8" w:rsidR="006E5012" w:rsidRPr="00437AAF" w:rsidRDefault="006E5012" w:rsidP="00437AAF">
      <w:pPr>
        <w:pStyle w:val="FootnoteText"/>
        <w:jc w:val="both"/>
        <w:rPr>
          <w:rFonts w:asciiTheme="minorHAnsi" w:hAnsiTheme="minorHAnsi"/>
          <w:lang w:val="sr-Cyrl-RS"/>
        </w:rPr>
      </w:pPr>
      <w:r w:rsidRPr="00437AAF">
        <w:rPr>
          <w:rStyle w:val="FootnoteReference"/>
          <w:rFonts w:ascii="Times New Roman" w:hAnsi="Times New Roman"/>
          <w:sz w:val="18"/>
        </w:rPr>
        <w:footnoteRef/>
      </w:r>
      <w:r w:rsidRPr="00437AAF">
        <w:rPr>
          <w:rFonts w:ascii="Times New Roman" w:hAnsi="Times New Roman"/>
          <w:sz w:val="18"/>
        </w:rPr>
        <w:t xml:space="preserve"> </w:t>
      </w:r>
      <w:r w:rsidRPr="00437AAF">
        <w:rPr>
          <w:rFonts w:ascii="Times New Roman" w:hAnsi="Times New Roman"/>
          <w:sz w:val="18"/>
          <w:lang w:val="sr-Cyrl-RS"/>
        </w:rPr>
        <w:t xml:space="preserve">Из РС на упитник </w:t>
      </w:r>
      <w:r w:rsidRPr="00437AAF">
        <w:rPr>
          <w:rFonts w:ascii="Times New Roman" w:hAnsi="Times New Roman"/>
          <w:sz w:val="18"/>
          <w:lang w:val="en-US"/>
        </w:rPr>
        <w:t>NALAS</w:t>
      </w:r>
      <w:r w:rsidRPr="00437AAF">
        <w:rPr>
          <w:rFonts w:ascii="Times New Roman" w:hAnsi="Times New Roman"/>
          <w:sz w:val="18"/>
          <w:lang w:val="sr-Latn-RS"/>
        </w:rPr>
        <w:t>-a</w:t>
      </w:r>
      <w:r w:rsidRPr="00437AAF">
        <w:rPr>
          <w:rFonts w:ascii="Times New Roman" w:hAnsi="Times New Roman"/>
          <w:sz w:val="18"/>
          <w:lang w:val="sr-Cyrl-RS"/>
        </w:rPr>
        <w:t xml:space="preserve"> одговорило је само 10 ЈЛС и то: Бања Лука, Приједор, Фоча, Градишка, Вишеград, Соколац, Прњавор, Источно Н. Сарајево, Шамац и Требиње.</w:t>
      </w:r>
    </w:p>
  </w:footnote>
  <w:footnote w:id="10">
    <w:p w14:paraId="15832C6C" w14:textId="77777777" w:rsidR="006E5012" w:rsidRPr="00437AAF" w:rsidRDefault="006E5012" w:rsidP="00437AAF">
      <w:pPr>
        <w:pStyle w:val="FootnoteText"/>
        <w:jc w:val="both"/>
        <w:rPr>
          <w:rFonts w:ascii="Times New Roman" w:hAnsi="Times New Roman"/>
          <w:sz w:val="16"/>
          <w:lang w:val="sr-Cyrl-RS"/>
        </w:rPr>
      </w:pPr>
      <w:r w:rsidRPr="00790A22">
        <w:rPr>
          <w:rStyle w:val="FootnoteReference"/>
          <w:rFonts w:ascii="Times New Roman" w:hAnsi="Times New Roman"/>
          <w:sz w:val="18"/>
        </w:rPr>
        <w:footnoteRef/>
      </w:r>
      <w:r w:rsidRPr="00790A22">
        <w:rPr>
          <w:rFonts w:ascii="Times New Roman" w:hAnsi="Times New Roman"/>
          <w:sz w:val="18"/>
        </w:rPr>
        <w:t xml:space="preserve"> </w:t>
      </w:r>
      <w:r w:rsidRPr="00790A22">
        <w:rPr>
          <w:rFonts w:ascii="Times New Roman" w:hAnsi="Times New Roman"/>
          <w:sz w:val="18"/>
          <w:lang w:val="sr-Cyrl-RS"/>
        </w:rPr>
        <w:t>Извор: http://www.nalas.eu/News/Survey_Covid19</w:t>
      </w:r>
    </w:p>
  </w:footnote>
  <w:footnote w:id="11">
    <w:p w14:paraId="419DF444" w14:textId="227DF3D4" w:rsidR="00C24CAF" w:rsidRPr="00C24CAF" w:rsidRDefault="00C24CAF" w:rsidP="00C24CAF">
      <w:pPr>
        <w:pStyle w:val="FootnoteText"/>
        <w:jc w:val="both"/>
        <w:rPr>
          <w:rFonts w:asciiTheme="minorHAnsi" w:hAnsiTheme="minorHAnsi"/>
          <w:lang w:val="sr-Latn-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19</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12">
    <w:p w14:paraId="7FE2374F" w14:textId="599C5649" w:rsidR="00C24CAF" w:rsidRPr="00C24CAF" w:rsidRDefault="00C24CAF" w:rsidP="00C24CAF">
      <w:pPr>
        <w:pStyle w:val="FootnoteText"/>
        <w:jc w:val="both"/>
        <w:rPr>
          <w:rFonts w:asciiTheme="minorHAnsi" w:hAnsiTheme="minorHAnsi"/>
          <w:lang w:val="sr-Latn-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28</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13">
    <w:p w14:paraId="65EDF58A" w14:textId="20F77FF9" w:rsidR="00C24CAF" w:rsidRPr="00C24CAF" w:rsidRDefault="00C24CAF" w:rsidP="00C24CAF">
      <w:pPr>
        <w:pStyle w:val="FootnoteText"/>
        <w:jc w:val="both"/>
        <w:rPr>
          <w:rFonts w:asciiTheme="minorHAnsi" w:hAnsiTheme="minorHAnsi"/>
          <w:lang w:val="sr-Latn-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29</w:t>
      </w:r>
      <w:r w:rsidRPr="001862F5">
        <w:rPr>
          <w:rFonts w:ascii="Times New Roman" w:hAnsi="Times New Roman"/>
          <w:sz w:val="18"/>
          <w:szCs w:val="18"/>
          <w:lang w:val="sr-Cyrl-RS"/>
        </w:rPr>
        <w:t>,</w:t>
      </w:r>
      <w:r>
        <w:rPr>
          <w:rFonts w:ascii="Times New Roman" w:hAnsi="Times New Roman"/>
          <w:sz w:val="18"/>
          <w:szCs w:val="18"/>
          <w:lang w:val="sr-Latn-RS"/>
        </w:rPr>
        <w:t xml:space="preserve"> </w:t>
      </w:r>
      <w:r>
        <w:rPr>
          <w:rFonts w:ascii="Times New Roman" w:hAnsi="Times New Roman"/>
          <w:sz w:val="18"/>
          <w:szCs w:val="18"/>
          <w:lang w:val="sr-Cyrl-RS"/>
        </w:rPr>
        <w:t>табеле А3 и А4</w:t>
      </w:r>
      <w:r w:rsidRPr="001862F5">
        <w:rPr>
          <w:rFonts w:ascii="Times New Roman" w:hAnsi="Times New Roman"/>
          <w:sz w:val="18"/>
          <w:szCs w:val="18"/>
          <w:lang w:val="sr-Cyrl-RS"/>
        </w:rPr>
        <w:t xml:space="preserve"> http://www.nalas.eu/News/Survey_Covid19</w:t>
      </w:r>
      <w:r>
        <w:rPr>
          <w:rFonts w:ascii="Times New Roman" w:hAnsi="Times New Roman"/>
          <w:sz w:val="18"/>
          <w:szCs w:val="18"/>
          <w:lang w:val="sr-Latn-RS"/>
        </w:rPr>
        <w:t>.</w:t>
      </w:r>
    </w:p>
  </w:footnote>
  <w:footnote w:id="14">
    <w:p w14:paraId="2EB1E9EA" w14:textId="36CFE239" w:rsidR="00C24CAF" w:rsidRPr="00C24CAF" w:rsidRDefault="00C24CAF" w:rsidP="00C24CAF">
      <w:pPr>
        <w:pStyle w:val="FootnoteText"/>
        <w:jc w:val="both"/>
        <w:rPr>
          <w:rFonts w:asciiTheme="minorHAnsi" w:hAnsiTheme="minorHAnsi"/>
          <w:lang w:val="sr-Cyrl-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35</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15">
    <w:p w14:paraId="575E4A7E" w14:textId="13D94EBF" w:rsidR="00C24CAF" w:rsidRPr="00C24CAF" w:rsidRDefault="00C24CAF" w:rsidP="00C24CAF">
      <w:pPr>
        <w:pStyle w:val="FootnoteText"/>
        <w:jc w:val="both"/>
        <w:rPr>
          <w:rFonts w:asciiTheme="minorHAnsi" w:hAnsiTheme="minorHAnsi"/>
          <w:lang w:val="sr-Cyrl-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31</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16">
    <w:p w14:paraId="62D6B946" w14:textId="7C7DA52D" w:rsidR="00C24CAF" w:rsidRPr="00C24CAF" w:rsidRDefault="00C24CAF" w:rsidP="00C24CAF">
      <w:pPr>
        <w:pStyle w:val="FootnoteText"/>
        <w:jc w:val="both"/>
        <w:rPr>
          <w:rFonts w:asciiTheme="minorHAnsi" w:hAnsiTheme="minorHAnsi"/>
          <w:lang w:val="sr-Cyrl-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77</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17">
    <w:p w14:paraId="3A5E9327" w14:textId="75FB20C8" w:rsidR="00C24CAF" w:rsidRPr="00C24CAF" w:rsidRDefault="00C24CAF" w:rsidP="00C24CAF">
      <w:pPr>
        <w:pStyle w:val="FootnoteText"/>
        <w:jc w:val="both"/>
        <w:rPr>
          <w:rFonts w:asciiTheme="minorHAnsi" w:hAnsiTheme="minorHAnsi"/>
          <w:lang w:val="sr-Cyrl-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74</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18">
    <w:p w14:paraId="586A0C04" w14:textId="29398385" w:rsidR="001862F5" w:rsidRPr="00C24CAF" w:rsidRDefault="001862F5" w:rsidP="001862F5">
      <w:pPr>
        <w:pStyle w:val="FootnoteText"/>
        <w:jc w:val="both"/>
        <w:rPr>
          <w:rFonts w:asciiTheme="minorHAnsi" w:hAnsiTheme="minorHAnsi"/>
          <w:lang w:val="sr-Latn-RS"/>
        </w:rPr>
      </w:pPr>
      <w:r>
        <w:rPr>
          <w:rStyle w:val="FootnoteReference"/>
        </w:rPr>
        <w:footnoteRef/>
      </w:r>
      <w:r>
        <w:t xml:space="preserve"> </w:t>
      </w:r>
      <w:r w:rsidR="00C24CAF" w:rsidRPr="001862F5">
        <w:rPr>
          <w:rFonts w:ascii="Times New Roman" w:hAnsi="Times New Roman"/>
          <w:sz w:val="18"/>
          <w:lang w:val="sr-Cyrl-RS"/>
        </w:rPr>
        <w:t xml:space="preserve">Извор: </w:t>
      </w:r>
      <w:r w:rsidR="00C24CAF">
        <w:rPr>
          <w:rFonts w:ascii="Times New Roman" w:hAnsi="Times New Roman"/>
          <w:sz w:val="18"/>
          <w:lang w:val="sr-Cyrl-RS"/>
        </w:rPr>
        <w:t>„</w:t>
      </w:r>
      <w:r w:rsidR="00C24CAF" w:rsidRPr="001862F5">
        <w:rPr>
          <w:rFonts w:ascii="Times New Roman" w:hAnsi="Times New Roman"/>
          <w:sz w:val="18"/>
          <w:szCs w:val="18"/>
        </w:rPr>
        <w:t>SURVEY</w:t>
      </w:r>
      <w:r w:rsidR="00C24CAF" w:rsidRPr="001862F5">
        <w:rPr>
          <w:rFonts w:ascii="Times New Roman" w:hAnsi="Times New Roman"/>
          <w:sz w:val="18"/>
          <w:szCs w:val="18"/>
          <w:lang w:val="sr-Latn-RS"/>
        </w:rPr>
        <w:t>: South-East European Local Governments in Post Coivd-19 Socio-Economic Recovery“</w:t>
      </w:r>
      <w:r w:rsidR="00C24CAF">
        <w:rPr>
          <w:rFonts w:ascii="Times New Roman" w:hAnsi="Times New Roman"/>
          <w:sz w:val="18"/>
          <w:szCs w:val="18"/>
          <w:lang w:val="sr-Cyrl-RS"/>
        </w:rPr>
        <w:t>, стр. 74</w:t>
      </w:r>
      <w:r w:rsidR="00C24CAF" w:rsidRPr="001862F5">
        <w:rPr>
          <w:rFonts w:ascii="Times New Roman" w:hAnsi="Times New Roman"/>
          <w:sz w:val="18"/>
          <w:szCs w:val="18"/>
          <w:lang w:val="sr-Cyrl-RS"/>
        </w:rPr>
        <w:t>, http://www.nalas.eu/News/Survey_Covid19</w:t>
      </w:r>
      <w:r w:rsidR="00C24CAF">
        <w:rPr>
          <w:rFonts w:ascii="Times New Roman" w:hAnsi="Times New Roman"/>
          <w:sz w:val="18"/>
          <w:szCs w:val="18"/>
          <w:lang w:val="sr-Latn-RS"/>
        </w:rPr>
        <w:t>.</w:t>
      </w:r>
    </w:p>
  </w:footnote>
  <w:footnote w:id="19">
    <w:p w14:paraId="128589E2" w14:textId="7CD126B2" w:rsidR="00C24CAF" w:rsidRPr="00C24CAF" w:rsidRDefault="00C24CAF" w:rsidP="00C24CAF">
      <w:pPr>
        <w:pStyle w:val="FootnoteText"/>
        <w:jc w:val="both"/>
        <w:rPr>
          <w:rFonts w:asciiTheme="minorHAnsi" w:hAnsiTheme="minorHAnsi"/>
          <w:lang w:val="sr-Cyrl-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49</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20">
    <w:p w14:paraId="51A4D5B6" w14:textId="52D484E1" w:rsidR="00C24CAF" w:rsidRPr="00C24CAF" w:rsidRDefault="00C24CAF" w:rsidP="00C24CAF">
      <w:pPr>
        <w:pStyle w:val="FootnoteText"/>
        <w:jc w:val="both"/>
        <w:rPr>
          <w:rFonts w:asciiTheme="minorHAnsi" w:hAnsiTheme="minorHAnsi"/>
          <w:lang w:val="sr-Cyrl-RS"/>
        </w:rPr>
      </w:pPr>
      <w:r>
        <w:rPr>
          <w:rStyle w:val="FootnoteReference"/>
        </w:rPr>
        <w:footnoteRef/>
      </w:r>
      <w:r>
        <w:t xml:space="preserve"> </w:t>
      </w:r>
      <w:r w:rsidRPr="001862F5">
        <w:rPr>
          <w:rFonts w:ascii="Times New Roman" w:hAnsi="Times New Roman"/>
          <w:sz w:val="18"/>
          <w:lang w:val="sr-Cyrl-RS"/>
        </w:rPr>
        <w:t xml:space="preserve">Извор: </w:t>
      </w:r>
      <w:r>
        <w:rPr>
          <w:rFonts w:ascii="Times New Roman" w:hAnsi="Times New Roman"/>
          <w:sz w:val="18"/>
          <w:lang w:val="sr-Cyrl-RS"/>
        </w:rPr>
        <w:t>„</w:t>
      </w:r>
      <w:r w:rsidRPr="001862F5">
        <w:rPr>
          <w:rFonts w:ascii="Times New Roman" w:hAnsi="Times New Roman"/>
          <w:sz w:val="18"/>
          <w:szCs w:val="18"/>
        </w:rPr>
        <w:t>SURVEY</w:t>
      </w:r>
      <w:r w:rsidRPr="001862F5">
        <w:rPr>
          <w:rFonts w:ascii="Times New Roman" w:hAnsi="Times New Roman"/>
          <w:sz w:val="18"/>
          <w:szCs w:val="18"/>
          <w:lang w:val="sr-Latn-RS"/>
        </w:rPr>
        <w:t>: South-East European Local Governments in Post Coivd-19 Socio-Economic Recovery“</w:t>
      </w:r>
      <w:r>
        <w:rPr>
          <w:rFonts w:ascii="Times New Roman" w:hAnsi="Times New Roman"/>
          <w:sz w:val="18"/>
          <w:szCs w:val="18"/>
          <w:lang w:val="sr-Cyrl-RS"/>
        </w:rPr>
        <w:t>, стр. 44</w:t>
      </w:r>
      <w:r w:rsidRPr="001862F5">
        <w:rPr>
          <w:rFonts w:ascii="Times New Roman" w:hAnsi="Times New Roman"/>
          <w:sz w:val="18"/>
          <w:szCs w:val="18"/>
          <w:lang w:val="sr-Cyrl-RS"/>
        </w:rPr>
        <w:t>, http://www.nalas.eu/News/Survey_Covid19</w:t>
      </w:r>
      <w:r>
        <w:rPr>
          <w:rFonts w:ascii="Times New Roman" w:hAnsi="Times New Roman"/>
          <w:sz w:val="18"/>
          <w:szCs w:val="18"/>
          <w:lang w:val="sr-Latn-RS"/>
        </w:rPr>
        <w:t>.</w:t>
      </w:r>
    </w:p>
  </w:footnote>
  <w:footnote w:id="21">
    <w:p w14:paraId="15D42402" w14:textId="77777777" w:rsidR="006E5012" w:rsidRPr="002C031E" w:rsidRDefault="006E5012" w:rsidP="005D2CFE">
      <w:pPr>
        <w:pStyle w:val="FootnoteText"/>
        <w:jc w:val="both"/>
        <w:rPr>
          <w:rFonts w:ascii="Times New Roman" w:hAnsi="Times New Roman"/>
          <w:sz w:val="18"/>
          <w:szCs w:val="18"/>
          <w:lang w:val="sr-Cyrl-R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sidRPr="002C031E">
        <w:rPr>
          <w:rFonts w:ascii="Times New Roman" w:hAnsi="Times New Roman"/>
          <w:sz w:val="18"/>
          <w:szCs w:val="18"/>
          <w:lang w:val="sr-Latn-RS"/>
        </w:rPr>
        <w:t>BFC</w:t>
      </w:r>
      <w:r w:rsidRPr="002C031E">
        <w:rPr>
          <w:rFonts w:ascii="Times New Roman" w:hAnsi="Times New Roman"/>
          <w:sz w:val="18"/>
          <w:szCs w:val="18"/>
          <w:lang w:val="sr-Cyrl-RS"/>
        </w:rPr>
        <w:t>-Пријатељско пословно окружење</w:t>
      </w:r>
      <w:r w:rsidRPr="002C031E">
        <w:rPr>
          <w:rFonts w:ascii="Times New Roman" w:hAnsi="Times New Roman"/>
          <w:sz w:val="18"/>
          <w:szCs w:val="18"/>
          <w:lang w:val="sr-Latn-RS"/>
        </w:rPr>
        <w:t xml:space="preserve"> je </w:t>
      </w:r>
      <w:r w:rsidRPr="002C031E">
        <w:rPr>
          <w:rFonts w:ascii="Times New Roman" w:hAnsi="Times New Roman"/>
          <w:sz w:val="18"/>
          <w:szCs w:val="18"/>
          <w:lang w:val="sr-Cyrl-RS"/>
        </w:rPr>
        <w:t>р</w:t>
      </w:r>
      <w:r w:rsidRPr="002C031E">
        <w:rPr>
          <w:rFonts w:ascii="Times New Roman" w:hAnsi="Times New Roman"/>
          <w:sz w:val="18"/>
          <w:szCs w:val="18"/>
          <w:lang w:val="en-US"/>
        </w:rPr>
        <w:t>егионална мрежа за пословно окружење у југоисточној Европи</w:t>
      </w:r>
      <w:r w:rsidRPr="002C031E">
        <w:rPr>
          <w:rFonts w:ascii="Times New Roman" w:hAnsi="Times New Roman"/>
          <w:sz w:val="18"/>
          <w:szCs w:val="18"/>
          <w:lang w:val="sr-Cyrl-RS"/>
        </w:rPr>
        <w:t>, тј.</w:t>
      </w:r>
      <w:r w:rsidRPr="002C031E">
        <w:rPr>
          <w:rFonts w:ascii="Times New Roman" w:hAnsi="Times New Roman"/>
          <w:sz w:val="18"/>
          <w:szCs w:val="18"/>
          <w:lang w:val="en-US"/>
        </w:rPr>
        <w:t xml:space="preserve"> јединствена је платформа за побољшање конкурентности</w:t>
      </w:r>
      <w:r w:rsidRPr="002C031E">
        <w:rPr>
          <w:rFonts w:ascii="Times New Roman" w:hAnsi="Times New Roman"/>
          <w:sz w:val="18"/>
          <w:szCs w:val="18"/>
          <w:lang w:val="sr-Cyrl-RS"/>
        </w:rPr>
        <w:t>,</w:t>
      </w:r>
      <w:r w:rsidRPr="002C031E">
        <w:rPr>
          <w:rFonts w:ascii="Times New Roman" w:hAnsi="Times New Roman"/>
          <w:sz w:val="18"/>
          <w:szCs w:val="18"/>
          <w:lang w:val="en-US"/>
        </w:rPr>
        <w:t xml:space="preserve"> кроз пренос знања, размену најбољих пракси и осмишљавање и спровођење реформи у јавној управи. Мрежу BFC SEE основале су 2012. године партнерске институције из Б</w:t>
      </w:r>
      <w:r w:rsidRPr="002C031E">
        <w:rPr>
          <w:rFonts w:ascii="Times New Roman" w:hAnsi="Times New Roman"/>
          <w:sz w:val="18"/>
          <w:szCs w:val="18"/>
          <w:lang w:val="sr-Cyrl-RS"/>
        </w:rPr>
        <w:t>и</w:t>
      </w:r>
      <w:r w:rsidRPr="002C031E">
        <w:rPr>
          <w:rFonts w:ascii="Times New Roman" w:hAnsi="Times New Roman"/>
          <w:sz w:val="18"/>
          <w:szCs w:val="18"/>
          <w:lang w:val="en-US"/>
        </w:rPr>
        <w:t>Х, Хрватске, Македоније и Србије, уз подршку немачке и швајцарске владе.</w:t>
      </w:r>
      <w:r w:rsidRPr="002C031E">
        <w:rPr>
          <w:rFonts w:ascii="Times New Roman" w:hAnsi="Times New Roman"/>
          <w:sz w:val="18"/>
          <w:szCs w:val="18"/>
          <w:lang w:val="sr-Cyrl-RS"/>
        </w:rPr>
        <w:t xml:space="preserve"> У оквиру мреже врши се сертификација градова/општина на основу јасно дефинисаних правила и стандарда. Циљ сертификације је препознавање и промоција примера најбољих пракси, подстицање управљања квалитетом у локалним самоуправама, али и такмичење међу ЈЛС у земљи и региону у привлачењу нових инвестиција.</w:t>
      </w:r>
    </w:p>
  </w:footnote>
  <w:footnote w:id="22">
    <w:p w14:paraId="06762870" w14:textId="77777777" w:rsidR="006E5012" w:rsidRPr="002C031E" w:rsidRDefault="006E5012" w:rsidP="00244561">
      <w:pPr>
        <w:pStyle w:val="FootnoteText"/>
        <w:jc w:val="both"/>
        <w:rPr>
          <w:rFonts w:ascii="Times New Roman" w:hAnsi="Times New Roman"/>
          <w:sz w:val="18"/>
          <w:szCs w:val="18"/>
          <w:lang w:val="sr-Cyrl-R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Pr>
          <w:rFonts w:ascii="Times New Roman" w:hAnsi="Times New Roman"/>
          <w:sz w:val="18"/>
          <w:szCs w:val="18"/>
          <w:lang w:val="en-US"/>
        </w:rPr>
        <w:t xml:space="preserve">EBRD </w:t>
      </w:r>
      <w:r w:rsidRPr="002C031E">
        <w:rPr>
          <w:rFonts w:ascii="Times New Roman" w:hAnsi="Times New Roman"/>
          <w:sz w:val="18"/>
          <w:szCs w:val="18"/>
          <w:lang w:val="sr-Cyrl-RS"/>
        </w:rPr>
        <w:t>код одобравања зајмова јединицама локалне самоуправе користи сљедеће коефицијенте, којима мјери способност задуживања и стабилност буџета: а) степен покривености дуга (однос текућег суфицита,  с једне стране, и збира отплата свих главница, укључујући и гаранције, и плаћених камата на финансијски дуг, с друге стране); б) коефицијент сервисирања дуга (однос збира отплата свих главница и плаћених камата, с једне стране, и укупних прихода, с друге стране); в) однос укупног финансијског дуга према укупним приходима; г) однос укупног финансијског дуга и текућег суфицита.</w:t>
      </w:r>
    </w:p>
  </w:footnote>
  <w:footnote w:id="23">
    <w:p w14:paraId="713425BF" w14:textId="2BAFA071" w:rsidR="006E5012" w:rsidRPr="00885FD8" w:rsidRDefault="006E5012">
      <w:pPr>
        <w:pStyle w:val="FootnoteText"/>
        <w:rPr>
          <w:rFonts w:ascii="Times New Roman" w:hAnsi="Times New Roman"/>
          <w:lang w:val="sr-Cyrl-RS"/>
        </w:rPr>
      </w:pPr>
      <w:r w:rsidRPr="00885FD8">
        <w:rPr>
          <w:rStyle w:val="FootnoteReference"/>
          <w:rFonts w:ascii="Times New Roman" w:hAnsi="Times New Roman"/>
          <w:sz w:val="18"/>
        </w:rPr>
        <w:footnoteRef/>
      </w:r>
      <w:r w:rsidRPr="00885FD8">
        <w:rPr>
          <w:rFonts w:ascii="Times New Roman" w:hAnsi="Times New Roman"/>
          <w:sz w:val="18"/>
        </w:rPr>
        <w:t xml:space="preserve"> </w:t>
      </w:r>
      <w:r w:rsidRPr="00885FD8">
        <w:rPr>
          <w:rFonts w:ascii="Times New Roman" w:hAnsi="Times New Roman"/>
          <w:sz w:val="18"/>
          <w:lang w:val="sr-Cyrl-RS"/>
        </w:rPr>
        <w:t>Нпр. Бања Лука је доносила сличне програме 2009. године (економска криза) и 2014./2015. године (поплаве).</w:t>
      </w:r>
    </w:p>
  </w:footnote>
  <w:footnote w:id="24">
    <w:p w14:paraId="4FC925DA" w14:textId="77777777" w:rsidR="006E5012" w:rsidRPr="002C031E" w:rsidRDefault="006E5012" w:rsidP="009C733B">
      <w:pPr>
        <w:pStyle w:val="FootnoteText"/>
        <w:jc w:val="both"/>
        <w:rPr>
          <w:rFonts w:asciiTheme="minorHAnsi" w:hAnsiTheme="minorHAnsi"/>
          <w:sz w:val="18"/>
          <w:szCs w:val="18"/>
          <w:lang w:val="sr-Cyrl-R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sidRPr="002C031E">
        <w:rPr>
          <w:rFonts w:ascii="Times New Roman" w:hAnsi="Times New Roman"/>
          <w:sz w:val="18"/>
          <w:szCs w:val="18"/>
          <w:lang w:val="sr-Cyrl-RS"/>
        </w:rPr>
        <w:t xml:space="preserve">У методолошком смислу, добар примјер за ове програме је  </w:t>
      </w:r>
      <w:r w:rsidRPr="002C031E">
        <w:rPr>
          <w:rFonts w:ascii="Times New Roman" w:hAnsi="Times New Roman"/>
          <w:sz w:val="18"/>
          <w:szCs w:val="18"/>
          <w:lang w:val="en-US"/>
        </w:rPr>
        <w:t xml:space="preserve">UNDP </w:t>
      </w:r>
      <w:r w:rsidRPr="002C031E">
        <w:rPr>
          <w:rFonts w:ascii="Times New Roman" w:hAnsi="Times New Roman"/>
          <w:sz w:val="18"/>
          <w:szCs w:val="18"/>
          <w:lang w:val="sr-Cyrl-RS"/>
        </w:rPr>
        <w:t xml:space="preserve">пројекат „Бољем управом до бржег економског раста – </w:t>
      </w:r>
      <w:r w:rsidRPr="002C031E">
        <w:rPr>
          <w:rFonts w:ascii="Times New Roman" w:hAnsi="Times New Roman"/>
          <w:sz w:val="18"/>
          <w:szCs w:val="18"/>
          <w:lang w:val="en-US"/>
        </w:rPr>
        <w:t>EGG</w:t>
      </w:r>
      <w:r w:rsidRPr="002C031E">
        <w:rPr>
          <w:rFonts w:ascii="Times New Roman" w:hAnsi="Times New Roman"/>
          <w:sz w:val="18"/>
          <w:szCs w:val="18"/>
          <w:lang w:val="sr-Latn-RS"/>
        </w:rPr>
        <w:t>“</w:t>
      </w:r>
      <w:r w:rsidRPr="002C031E">
        <w:rPr>
          <w:rFonts w:ascii="Times New Roman" w:hAnsi="Times New Roman"/>
          <w:sz w:val="18"/>
          <w:szCs w:val="18"/>
          <w:lang w:val="sr-Cyrl-RS"/>
        </w:rPr>
        <w:t xml:space="preserve">. Прво се врши ситуациона анализа, тј. анализа буџета, затим се предлажу мјере за оптимизацију прихода и расхода, утврђују се конкретни показатељи, који се требају постићи, са роковима за провођење. Нешто сложенији, али такође врло ефикасан инструмент, односно, методологија је </w:t>
      </w:r>
      <w:r w:rsidRPr="002C031E">
        <w:rPr>
          <w:rFonts w:ascii="Times New Roman" w:hAnsi="Times New Roman"/>
          <w:sz w:val="18"/>
          <w:szCs w:val="18"/>
          <w:lang w:val="en-US"/>
        </w:rPr>
        <w:t>MFSA</w:t>
      </w:r>
      <w:r w:rsidRPr="002C031E">
        <w:rPr>
          <w:rFonts w:ascii="Times New Roman" w:hAnsi="Times New Roman"/>
          <w:sz w:val="18"/>
          <w:szCs w:val="18"/>
          <w:lang w:val="sr-Cyrl-RS"/>
        </w:rPr>
        <w:t>, коју је развила Свјетска банка, гдје се врши финансијска самопроцјена ЈЛС, кроз општи финансијски оквир, историјски оквир и анализу показатеља. Затим се доносе финансијске пројекције и акцијски план финансијск</w:t>
      </w:r>
      <w:r>
        <w:rPr>
          <w:rFonts w:ascii="Times New Roman" w:hAnsi="Times New Roman"/>
          <w:sz w:val="18"/>
          <w:szCs w:val="18"/>
          <w:lang w:val="sr-Cyrl-RS"/>
        </w:rPr>
        <w:t>их побољшања. Без обзира на мет</w:t>
      </w:r>
      <w:r w:rsidRPr="002C031E">
        <w:rPr>
          <w:rFonts w:ascii="Times New Roman" w:hAnsi="Times New Roman"/>
          <w:sz w:val="18"/>
          <w:szCs w:val="18"/>
          <w:lang w:val="sr-Cyrl-RS"/>
        </w:rPr>
        <w:t>о</w:t>
      </w:r>
      <w:r>
        <w:rPr>
          <w:rFonts w:ascii="Times New Roman" w:hAnsi="Times New Roman"/>
          <w:sz w:val="18"/>
          <w:szCs w:val="18"/>
          <w:lang w:val="sr-Cyrl-RS"/>
        </w:rPr>
        <w:t>до</w:t>
      </w:r>
      <w:r w:rsidRPr="002C031E">
        <w:rPr>
          <w:rFonts w:ascii="Times New Roman" w:hAnsi="Times New Roman"/>
          <w:sz w:val="18"/>
          <w:szCs w:val="18"/>
          <w:lang w:val="sr-Cyrl-RS"/>
        </w:rPr>
        <w:t>логије, циљ оваквих програма и/или акционих планова је да се обезбједи  боље управљање изворним приходима, стабилизује фискална позиција и побољшава структура расхода.</w:t>
      </w:r>
    </w:p>
  </w:footnote>
  <w:footnote w:id="25">
    <w:p w14:paraId="7A847C2E" w14:textId="77777777" w:rsidR="006E5012" w:rsidRPr="002C031E" w:rsidRDefault="006E5012" w:rsidP="00C216F8">
      <w:pPr>
        <w:pStyle w:val="FootnoteText"/>
        <w:jc w:val="both"/>
        <w:rPr>
          <w:rFonts w:ascii="Times New Roman" w:hAnsi="Times New Roman"/>
          <w:sz w:val="18"/>
          <w:szCs w:val="18"/>
          <w:lang w:val="sr-Cyrl-R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sidRPr="002C031E">
        <w:rPr>
          <w:rFonts w:ascii="Times New Roman" w:hAnsi="Times New Roman"/>
          <w:sz w:val="18"/>
          <w:szCs w:val="18"/>
          <w:lang w:val="sr-Cyrl-RS"/>
        </w:rPr>
        <w:t>Акција</w:t>
      </w:r>
      <w:r w:rsidRPr="002C031E">
        <w:rPr>
          <w:rFonts w:ascii="Times New Roman" w:hAnsi="Times New Roman"/>
          <w:sz w:val="18"/>
          <w:szCs w:val="18"/>
        </w:rPr>
        <w:t xml:space="preserve"> </w:t>
      </w:r>
      <w:r w:rsidRPr="002C031E">
        <w:rPr>
          <w:rFonts w:ascii="Times New Roman" w:hAnsi="Times New Roman"/>
          <w:sz w:val="18"/>
          <w:szCs w:val="18"/>
          <w:lang w:val="sr-Cyrl-RS"/>
        </w:rPr>
        <w:t>„Нисте сами“ - бесплатна достава лијекова и хране за грађане преко 65 година живота, хроничним болесницима, трудницама, особама са инвалидитетом. Акцију је организовао Град Бања Лука, у сарадњи са друштвено одговорним компанијама.</w:t>
      </w:r>
    </w:p>
  </w:footnote>
  <w:footnote w:id="26">
    <w:p w14:paraId="479CD770" w14:textId="77777777" w:rsidR="006E5012" w:rsidRPr="00A0047D" w:rsidRDefault="006E5012" w:rsidP="00A0047D">
      <w:pPr>
        <w:pStyle w:val="FootnoteText"/>
        <w:jc w:val="both"/>
        <w:rPr>
          <w:rFonts w:ascii="Times New Roman" w:hAnsi="Times New Roman"/>
          <w:bCs/>
          <w:sz w:val="18"/>
          <w:szCs w:val="18"/>
          <w:lang w:val="en-U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sidRPr="002C031E">
        <w:rPr>
          <w:rFonts w:ascii="Times New Roman" w:hAnsi="Times New Roman"/>
          <w:sz w:val="18"/>
          <w:szCs w:val="18"/>
          <w:lang w:val="sr-Cyrl-RS"/>
        </w:rPr>
        <w:t xml:space="preserve">Као примјер транспарарентног начина финансирања може се узети </w:t>
      </w:r>
      <w:r w:rsidRPr="002C031E">
        <w:rPr>
          <w:rFonts w:ascii="Times New Roman" w:hAnsi="Times New Roman"/>
          <w:bCs/>
          <w:sz w:val="18"/>
          <w:szCs w:val="18"/>
          <w:lang w:val="en-US"/>
        </w:rPr>
        <w:t xml:space="preserve">ReLOaD - Регионални програм локалне демократије на западном Балкану, </w:t>
      </w:r>
      <w:r w:rsidRPr="002C031E">
        <w:rPr>
          <w:rFonts w:ascii="Times New Roman" w:hAnsi="Times New Roman"/>
          <w:bCs/>
          <w:sz w:val="18"/>
          <w:szCs w:val="18"/>
          <w:lang w:val="sr-Cyrl-RS"/>
        </w:rPr>
        <w:t xml:space="preserve">који </w:t>
      </w:r>
      <w:r w:rsidRPr="002C031E">
        <w:rPr>
          <w:rFonts w:ascii="Times New Roman" w:hAnsi="Times New Roman"/>
          <w:bCs/>
          <w:sz w:val="18"/>
          <w:szCs w:val="18"/>
          <w:lang w:val="en-US"/>
        </w:rPr>
        <w:t xml:space="preserve">финансира ЕУ, а имплементира </w:t>
      </w:r>
      <w:r w:rsidRPr="002C031E">
        <w:rPr>
          <w:rFonts w:ascii="Times New Roman" w:hAnsi="Times New Roman"/>
          <w:bCs/>
          <w:sz w:val="18"/>
          <w:szCs w:val="18"/>
          <w:lang w:val="sr-Latn-RS"/>
        </w:rPr>
        <w:t>UNDP</w:t>
      </w:r>
      <w:r w:rsidRPr="002C031E">
        <w:rPr>
          <w:rFonts w:ascii="Times New Roman" w:hAnsi="Times New Roman"/>
          <w:bCs/>
          <w:sz w:val="18"/>
          <w:szCs w:val="18"/>
          <w:lang w:val="en-US"/>
        </w:rPr>
        <w:t>. Специфични циљ је јачање партнерстава између локалних власти и цивилног друштва</w:t>
      </w:r>
      <w:r>
        <w:rPr>
          <w:rFonts w:ascii="Times New Roman" w:hAnsi="Times New Roman"/>
          <w:bCs/>
          <w:sz w:val="18"/>
          <w:szCs w:val="18"/>
          <w:lang w:val="en-US"/>
        </w:rPr>
        <w:t>, ширењем</w:t>
      </w:r>
      <w:r w:rsidRPr="002C031E">
        <w:rPr>
          <w:rFonts w:ascii="Times New Roman" w:hAnsi="Times New Roman"/>
          <w:bCs/>
          <w:sz w:val="18"/>
          <w:szCs w:val="18"/>
          <w:lang w:val="en-US"/>
        </w:rPr>
        <w:t xml:space="preserve"> модела транспарентног пројектног финансирања </w:t>
      </w:r>
      <w:r w:rsidRPr="002C031E">
        <w:rPr>
          <w:rFonts w:ascii="Times New Roman" w:hAnsi="Times New Roman"/>
          <w:bCs/>
          <w:sz w:val="18"/>
          <w:szCs w:val="18"/>
          <w:lang w:val="sr-Cyrl-RS"/>
        </w:rPr>
        <w:t>организација цивилног друштва</w:t>
      </w:r>
      <w:r w:rsidRPr="002C031E">
        <w:rPr>
          <w:rFonts w:ascii="Times New Roman" w:hAnsi="Times New Roman"/>
          <w:bCs/>
          <w:sz w:val="18"/>
          <w:szCs w:val="18"/>
          <w:lang w:val="en-US"/>
        </w:rPr>
        <w:t xml:space="preserve"> из буџета </w:t>
      </w:r>
      <w:r w:rsidRPr="002C031E">
        <w:rPr>
          <w:rFonts w:ascii="Times New Roman" w:hAnsi="Times New Roman"/>
          <w:bCs/>
          <w:sz w:val="18"/>
          <w:szCs w:val="18"/>
          <w:lang w:val="sr-Cyrl-RS"/>
        </w:rPr>
        <w:t>ЈЛС</w:t>
      </w:r>
      <w:r w:rsidRPr="002C031E">
        <w:rPr>
          <w:rFonts w:ascii="Times New Roman" w:hAnsi="Times New Roman"/>
          <w:bCs/>
          <w:sz w:val="18"/>
          <w:szCs w:val="18"/>
          <w:lang w:val="en-US"/>
        </w:rPr>
        <w:t>, усмјереног ка већем грађанском учешћу у процесима доношења одлука и унапређењу пружања услуга у локалним заједницама.</w:t>
      </w:r>
    </w:p>
  </w:footnote>
  <w:footnote w:id="27">
    <w:p w14:paraId="6701BEB9" w14:textId="77777777" w:rsidR="006E5012" w:rsidRPr="002C031E" w:rsidRDefault="006E5012" w:rsidP="00A0047D">
      <w:pPr>
        <w:pStyle w:val="FootnoteText"/>
        <w:jc w:val="both"/>
        <w:rPr>
          <w:rFonts w:ascii="Times New Roman" w:hAnsi="Times New Roman"/>
          <w:sz w:val="18"/>
          <w:szCs w:val="18"/>
          <w:lang w:val="en-US"/>
        </w:rPr>
      </w:pPr>
      <w:r w:rsidRPr="002C031E">
        <w:rPr>
          <w:rStyle w:val="FootnoteReference"/>
          <w:rFonts w:ascii="Times New Roman" w:hAnsi="Times New Roman"/>
          <w:sz w:val="18"/>
          <w:szCs w:val="18"/>
        </w:rPr>
        <w:footnoteRef/>
      </w:r>
      <w:r w:rsidRPr="002C031E">
        <w:rPr>
          <w:rFonts w:ascii="Times New Roman" w:hAnsi="Times New Roman"/>
          <w:sz w:val="18"/>
          <w:szCs w:val="18"/>
        </w:rPr>
        <w:t xml:space="preserve"> </w:t>
      </w:r>
      <w:r>
        <w:rPr>
          <w:rFonts w:ascii="Times New Roman" w:hAnsi="Times New Roman"/>
          <w:sz w:val="18"/>
          <w:szCs w:val="18"/>
          <w:lang w:val="sr-Cyrl-RS"/>
        </w:rPr>
        <w:t>Апликација</w:t>
      </w:r>
      <w:r w:rsidRPr="002C031E">
        <w:rPr>
          <w:rFonts w:ascii="Times New Roman" w:hAnsi="Times New Roman"/>
          <w:sz w:val="18"/>
          <w:szCs w:val="18"/>
          <w:lang w:val="sr-Cyrl-RS"/>
        </w:rPr>
        <w:t xml:space="preserve"> је заједничка инцијатва грађана, јавног сектора и </w:t>
      </w:r>
      <w:r w:rsidRPr="002C031E">
        <w:rPr>
          <w:rFonts w:ascii="Times New Roman" w:hAnsi="Times New Roman"/>
          <w:sz w:val="18"/>
          <w:szCs w:val="18"/>
          <w:lang w:val="en-US"/>
        </w:rPr>
        <w:t>IT</w:t>
      </w:r>
      <w:r w:rsidRPr="002C031E">
        <w:rPr>
          <w:rFonts w:ascii="Times New Roman" w:hAnsi="Times New Roman"/>
          <w:sz w:val="18"/>
          <w:szCs w:val="18"/>
          <w:lang w:val="sr-Cyrl-RS"/>
        </w:rPr>
        <w:t xml:space="preserve"> индустрије у БиХ, коју подражава влада Швајцарске и </w:t>
      </w:r>
      <w:r w:rsidRPr="002C031E">
        <w:rPr>
          <w:rFonts w:ascii="Times New Roman" w:hAnsi="Times New Roman"/>
          <w:sz w:val="18"/>
          <w:szCs w:val="18"/>
          <w:lang w:val="en-US"/>
        </w:rPr>
        <w:t>UNDP.</w:t>
      </w:r>
    </w:p>
  </w:footnote>
  <w:footnote w:id="28">
    <w:p w14:paraId="48FEB3A5" w14:textId="77777777" w:rsidR="006E5012" w:rsidRPr="002C031E" w:rsidRDefault="006E5012" w:rsidP="00A0047D">
      <w:pPr>
        <w:tabs>
          <w:tab w:val="left" w:pos="709"/>
          <w:tab w:val="left" w:pos="1530"/>
        </w:tabs>
        <w:jc w:val="both"/>
        <w:rPr>
          <w:bCs/>
          <w:sz w:val="18"/>
          <w:szCs w:val="18"/>
          <w:lang w:val="sr-Cyrl-RS" w:eastAsia="en-US"/>
        </w:rPr>
      </w:pPr>
      <w:r w:rsidRPr="002C031E">
        <w:rPr>
          <w:rStyle w:val="FootnoteReference"/>
          <w:sz w:val="18"/>
          <w:szCs w:val="18"/>
        </w:rPr>
        <w:footnoteRef/>
      </w:r>
      <w:r w:rsidRPr="002C031E">
        <w:rPr>
          <w:sz w:val="18"/>
          <w:szCs w:val="18"/>
        </w:rPr>
        <w:t xml:space="preserve"> </w:t>
      </w:r>
      <w:r w:rsidRPr="002C031E">
        <w:rPr>
          <w:sz w:val="18"/>
          <w:szCs w:val="18"/>
          <w:lang w:val="sr-Cyrl-RS"/>
        </w:rPr>
        <w:t xml:space="preserve">Тако нпр. </w:t>
      </w:r>
      <w:r w:rsidRPr="002C031E">
        <w:rPr>
          <w:bCs/>
          <w:sz w:val="18"/>
          <w:szCs w:val="18"/>
          <w:lang w:val="sr-Cyrl-RS" w:eastAsia="en-US"/>
        </w:rPr>
        <w:t>око 70% анкетираних локалних управа у Србији оцијенило је да ће се посљедице кризе осјећати много дуже него у при</w:t>
      </w:r>
      <w:r>
        <w:rPr>
          <w:bCs/>
          <w:sz w:val="18"/>
          <w:szCs w:val="18"/>
          <w:lang w:val="sr-Cyrl-RS" w:eastAsia="en-US"/>
        </w:rPr>
        <w:t xml:space="preserve">вреди. Подаци </w:t>
      </w:r>
      <w:r w:rsidRPr="002C031E">
        <w:rPr>
          <w:bCs/>
          <w:sz w:val="18"/>
          <w:szCs w:val="18"/>
          <w:lang w:val="en-US" w:eastAsia="en-US"/>
        </w:rPr>
        <w:t>NALED</w:t>
      </w:r>
      <w:r w:rsidRPr="002C031E">
        <w:rPr>
          <w:bCs/>
          <w:sz w:val="18"/>
          <w:szCs w:val="18"/>
          <w:lang w:val="sr-Cyrl-RS" w:eastAsia="en-US"/>
        </w:rPr>
        <w:t xml:space="preserve"> указују да привредници очекују опоравак у року од 6 мјесеци до године дана од престанка пандемије, а да ће се локалне управе борити са кризом најмање двије године.</w:t>
      </w:r>
    </w:p>
    <w:p w14:paraId="6E3EA51E" w14:textId="77777777" w:rsidR="006E5012" w:rsidRPr="004F3961" w:rsidRDefault="006E5012" w:rsidP="00A0047D">
      <w:pPr>
        <w:pStyle w:val="FootnoteText"/>
        <w:rPr>
          <w:rFonts w:asciiTheme="minorHAnsi" w:hAnsiTheme="minorHAnsi"/>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mso1C7C"/>
      </v:shape>
    </w:pict>
  </w:numPicBullet>
  <w:abstractNum w:abstractNumId="0" w15:restartNumberingAfterBreak="0">
    <w:nsid w:val="1EC06699"/>
    <w:multiLevelType w:val="hybridMultilevel"/>
    <w:tmpl w:val="9C6A2550"/>
    <w:lvl w:ilvl="0" w:tplc="0324BB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A3207"/>
    <w:multiLevelType w:val="hybridMultilevel"/>
    <w:tmpl w:val="05BA2E96"/>
    <w:lvl w:ilvl="0" w:tplc="181A0001">
      <w:start w:val="1"/>
      <w:numFmt w:val="bullet"/>
      <w:lvlText w:val=""/>
      <w:lvlJc w:val="left"/>
      <w:pPr>
        <w:ind w:left="1429" w:hanging="360"/>
      </w:pPr>
      <w:rPr>
        <w:rFonts w:ascii="Symbol" w:hAnsi="Symbol"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2" w15:restartNumberingAfterBreak="0">
    <w:nsid w:val="31F947D8"/>
    <w:multiLevelType w:val="hybridMultilevel"/>
    <w:tmpl w:val="3356E3B6"/>
    <w:lvl w:ilvl="0" w:tplc="5A945FF2">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 w15:restartNumberingAfterBreak="0">
    <w:nsid w:val="495B7882"/>
    <w:multiLevelType w:val="hybridMultilevel"/>
    <w:tmpl w:val="B922E71E"/>
    <w:lvl w:ilvl="0" w:tplc="0324BBC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C2DA9"/>
    <w:multiLevelType w:val="hybridMultilevel"/>
    <w:tmpl w:val="C144D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39C4F9D"/>
    <w:multiLevelType w:val="hybridMultilevel"/>
    <w:tmpl w:val="F944411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5514D0E"/>
    <w:multiLevelType w:val="hybridMultilevel"/>
    <w:tmpl w:val="5DC83DFE"/>
    <w:lvl w:ilvl="0" w:tplc="0324BBC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80D3550"/>
    <w:multiLevelType w:val="hybridMultilevel"/>
    <w:tmpl w:val="FF306244"/>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5B271FC5"/>
    <w:multiLevelType w:val="hybridMultilevel"/>
    <w:tmpl w:val="1318BF8A"/>
    <w:lvl w:ilvl="0" w:tplc="0324BBC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D72BD"/>
    <w:multiLevelType w:val="hybridMultilevel"/>
    <w:tmpl w:val="BAA4B8BC"/>
    <w:lvl w:ilvl="0" w:tplc="9F6C7F6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13155"/>
    <w:multiLevelType w:val="hybridMultilevel"/>
    <w:tmpl w:val="97E4ADF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15:restartNumberingAfterBreak="0">
    <w:nsid w:val="64682A86"/>
    <w:multiLevelType w:val="multilevel"/>
    <w:tmpl w:val="DB3E51D2"/>
    <w:lvl w:ilvl="0">
      <w:start w:val="1"/>
      <w:numFmt w:val="bullet"/>
      <w:pStyle w:val="Aufgezhlt1Absatz"/>
      <w:lvlText w:val=""/>
      <w:lvlJc w:val="left"/>
      <w:pPr>
        <w:tabs>
          <w:tab w:val="num" w:pos="737"/>
        </w:tabs>
        <w:ind w:left="737" w:hanging="737"/>
      </w:pPr>
      <w:rPr>
        <w:rFonts w:ascii="Wingdings" w:hAnsi="Wingdings" w:cs="Times New Roman" w:hint="default"/>
        <w:sz w:val="21"/>
        <w:szCs w:val="24"/>
      </w:rPr>
    </w:lvl>
    <w:lvl w:ilvl="1">
      <w:start w:val="1"/>
      <w:numFmt w:val="bullet"/>
      <w:pStyle w:val="Aufgezhlt2Absatz"/>
      <w:suff w:val="space"/>
      <w:lvlText w:val="­"/>
      <w:lvlJc w:val="left"/>
      <w:pPr>
        <w:ind w:left="170" w:firstLine="567"/>
      </w:pPr>
      <w:rPr>
        <w:rFonts w:ascii="Arial" w:hAnsi="Arial" w:cs="Times New Roman" w:hint="default"/>
        <w:sz w:val="21"/>
        <w:szCs w:val="21"/>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2" w15:restartNumberingAfterBreak="0">
    <w:nsid w:val="74E07855"/>
    <w:multiLevelType w:val="multilevel"/>
    <w:tmpl w:val="7460E3A4"/>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2"/>
  </w:num>
  <w:num w:numId="4">
    <w:abstractNumId w:val="0"/>
  </w:num>
  <w:num w:numId="5">
    <w:abstractNumId w:val="3"/>
  </w:num>
  <w:num w:numId="6">
    <w:abstractNumId w:val="1"/>
  </w:num>
  <w:num w:numId="7">
    <w:abstractNumId w:val="10"/>
  </w:num>
  <w:num w:numId="8">
    <w:abstractNumId w:val="4"/>
  </w:num>
  <w:num w:numId="9">
    <w:abstractNumId w:val="2"/>
  </w:num>
  <w:num w:numId="10">
    <w:abstractNumId w:val="5"/>
  </w:num>
  <w:num w:numId="11">
    <w:abstractNumId w:val="9"/>
  </w:num>
  <w:num w:numId="12">
    <w:abstractNumId w:val="8"/>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D"/>
    <w:rsid w:val="0000039A"/>
    <w:rsid w:val="00000D6F"/>
    <w:rsid w:val="000011F7"/>
    <w:rsid w:val="00001826"/>
    <w:rsid w:val="00001D4E"/>
    <w:rsid w:val="00001E05"/>
    <w:rsid w:val="00002564"/>
    <w:rsid w:val="00002884"/>
    <w:rsid w:val="00002935"/>
    <w:rsid w:val="00002F3A"/>
    <w:rsid w:val="0000386D"/>
    <w:rsid w:val="000051E3"/>
    <w:rsid w:val="00005381"/>
    <w:rsid w:val="00006305"/>
    <w:rsid w:val="00006AAF"/>
    <w:rsid w:val="00007A6F"/>
    <w:rsid w:val="00010207"/>
    <w:rsid w:val="00010D5B"/>
    <w:rsid w:val="00011360"/>
    <w:rsid w:val="0001178E"/>
    <w:rsid w:val="00011A72"/>
    <w:rsid w:val="00011E8F"/>
    <w:rsid w:val="00012BF3"/>
    <w:rsid w:val="000144E2"/>
    <w:rsid w:val="00014B77"/>
    <w:rsid w:val="00014DE1"/>
    <w:rsid w:val="00014EAA"/>
    <w:rsid w:val="00015312"/>
    <w:rsid w:val="0001556D"/>
    <w:rsid w:val="000156BE"/>
    <w:rsid w:val="000156F3"/>
    <w:rsid w:val="000162D8"/>
    <w:rsid w:val="00016B4E"/>
    <w:rsid w:val="00016C0B"/>
    <w:rsid w:val="00017049"/>
    <w:rsid w:val="00017536"/>
    <w:rsid w:val="00017DC8"/>
    <w:rsid w:val="000203EA"/>
    <w:rsid w:val="00020760"/>
    <w:rsid w:val="00020ED2"/>
    <w:rsid w:val="000215DB"/>
    <w:rsid w:val="00021C90"/>
    <w:rsid w:val="000227A2"/>
    <w:rsid w:val="00022984"/>
    <w:rsid w:val="0002392D"/>
    <w:rsid w:val="00023EC8"/>
    <w:rsid w:val="00025315"/>
    <w:rsid w:val="000275BF"/>
    <w:rsid w:val="00027995"/>
    <w:rsid w:val="00027E4E"/>
    <w:rsid w:val="0003007A"/>
    <w:rsid w:val="00030532"/>
    <w:rsid w:val="0003241B"/>
    <w:rsid w:val="00033A9D"/>
    <w:rsid w:val="00034BA4"/>
    <w:rsid w:val="00034F5F"/>
    <w:rsid w:val="00036BC7"/>
    <w:rsid w:val="00036D2B"/>
    <w:rsid w:val="00040953"/>
    <w:rsid w:val="00040A07"/>
    <w:rsid w:val="00041517"/>
    <w:rsid w:val="000417A9"/>
    <w:rsid w:val="0004180E"/>
    <w:rsid w:val="00041B9C"/>
    <w:rsid w:val="00042085"/>
    <w:rsid w:val="0004262A"/>
    <w:rsid w:val="00042920"/>
    <w:rsid w:val="00042B3B"/>
    <w:rsid w:val="00042C46"/>
    <w:rsid w:val="00043D4B"/>
    <w:rsid w:val="000440C7"/>
    <w:rsid w:val="00045228"/>
    <w:rsid w:val="00047636"/>
    <w:rsid w:val="000479B3"/>
    <w:rsid w:val="000479BC"/>
    <w:rsid w:val="00047A44"/>
    <w:rsid w:val="00053187"/>
    <w:rsid w:val="000533C4"/>
    <w:rsid w:val="00053527"/>
    <w:rsid w:val="00054DEC"/>
    <w:rsid w:val="00055365"/>
    <w:rsid w:val="00055B6B"/>
    <w:rsid w:val="00056F08"/>
    <w:rsid w:val="0005717A"/>
    <w:rsid w:val="000571D1"/>
    <w:rsid w:val="00060009"/>
    <w:rsid w:val="00061575"/>
    <w:rsid w:val="00061786"/>
    <w:rsid w:val="0006247D"/>
    <w:rsid w:val="0006260F"/>
    <w:rsid w:val="00062C0B"/>
    <w:rsid w:val="00062EC1"/>
    <w:rsid w:val="000637D5"/>
    <w:rsid w:val="00064423"/>
    <w:rsid w:val="00064663"/>
    <w:rsid w:val="000646A3"/>
    <w:rsid w:val="000663C4"/>
    <w:rsid w:val="00066F84"/>
    <w:rsid w:val="00070FD0"/>
    <w:rsid w:val="000715F3"/>
    <w:rsid w:val="00071857"/>
    <w:rsid w:val="0007199E"/>
    <w:rsid w:val="0007221B"/>
    <w:rsid w:val="00072CE4"/>
    <w:rsid w:val="00072DE6"/>
    <w:rsid w:val="000732E0"/>
    <w:rsid w:val="000738D6"/>
    <w:rsid w:val="000740E4"/>
    <w:rsid w:val="000760F0"/>
    <w:rsid w:val="00076507"/>
    <w:rsid w:val="00077D55"/>
    <w:rsid w:val="000802A8"/>
    <w:rsid w:val="000803BF"/>
    <w:rsid w:val="0008051D"/>
    <w:rsid w:val="0008068B"/>
    <w:rsid w:val="0008158B"/>
    <w:rsid w:val="000818A5"/>
    <w:rsid w:val="00081A0C"/>
    <w:rsid w:val="00082794"/>
    <w:rsid w:val="00082C8A"/>
    <w:rsid w:val="00083021"/>
    <w:rsid w:val="0008434C"/>
    <w:rsid w:val="00084C99"/>
    <w:rsid w:val="00085857"/>
    <w:rsid w:val="00085FB8"/>
    <w:rsid w:val="00086E58"/>
    <w:rsid w:val="00087862"/>
    <w:rsid w:val="00087A5E"/>
    <w:rsid w:val="000900B4"/>
    <w:rsid w:val="00090164"/>
    <w:rsid w:val="00090C31"/>
    <w:rsid w:val="00091A06"/>
    <w:rsid w:val="00091C52"/>
    <w:rsid w:val="000930DF"/>
    <w:rsid w:val="000938C0"/>
    <w:rsid w:val="00093A68"/>
    <w:rsid w:val="00094B22"/>
    <w:rsid w:val="00094E10"/>
    <w:rsid w:val="0009575D"/>
    <w:rsid w:val="00095C02"/>
    <w:rsid w:val="00096235"/>
    <w:rsid w:val="00096538"/>
    <w:rsid w:val="00096758"/>
    <w:rsid w:val="00097187"/>
    <w:rsid w:val="00097773"/>
    <w:rsid w:val="0009782E"/>
    <w:rsid w:val="00097BEA"/>
    <w:rsid w:val="000A0064"/>
    <w:rsid w:val="000A01B3"/>
    <w:rsid w:val="000A0488"/>
    <w:rsid w:val="000A08B5"/>
    <w:rsid w:val="000A2037"/>
    <w:rsid w:val="000A2126"/>
    <w:rsid w:val="000A26F9"/>
    <w:rsid w:val="000A2A50"/>
    <w:rsid w:val="000A2C96"/>
    <w:rsid w:val="000A3999"/>
    <w:rsid w:val="000A4134"/>
    <w:rsid w:val="000A5DF6"/>
    <w:rsid w:val="000A60F7"/>
    <w:rsid w:val="000A6493"/>
    <w:rsid w:val="000A737E"/>
    <w:rsid w:val="000A76E0"/>
    <w:rsid w:val="000A7B25"/>
    <w:rsid w:val="000A7BA4"/>
    <w:rsid w:val="000B0417"/>
    <w:rsid w:val="000B0E6F"/>
    <w:rsid w:val="000B12A4"/>
    <w:rsid w:val="000B1E10"/>
    <w:rsid w:val="000B1F5E"/>
    <w:rsid w:val="000B1FBF"/>
    <w:rsid w:val="000B3189"/>
    <w:rsid w:val="000B3322"/>
    <w:rsid w:val="000B4251"/>
    <w:rsid w:val="000B44B7"/>
    <w:rsid w:val="000B44BE"/>
    <w:rsid w:val="000B5AA8"/>
    <w:rsid w:val="000B7333"/>
    <w:rsid w:val="000C097F"/>
    <w:rsid w:val="000C116C"/>
    <w:rsid w:val="000C1993"/>
    <w:rsid w:val="000C1D30"/>
    <w:rsid w:val="000C1DAC"/>
    <w:rsid w:val="000C290D"/>
    <w:rsid w:val="000C317C"/>
    <w:rsid w:val="000C33FA"/>
    <w:rsid w:val="000C3ADC"/>
    <w:rsid w:val="000C3B6A"/>
    <w:rsid w:val="000C3DF3"/>
    <w:rsid w:val="000C4299"/>
    <w:rsid w:val="000C441A"/>
    <w:rsid w:val="000C4C73"/>
    <w:rsid w:val="000C58D1"/>
    <w:rsid w:val="000C5917"/>
    <w:rsid w:val="000C6985"/>
    <w:rsid w:val="000C6A7A"/>
    <w:rsid w:val="000C7CE2"/>
    <w:rsid w:val="000C7FB9"/>
    <w:rsid w:val="000D038F"/>
    <w:rsid w:val="000D062B"/>
    <w:rsid w:val="000D0D57"/>
    <w:rsid w:val="000D17A2"/>
    <w:rsid w:val="000D345F"/>
    <w:rsid w:val="000D4750"/>
    <w:rsid w:val="000D5E1E"/>
    <w:rsid w:val="000D72B6"/>
    <w:rsid w:val="000D7787"/>
    <w:rsid w:val="000D78DA"/>
    <w:rsid w:val="000E0932"/>
    <w:rsid w:val="000E096A"/>
    <w:rsid w:val="000E0BCE"/>
    <w:rsid w:val="000E0FF7"/>
    <w:rsid w:val="000E14E2"/>
    <w:rsid w:val="000E2E83"/>
    <w:rsid w:val="000E35F1"/>
    <w:rsid w:val="000E5344"/>
    <w:rsid w:val="000E75BB"/>
    <w:rsid w:val="000E7A7E"/>
    <w:rsid w:val="000E7AB1"/>
    <w:rsid w:val="000F0748"/>
    <w:rsid w:val="000F0A3B"/>
    <w:rsid w:val="000F0ACC"/>
    <w:rsid w:val="000F104C"/>
    <w:rsid w:val="000F12F7"/>
    <w:rsid w:val="000F13B7"/>
    <w:rsid w:val="000F1638"/>
    <w:rsid w:val="000F1696"/>
    <w:rsid w:val="000F2002"/>
    <w:rsid w:val="000F22C7"/>
    <w:rsid w:val="000F30B4"/>
    <w:rsid w:val="000F3B78"/>
    <w:rsid w:val="000F451D"/>
    <w:rsid w:val="000F487F"/>
    <w:rsid w:val="000F4993"/>
    <w:rsid w:val="000F4B9F"/>
    <w:rsid w:val="000F4C66"/>
    <w:rsid w:val="000F645D"/>
    <w:rsid w:val="000F6B31"/>
    <w:rsid w:val="000F6F99"/>
    <w:rsid w:val="000F7008"/>
    <w:rsid w:val="000F7DD4"/>
    <w:rsid w:val="00100DE0"/>
    <w:rsid w:val="00101DDA"/>
    <w:rsid w:val="001029F3"/>
    <w:rsid w:val="0010367E"/>
    <w:rsid w:val="00103DAF"/>
    <w:rsid w:val="001048B6"/>
    <w:rsid w:val="00104FBE"/>
    <w:rsid w:val="00105980"/>
    <w:rsid w:val="00106108"/>
    <w:rsid w:val="00106C22"/>
    <w:rsid w:val="001071AD"/>
    <w:rsid w:val="001071B8"/>
    <w:rsid w:val="00107491"/>
    <w:rsid w:val="001116AE"/>
    <w:rsid w:val="00111B70"/>
    <w:rsid w:val="00111B80"/>
    <w:rsid w:val="00111D4D"/>
    <w:rsid w:val="0011336B"/>
    <w:rsid w:val="00113723"/>
    <w:rsid w:val="00113893"/>
    <w:rsid w:val="00113C14"/>
    <w:rsid w:val="00114B7F"/>
    <w:rsid w:val="00114DCE"/>
    <w:rsid w:val="00114DD8"/>
    <w:rsid w:val="001154CF"/>
    <w:rsid w:val="00116305"/>
    <w:rsid w:val="00116C84"/>
    <w:rsid w:val="0011712C"/>
    <w:rsid w:val="00117892"/>
    <w:rsid w:val="00120670"/>
    <w:rsid w:val="00120B7B"/>
    <w:rsid w:val="00122097"/>
    <w:rsid w:val="001227F8"/>
    <w:rsid w:val="0012633C"/>
    <w:rsid w:val="00130B19"/>
    <w:rsid w:val="00131075"/>
    <w:rsid w:val="00131A04"/>
    <w:rsid w:val="00131A1D"/>
    <w:rsid w:val="00131C85"/>
    <w:rsid w:val="00132707"/>
    <w:rsid w:val="00133156"/>
    <w:rsid w:val="0013341A"/>
    <w:rsid w:val="001334D6"/>
    <w:rsid w:val="001365FB"/>
    <w:rsid w:val="00136813"/>
    <w:rsid w:val="00136C66"/>
    <w:rsid w:val="00137A1C"/>
    <w:rsid w:val="00137D8F"/>
    <w:rsid w:val="00137D99"/>
    <w:rsid w:val="0014007F"/>
    <w:rsid w:val="001406A0"/>
    <w:rsid w:val="00140834"/>
    <w:rsid w:val="00141254"/>
    <w:rsid w:val="0014169F"/>
    <w:rsid w:val="00141B00"/>
    <w:rsid w:val="00141ED8"/>
    <w:rsid w:val="00143A54"/>
    <w:rsid w:val="00143BA7"/>
    <w:rsid w:val="00143E04"/>
    <w:rsid w:val="00143E3E"/>
    <w:rsid w:val="00143EEE"/>
    <w:rsid w:val="001444B7"/>
    <w:rsid w:val="00145035"/>
    <w:rsid w:val="00145C69"/>
    <w:rsid w:val="0014605D"/>
    <w:rsid w:val="00146347"/>
    <w:rsid w:val="00146A17"/>
    <w:rsid w:val="00146C5F"/>
    <w:rsid w:val="001470B6"/>
    <w:rsid w:val="00147CA0"/>
    <w:rsid w:val="00150081"/>
    <w:rsid w:val="00151312"/>
    <w:rsid w:val="00152676"/>
    <w:rsid w:val="00153131"/>
    <w:rsid w:val="00153B7A"/>
    <w:rsid w:val="0015423B"/>
    <w:rsid w:val="0015508B"/>
    <w:rsid w:val="001552FA"/>
    <w:rsid w:val="00155B68"/>
    <w:rsid w:val="00155ECC"/>
    <w:rsid w:val="001562FD"/>
    <w:rsid w:val="00156805"/>
    <w:rsid w:val="00156931"/>
    <w:rsid w:val="001571BA"/>
    <w:rsid w:val="00157920"/>
    <w:rsid w:val="00157A07"/>
    <w:rsid w:val="00157B36"/>
    <w:rsid w:val="00160258"/>
    <w:rsid w:val="0016160F"/>
    <w:rsid w:val="00162519"/>
    <w:rsid w:val="00162BD5"/>
    <w:rsid w:val="00162F64"/>
    <w:rsid w:val="00162FA2"/>
    <w:rsid w:val="00164008"/>
    <w:rsid w:val="00164603"/>
    <w:rsid w:val="0016482C"/>
    <w:rsid w:val="00165F29"/>
    <w:rsid w:val="00167259"/>
    <w:rsid w:val="00167277"/>
    <w:rsid w:val="0016728D"/>
    <w:rsid w:val="001676C8"/>
    <w:rsid w:val="001705A8"/>
    <w:rsid w:val="001711FB"/>
    <w:rsid w:val="00171370"/>
    <w:rsid w:val="00171E45"/>
    <w:rsid w:val="00172257"/>
    <w:rsid w:val="001737B7"/>
    <w:rsid w:val="00173A49"/>
    <w:rsid w:val="00173B22"/>
    <w:rsid w:val="00173C7E"/>
    <w:rsid w:val="00176222"/>
    <w:rsid w:val="001762EF"/>
    <w:rsid w:val="001764B1"/>
    <w:rsid w:val="00176939"/>
    <w:rsid w:val="0017706A"/>
    <w:rsid w:val="001775F2"/>
    <w:rsid w:val="00177732"/>
    <w:rsid w:val="00177832"/>
    <w:rsid w:val="00177C1C"/>
    <w:rsid w:val="00177E58"/>
    <w:rsid w:val="001800FB"/>
    <w:rsid w:val="00180455"/>
    <w:rsid w:val="00180B26"/>
    <w:rsid w:val="001813C5"/>
    <w:rsid w:val="001828A9"/>
    <w:rsid w:val="00182DD4"/>
    <w:rsid w:val="0018355A"/>
    <w:rsid w:val="00183672"/>
    <w:rsid w:val="001836E1"/>
    <w:rsid w:val="00183AE2"/>
    <w:rsid w:val="001840F2"/>
    <w:rsid w:val="001842EE"/>
    <w:rsid w:val="0018435A"/>
    <w:rsid w:val="00184E1D"/>
    <w:rsid w:val="0018570A"/>
    <w:rsid w:val="00185802"/>
    <w:rsid w:val="0018603A"/>
    <w:rsid w:val="001862F5"/>
    <w:rsid w:val="00186365"/>
    <w:rsid w:val="00186E3E"/>
    <w:rsid w:val="00186E8D"/>
    <w:rsid w:val="00187045"/>
    <w:rsid w:val="0019062E"/>
    <w:rsid w:val="00190898"/>
    <w:rsid w:val="00190A43"/>
    <w:rsid w:val="001915E5"/>
    <w:rsid w:val="001916B4"/>
    <w:rsid w:val="001925A8"/>
    <w:rsid w:val="00192A93"/>
    <w:rsid w:val="001934C0"/>
    <w:rsid w:val="00193988"/>
    <w:rsid w:val="00194AE2"/>
    <w:rsid w:val="00196E07"/>
    <w:rsid w:val="00197C76"/>
    <w:rsid w:val="001A0788"/>
    <w:rsid w:val="001A0834"/>
    <w:rsid w:val="001A178C"/>
    <w:rsid w:val="001A19F4"/>
    <w:rsid w:val="001A28BC"/>
    <w:rsid w:val="001A2A58"/>
    <w:rsid w:val="001A351E"/>
    <w:rsid w:val="001A37DF"/>
    <w:rsid w:val="001A3AC2"/>
    <w:rsid w:val="001A428E"/>
    <w:rsid w:val="001A4801"/>
    <w:rsid w:val="001A4CD5"/>
    <w:rsid w:val="001A563C"/>
    <w:rsid w:val="001A6470"/>
    <w:rsid w:val="001A6D32"/>
    <w:rsid w:val="001A7368"/>
    <w:rsid w:val="001A7370"/>
    <w:rsid w:val="001A78A9"/>
    <w:rsid w:val="001B0283"/>
    <w:rsid w:val="001B0969"/>
    <w:rsid w:val="001B0D79"/>
    <w:rsid w:val="001B174E"/>
    <w:rsid w:val="001B1FE7"/>
    <w:rsid w:val="001B2735"/>
    <w:rsid w:val="001B425E"/>
    <w:rsid w:val="001B42B5"/>
    <w:rsid w:val="001B482F"/>
    <w:rsid w:val="001B5B1F"/>
    <w:rsid w:val="001B75FF"/>
    <w:rsid w:val="001C0834"/>
    <w:rsid w:val="001C16C6"/>
    <w:rsid w:val="001C21E9"/>
    <w:rsid w:val="001C3A1E"/>
    <w:rsid w:val="001C3BAB"/>
    <w:rsid w:val="001C3CC4"/>
    <w:rsid w:val="001C4087"/>
    <w:rsid w:val="001C40FB"/>
    <w:rsid w:val="001C5AA4"/>
    <w:rsid w:val="001C6386"/>
    <w:rsid w:val="001C6A58"/>
    <w:rsid w:val="001C7138"/>
    <w:rsid w:val="001C78BB"/>
    <w:rsid w:val="001C7CA4"/>
    <w:rsid w:val="001C7D7C"/>
    <w:rsid w:val="001D043F"/>
    <w:rsid w:val="001D1116"/>
    <w:rsid w:val="001D1230"/>
    <w:rsid w:val="001D1333"/>
    <w:rsid w:val="001D26BE"/>
    <w:rsid w:val="001D2934"/>
    <w:rsid w:val="001D2ABD"/>
    <w:rsid w:val="001D2E68"/>
    <w:rsid w:val="001D30BA"/>
    <w:rsid w:val="001D3DE0"/>
    <w:rsid w:val="001D535F"/>
    <w:rsid w:val="001D5603"/>
    <w:rsid w:val="001D5B50"/>
    <w:rsid w:val="001D6E1B"/>
    <w:rsid w:val="001D6EEF"/>
    <w:rsid w:val="001D7790"/>
    <w:rsid w:val="001E06A3"/>
    <w:rsid w:val="001E090F"/>
    <w:rsid w:val="001E0ABA"/>
    <w:rsid w:val="001E1B84"/>
    <w:rsid w:val="001E25B1"/>
    <w:rsid w:val="001E3225"/>
    <w:rsid w:val="001E3748"/>
    <w:rsid w:val="001E467D"/>
    <w:rsid w:val="001E6F06"/>
    <w:rsid w:val="001E73CD"/>
    <w:rsid w:val="001E759A"/>
    <w:rsid w:val="001F0ECC"/>
    <w:rsid w:val="001F0F78"/>
    <w:rsid w:val="001F13EF"/>
    <w:rsid w:val="001F319C"/>
    <w:rsid w:val="001F3E95"/>
    <w:rsid w:val="001F4171"/>
    <w:rsid w:val="001F4572"/>
    <w:rsid w:val="001F6147"/>
    <w:rsid w:val="001F6AFD"/>
    <w:rsid w:val="001F76C0"/>
    <w:rsid w:val="001F7C38"/>
    <w:rsid w:val="00200C29"/>
    <w:rsid w:val="00200CEC"/>
    <w:rsid w:val="0020100C"/>
    <w:rsid w:val="0020165A"/>
    <w:rsid w:val="00202F68"/>
    <w:rsid w:val="00203031"/>
    <w:rsid w:val="00203088"/>
    <w:rsid w:val="00203090"/>
    <w:rsid w:val="002045FE"/>
    <w:rsid w:val="00205359"/>
    <w:rsid w:val="00205368"/>
    <w:rsid w:val="00205451"/>
    <w:rsid w:val="00205642"/>
    <w:rsid w:val="002064A6"/>
    <w:rsid w:val="00206561"/>
    <w:rsid w:val="00206EFB"/>
    <w:rsid w:val="0020785A"/>
    <w:rsid w:val="0020796D"/>
    <w:rsid w:val="00210389"/>
    <w:rsid w:val="002105BB"/>
    <w:rsid w:val="002108B7"/>
    <w:rsid w:val="0021129C"/>
    <w:rsid w:val="00212C11"/>
    <w:rsid w:val="00212D2E"/>
    <w:rsid w:val="00213215"/>
    <w:rsid w:val="00213522"/>
    <w:rsid w:val="00213988"/>
    <w:rsid w:val="00213C7E"/>
    <w:rsid w:val="002147D0"/>
    <w:rsid w:val="00214D1F"/>
    <w:rsid w:val="00214F12"/>
    <w:rsid w:val="00214FAA"/>
    <w:rsid w:val="002151CC"/>
    <w:rsid w:val="00215268"/>
    <w:rsid w:val="0021529C"/>
    <w:rsid w:val="0021568F"/>
    <w:rsid w:val="00215E6B"/>
    <w:rsid w:val="002161D0"/>
    <w:rsid w:val="002177E4"/>
    <w:rsid w:val="00217EF3"/>
    <w:rsid w:val="0022074B"/>
    <w:rsid w:val="002226C2"/>
    <w:rsid w:val="00224412"/>
    <w:rsid w:val="0022449F"/>
    <w:rsid w:val="00224BB9"/>
    <w:rsid w:val="00226E4A"/>
    <w:rsid w:val="00226F58"/>
    <w:rsid w:val="002275E9"/>
    <w:rsid w:val="00227875"/>
    <w:rsid w:val="00227E16"/>
    <w:rsid w:val="00230F05"/>
    <w:rsid w:val="00231870"/>
    <w:rsid w:val="00231FEF"/>
    <w:rsid w:val="00232502"/>
    <w:rsid w:val="0023268D"/>
    <w:rsid w:val="00232735"/>
    <w:rsid w:val="00232A2D"/>
    <w:rsid w:val="00233562"/>
    <w:rsid w:val="00234F20"/>
    <w:rsid w:val="00235510"/>
    <w:rsid w:val="002357FD"/>
    <w:rsid w:val="00236059"/>
    <w:rsid w:val="00236705"/>
    <w:rsid w:val="002367EC"/>
    <w:rsid w:val="002367F6"/>
    <w:rsid w:val="00236F84"/>
    <w:rsid w:val="00236FF3"/>
    <w:rsid w:val="0023742A"/>
    <w:rsid w:val="0023750A"/>
    <w:rsid w:val="002375A1"/>
    <w:rsid w:val="0023775C"/>
    <w:rsid w:val="00237E51"/>
    <w:rsid w:val="00237F57"/>
    <w:rsid w:val="00240004"/>
    <w:rsid w:val="002415B8"/>
    <w:rsid w:val="0024208E"/>
    <w:rsid w:val="00242364"/>
    <w:rsid w:val="00242DA2"/>
    <w:rsid w:val="002439AE"/>
    <w:rsid w:val="00244561"/>
    <w:rsid w:val="00245502"/>
    <w:rsid w:val="00246303"/>
    <w:rsid w:val="002466B5"/>
    <w:rsid w:val="002467D4"/>
    <w:rsid w:val="0024713F"/>
    <w:rsid w:val="0024749C"/>
    <w:rsid w:val="002500A4"/>
    <w:rsid w:val="002506D8"/>
    <w:rsid w:val="00251A55"/>
    <w:rsid w:val="00251D42"/>
    <w:rsid w:val="00251D83"/>
    <w:rsid w:val="00251D84"/>
    <w:rsid w:val="002525BA"/>
    <w:rsid w:val="002532F3"/>
    <w:rsid w:val="00253C82"/>
    <w:rsid w:val="00253E87"/>
    <w:rsid w:val="00254817"/>
    <w:rsid w:val="0025544D"/>
    <w:rsid w:val="002554BA"/>
    <w:rsid w:val="002561D5"/>
    <w:rsid w:val="00256829"/>
    <w:rsid w:val="00256AD3"/>
    <w:rsid w:val="00256B7A"/>
    <w:rsid w:val="00257185"/>
    <w:rsid w:val="00257874"/>
    <w:rsid w:val="00257EF4"/>
    <w:rsid w:val="00260406"/>
    <w:rsid w:val="00260798"/>
    <w:rsid w:val="002608F5"/>
    <w:rsid w:val="00260F78"/>
    <w:rsid w:val="00261E90"/>
    <w:rsid w:val="00261ED2"/>
    <w:rsid w:val="00261F2C"/>
    <w:rsid w:val="0026228B"/>
    <w:rsid w:val="00262BB0"/>
    <w:rsid w:val="00262D00"/>
    <w:rsid w:val="00262FA9"/>
    <w:rsid w:val="00263020"/>
    <w:rsid w:val="002642E7"/>
    <w:rsid w:val="00264A67"/>
    <w:rsid w:val="00264B7C"/>
    <w:rsid w:val="00264FB0"/>
    <w:rsid w:val="002662BD"/>
    <w:rsid w:val="00266A41"/>
    <w:rsid w:val="00266B4F"/>
    <w:rsid w:val="00267320"/>
    <w:rsid w:val="00267683"/>
    <w:rsid w:val="00267732"/>
    <w:rsid w:val="00267A2A"/>
    <w:rsid w:val="002706FC"/>
    <w:rsid w:val="0027078B"/>
    <w:rsid w:val="00270813"/>
    <w:rsid w:val="00273981"/>
    <w:rsid w:val="00273DD1"/>
    <w:rsid w:val="0027545E"/>
    <w:rsid w:val="00275B9C"/>
    <w:rsid w:val="00276CD6"/>
    <w:rsid w:val="00276D4C"/>
    <w:rsid w:val="00277375"/>
    <w:rsid w:val="002778FA"/>
    <w:rsid w:val="00277973"/>
    <w:rsid w:val="0028024A"/>
    <w:rsid w:val="00281985"/>
    <w:rsid w:val="00281B87"/>
    <w:rsid w:val="00282A5F"/>
    <w:rsid w:val="00282FEC"/>
    <w:rsid w:val="002830CE"/>
    <w:rsid w:val="002833FC"/>
    <w:rsid w:val="00283449"/>
    <w:rsid w:val="002838E5"/>
    <w:rsid w:val="00283D5B"/>
    <w:rsid w:val="0028533B"/>
    <w:rsid w:val="00285412"/>
    <w:rsid w:val="002858B9"/>
    <w:rsid w:val="00285D1A"/>
    <w:rsid w:val="0028615E"/>
    <w:rsid w:val="00286198"/>
    <w:rsid w:val="002866B4"/>
    <w:rsid w:val="00286C65"/>
    <w:rsid w:val="0028784B"/>
    <w:rsid w:val="0029088D"/>
    <w:rsid w:val="0029151A"/>
    <w:rsid w:val="00291603"/>
    <w:rsid w:val="002919E7"/>
    <w:rsid w:val="002923FA"/>
    <w:rsid w:val="00294149"/>
    <w:rsid w:val="002942D6"/>
    <w:rsid w:val="002945A6"/>
    <w:rsid w:val="0029490D"/>
    <w:rsid w:val="00294D30"/>
    <w:rsid w:val="00295B72"/>
    <w:rsid w:val="00295D25"/>
    <w:rsid w:val="00296A5D"/>
    <w:rsid w:val="002972AA"/>
    <w:rsid w:val="00297B4D"/>
    <w:rsid w:val="002A12DB"/>
    <w:rsid w:val="002A1491"/>
    <w:rsid w:val="002A1D7D"/>
    <w:rsid w:val="002A1FDC"/>
    <w:rsid w:val="002A21E2"/>
    <w:rsid w:val="002A236F"/>
    <w:rsid w:val="002A30BF"/>
    <w:rsid w:val="002A3410"/>
    <w:rsid w:val="002A4353"/>
    <w:rsid w:val="002A4744"/>
    <w:rsid w:val="002A47C4"/>
    <w:rsid w:val="002A552A"/>
    <w:rsid w:val="002A6D7D"/>
    <w:rsid w:val="002B0522"/>
    <w:rsid w:val="002B059C"/>
    <w:rsid w:val="002B07BA"/>
    <w:rsid w:val="002B1171"/>
    <w:rsid w:val="002B18EA"/>
    <w:rsid w:val="002B1FA6"/>
    <w:rsid w:val="002B2002"/>
    <w:rsid w:val="002B2C72"/>
    <w:rsid w:val="002B400C"/>
    <w:rsid w:val="002B49FE"/>
    <w:rsid w:val="002B5931"/>
    <w:rsid w:val="002B5967"/>
    <w:rsid w:val="002B5B11"/>
    <w:rsid w:val="002B6026"/>
    <w:rsid w:val="002B6666"/>
    <w:rsid w:val="002B6BF9"/>
    <w:rsid w:val="002B6D0C"/>
    <w:rsid w:val="002B714E"/>
    <w:rsid w:val="002C0266"/>
    <w:rsid w:val="002C031E"/>
    <w:rsid w:val="002C1146"/>
    <w:rsid w:val="002C1204"/>
    <w:rsid w:val="002C149B"/>
    <w:rsid w:val="002C1AA9"/>
    <w:rsid w:val="002C2644"/>
    <w:rsid w:val="002C29A1"/>
    <w:rsid w:val="002C2E31"/>
    <w:rsid w:val="002C3173"/>
    <w:rsid w:val="002C3202"/>
    <w:rsid w:val="002C3E4D"/>
    <w:rsid w:val="002C46BD"/>
    <w:rsid w:val="002C4E50"/>
    <w:rsid w:val="002C5355"/>
    <w:rsid w:val="002C62B5"/>
    <w:rsid w:val="002C6714"/>
    <w:rsid w:val="002C68AD"/>
    <w:rsid w:val="002C721E"/>
    <w:rsid w:val="002D0667"/>
    <w:rsid w:val="002D0AC0"/>
    <w:rsid w:val="002D0B34"/>
    <w:rsid w:val="002D28EA"/>
    <w:rsid w:val="002D2B06"/>
    <w:rsid w:val="002D3017"/>
    <w:rsid w:val="002D302C"/>
    <w:rsid w:val="002D3971"/>
    <w:rsid w:val="002D3D6D"/>
    <w:rsid w:val="002D427D"/>
    <w:rsid w:val="002D5C13"/>
    <w:rsid w:val="002D673B"/>
    <w:rsid w:val="002D7AE2"/>
    <w:rsid w:val="002E02FD"/>
    <w:rsid w:val="002E088D"/>
    <w:rsid w:val="002E1145"/>
    <w:rsid w:val="002E2492"/>
    <w:rsid w:val="002E2EDD"/>
    <w:rsid w:val="002E311B"/>
    <w:rsid w:val="002E49A9"/>
    <w:rsid w:val="002E4A74"/>
    <w:rsid w:val="002E5785"/>
    <w:rsid w:val="002E5C6F"/>
    <w:rsid w:val="002E5F12"/>
    <w:rsid w:val="002E6175"/>
    <w:rsid w:val="002E697E"/>
    <w:rsid w:val="002E6A22"/>
    <w:rsid w:val="002E7259"/>
    <w:rsid w:val="002E7F66"/>
    <w:rsid w:val="002E7FF1"/>
    <w:rsid w:val="002F08BE"/>
    <w:rsid w:val="002F0EC5"/>
    <w:rsid w:val="002F0FE1"/>
    <w:rsid w:val="002F2490"/>
    <w:rsid w:val="002F2ED3"/>
    <w:rsid w:val="002F3C89"/>
    <w:rsid w:val="002F411D"/>
    <w:rsid w:val="002F44C7"/>
    <w:rsid w:val="002F4A79"/>
    <w:rsid w:val="002F5CE5"/>
    <w:rsid w:val="002F73DC"/>
    <w:rsid w:val="002F7C4D"/>
    <w:rsid w:val="002F7FCD"/>
    <w:rsid w:val="002F7FE4"/>
    <w:rsid w:val="003000E6"/>
    <w:rsid w:val="0030012E"/>
    <w:rsid w:val="003017CB"/>
    <w:rsid w:val="00302020"/>
    <w:rsid w:val="0030217D"/>
    <w:rsid w:val="003026F9"/>
    <w:rsid w:val="00302BF6"/>
    <w:rsid w:val="00302ECE"/>
    <w:rsid w:val="003034A5"/>
    <w:rsid w:val="003038B9"/>
    <w:rsid w:val="003047A4"/>
    <w:rsid w:val="00304CCE"/>
    <w:rsid w:val="00304E40"/>
    <w:rsid w:val="00304F2C"/>
    <w:rsid w:val="0030501F"/>
    <w:rsid w:val="003054F6"/>
    <w:rsid w:val="0030626C"/>
    <w:rsid w:val="003067BC"/>
    <w:rsid w:val="00306D31"/>
    <w:rsid w:val="0030785C"/>
    <w:rsid w:val="00311D52"/>
    <w:rsid w:val="003120CD"/>
    <w:rsid w:val="0031271E"/>
    <w:rsid w:val="00312739"/>
    <w:rsid w:val="00313758"/>
    <w:rsid w:val="00313A96"/>
    <w:rsid w:val="003144CF"/>
    <w:rsid w:val="00315673"/>
    <w:rsid w:val="0031667B"/>
    <w:rsid w:val="003168F2"/>
    <w:rsid w:val="00316AB5"/>
    <w:rsid w:val="0032074A"/>
    <w:rsid w:val="00320B55"/>
    <w:rsid w:val="0032157D"/>
    <w:rsid w:val="00322338"/>
    <w:rsid w:val="003223C1"/>
    <w:rsid w:val="00322523"/>
    <w:rsid w:val="00322674"/>
    <w:rsid w:val="003234C8"/>
    <w:rsid w:val="00323890"/>
    <w:rsid w:val="00325812"/>
    <w:rsid w:val="003260F9"/>
    <w:rsid w:val="003264CE"/>
    <w:rsid w:val="003267D4"/>
    <w:rsid w:val="00326B1C"/>
    <w:rsid w:val="0032726B"/>
    <w:rsid w:val="00327558"/>
    <w:rsid w:val="00327A38"/>
    <w:rsid w:val="00327B68"/>
    <w:rsid w:val="0033011F"/>
    <w:rsid w:val="00330D13"/>
    <w:rsid w:val="00330DEA"/>
    <w:rsid w:val="00331248"/>
    <w:rsid w:val="003316DB"/>
    <w:rsid w:val="00332A8A"/>
    <w:rsid w:val="00332F5A"/>
    <w:rsid w:val="00332FD9"/>
    <w:rsid w:val="00333383"/>
    <w:rsid w:val="003334B2"/>
    <w:rsid w:val="0033428A"/>
    <w:rsid w:val="00334757"/>
    <w:rsid w:val="00334975"/>
    <w:rsid w:val="00335871"/>
    <w:rsid w:val="00335929"/>
    <w:rsid w:val="00335F7F"/>
    <w:rsid w:val="0033613E"/>
    <w:rsid w:val="0033646F"/>
    <w:rsid w:val="003374D8"/>
    <w:rsid w:val="003403CA"/>
    <w:rsid w:val="00341487"/>
    <w:rsid w:val="00342230"/>
    <w:rsid w:val="003424E3"/>
    <w:rsid w:val="00342613"/>
    <w:rsid w:val="00342A9A"/>
    <w:rsid w:val="00343112"/>
    <w:rsid w:val="003439A7"/>
    <w:rsid w:val="00343AC8"/>
    <w:rsid w:val="00344363"/>
    <w:rsid w:val="003457BB"/>
    <w:rsid w:val="00345BFD"/>
    <w:rsid w:val="00345F2B"/>
    <w:rsid w:val="00346921"/>
    <w:rsid w:val="00347760"/>
    <w:rsid w:val="003477DE"/>
    <w:rsid w:val="00347EEA"/>
    <w:rsid w:val="003504E4"/>
    <w:rsid w:val="00350607"/>
    <w:rsid w:val="0035162F"/>
    <w:rsid w:val="003526E4"/>
    <w:rsid w:val="0035281A"/>
    <w:rsid w:val="0035323D"/>
    <w:rsid w:val="00353B65"/>
    <w:rsid w:val="00353F1D"/>
    <w:rsid w:val="00353F2F"/>
    <w:rsid w:val="0035442F"/>
    <w:rsid w:val="003551EB"/>
    <w:rsid w:val="0035533D"/>
    <w:rsid w:val="00355BA4"/>
    <w:rsid w:val="00355CB2"/>
    <w:rsid w:val="00357AF1"/>
    <w:rsid w:val="00357D1E"/>
    <w:rsid w:val="00360786"/>
    <w:rsid w:val="00360960"/>
    <w:rsid w:val="00360ED0"/>
    <w:rsid w:val="00361B6D"/>
    <w:rsid w:val="00362ABE"/>
    <w:rsid w:val="00362BC0"/>
    <w:rsid w:val="00362C9C"/>
    <w:rsid w:val="0036366A"/>
    <w:rsid w:val="0036389D"/>
    <w:rsid w:val="003640BF"/>
    <w:rsid w:val="00365ABE"/>
    <w:rsid w:val="003662E2"/>
    <w:rsid w:val="0036636B"/>
    <w:rsid w:val="003664A5"/>
    <w:rsid w:val="003670DE"/>
    <w:rsid w:val="00367473"/>
    <w:rsid w:val="0037086B"/>
    <w:rsid w:val="003720F1"/>
    <w:rsid w:val="00372341"/>
    <w:rsid w:val="0037259C"/>
    <w:rsid w:val="00372AEC"/>
    <w:rsid w:val="003730DB"/>
    <w:rsid w:val="00373256"/>
    <w:rsid w:val="00373EC9"/>
    <w:rsid w:val="00374802"/>
    <w:rsid w:val="00375E42"/>
    <w:rsid w:val="003761AA"/>
    <w:rsid w:val="00377404"/>
    <w:rsid w:val="00377EB6"/>
    <w:rsid w:val="0038029B"/>
    <w:rsid w:val="003802A5"/>
    <w:rsid w:val="00380586"/>
    <w:rsid w:val="003812A6"/>
    <w:rsid w:val="003821E6"/>
    <w:rsid w:val="00382622"/>
    <w:rsid w:val="003832FB"/>
    <w:rsid w:val="00383A3A"/>
    <w:rsid w:val="00384491"/>
    <w:rsid w:val="00384A40"/>
    <w:rsid w:val="003851CC"/>
    <w:rsid w:val="003854FB"/>
    <w:rsid w:val="003863D3"/>
    <w:rsid w:val="00390E4D"/>
    <w:rsid w:val="0039175A"/>
    <w:rsid w:val="003936A8"/>
    <w:rsid w:val="00393DDA"/>
    <w:rsid w:val="0039493F"/>
    <w:rsid w:val="003959AF"/>
    <w:rsid w:val="003A0354"/>
    <w:rsid w:val="003A157E"/>
    <w:rsid w:val="003A1B56"/>
    <w:rsid w:val="003A1FCA"/>
    <w:rsid w:val="003A4A0F"/>
    <w:rsid w:val="003A4D9C"/>
    <w:rsid w:val="003A6214"/>
    <w:rsid w:val="003A7062"/>
    <w:rsid w:val="003A764B"/>
    <w:rsid w:val="003A7872"/>
    <w:rsid w:val="003B0017"/>
    <w:rsid w:val="003B08E7"/>
    <w:rsid w:val="003B165E"/>
    <w:rsid w:val="003B1CA6"/>
    <w:rsid w:val="003B2BC9"/>
    <w:rsid w:val="003B3149"/>
    <w:rsid w:val="003B34DA"/>
    <w:rsid w:val="003B43EF"/>
    <w:rsid w:val="003B55B3"/>
    <w:rsid w:val="003C12BF"/>
    <w:rsid w:val="003C12C9"/>
    <w:rsid w:val="003C2812"/>
    <w:rsid w:val="003C2BD5"/>
    <w:rsid w:val="003C2CFF"/>
    <w:rsid w:val="003C3D07"/>
    <w:rsid w:val="003C4B37"/>
    <w:rsid w:val="003C4EAD"/>
    <w:rsid w:val="003C4F7D"/>
    <w:rsid w:val="003C5256"/>
    <w:rsid w:val="003C5267"/>
    <w:rsid w:val="003C5C35"/>
    <w:rsid w:val="003C5DBB"/>
    <w:rsid w:val="003C6192"/>
    <w:rsid w:val="003C7FE3"/>
    <w:rsid w:val="003D0E35"/>
    <w:rsid w:val="003D12F3"/>
    <w:rsid w:val="003D1BA5"/>
    <w:rsid w:val="003D1C80"/>
    <w:rsid w:val="003D2DBD"/>
    <w:rsid w:val="003D3280"/>
    <w:rsid w:val="003D3EAF"/>
    <w:rsid w:val="003D453C"/>
    <w:rsid w:val="003D4CEB"/>
    <w:rsid w:val="003D55FF"/>
    <w:rsid w:val="003D7545"/>
    <w:rsid w:val="003E0115"/>
    <w:rsid w:val="003E0507"/>
    <w:rsid w:val="003E1C2D"/>
    <w:rsid w:val="003E25F3"/>
    <w:rsid w:val="003E2699"/>
    <w:rsid w:val="003E27F8"/>
    <w:rsid w:val="003E3221"/>
    <w:rsid w:val="003E339E"/>
    <w:rsid w:val="003E33B9"/>
    <w:rsid w:val="003E3A99"/>
    <w:rsid w:val="003E3B60"/>
    <w:rsid w:val="003E4541"/>
    <w:rsid w:val="003E4599"/>
    <w:rsid w:val="003E4777"/>
    <w:rsid w:val="003E47F7"/>
    <w:rsid w:val="003E52F2"/>
    <w:rsid w:val="003E65A1"/>
    <w:rsid w:val="003E6D13"/>
    <w:rsid w:val="003E6E30"/>
    <w:rsid w:val="003E7342"/>
    <w:rsid w:val="003E757C"/>
    <w:rsid w:val="003E7C0B"/>
    <w:rsid w:val="003E7E0C"/>
    <w:rsid w:val="003F03F9"/>
    <w:rsid w:val="003F0D12"/>
    <w:rsid w:val="003F133C"/>
    <w:rsid w:val="003F1665"/>
    <w:rsid w:val="003F174E"/>
    <w:rsid w:val="003F28CD"/>
    <w:rsid w:val="003F3173"/>
    <w:rsid w:val="003F3418"/>
    <w:rsid w:val="003F3D99"/>
    <w:rsid w:val="003F4070"/>
    <w:rsid w:val="003F427E"/>
    <w:rsid w:val="003F432F"/>
    <w:rsid w:val="003F48E3"/>
    <w:rsid w:val="003F49AB"/>
    <w:rsid w:val="003F5B81"/>
    <w:rsid w:val="003F6A8C"/>
    <w:rsid w:val="003F74B1"/>
    <w:rsid w:val="003F7E8D"/>
    <w:rsid w:val="00400125"/>
    <w:rsid w:val="004004B4"/>
    <w:rsid w:val="00400A51"/>
    <w:rsid w:val="00400F4E"/>
    <w:rsid w:val="004025F8"/>
    <w:rsid w:val="004036E0"/>
    <w:rsid w:val="0040408A"/>
    <w:rsid w:val="00404096"/>
    <w:rsid w:val="00404F1C"/>
    <w:rsid w:val="004052D6"/>
    <w:rsid w:val="00407474"/>
    <w:rsid w:val="00407C84"/>
    <w:rsid w:val="004100F1"/>
    <w:rsid w:val="00410FD7"/>
    <w:rsid w:val="0041155A"/>
    <w:rsid w:val="004121E7"/>
    <w:rsid w:val="00412C6E"/>
    <w:rsid w:val="004143E6"/>
    <w:rsid w:val="00414A00"/>
    <w:rsid w:val="004161E0"/>
    <w:rsid w:val="00416805"/>
    <w:rsid w:val="0041771E"/>
    <w:rsid w:val="00417F80"/>
    <w:rsid w:val="00417FFC"/>
    <w:rsid w:val="0042015A"/>
    <w:rsid w:val="004201E4"/>
    <w:rsid w:val="0042060F"/>
    <w:rsid w:val="00420801"/>
    <w:rsid w:val="00421BF4"/>
    <w:rsid w:val="00421D7A"/>
    <w:rsid w:val="00421ED5"/>
    <w:rsid w:val="004224C8"/>
    <w:rsid w:val="004226AD"/>
    <w:rsid w:val="00422EF7"/>
    <w:rsid w:val="00423962"/>
    <w:rsid w:val="0042404E"/>
    <w:rsid w:val="00424456"/>
    <w:rsid w:val="00424698"/>
    <w:rsid w:val="00424EFB"/>
    <w:rsid w:val="00424F05"/>
    <w:rsid w:val="004252AA"/>
    <w:rsid w:val="004262D8"/>
    <w:rsid w:val="0042786E"/>
    <w:rsid w:val="00432671"/>
    <w:rsid w:val="00432E0A"/>
    <w:rsid w:val="004338FA"/>
    <w:rsid w:val="00433D52"/>
    <w:rsid w:val="004372F1"/>
    <w:rsid w:val="00437AAF"/>
    <w:rsid w:val="00437C11"/>
    <w:rsid w:val="0044016B"/>
    <w:rsid w:val="004403D7"/>
    <w:rsid w:val="0044051D"/>
    <w:rsid w:val="00440715"/>
    <w:rsid w:val="00441C13"/>
    <w:rsid w:val="00441EFA"/>
    <w:rsid w:val="004425DD"/>
    <w:rsid w:val="00443162"/>
    <w:rsid w:val="0044368A"/>
    <w:rsid w:val="00443869"/>
    <w:rsid w:val="00443E01"/>
    <w:rsid w:val="004449CA"/>
    <w:rsid w:val="00444C9A"/>
    <w:rsid w:val="00444E5C"/>
    <w:rsid w:val="00444F49"/>
    <w:rsid w:val="00445BD8"/>
    <w:rsid w:val="00445F0E"/>
    <w:rsid w:val="00446004"/>
    <w:rsid w:val="004471D5"/>
    <w:rsid w:val="004472A5"/>
    <w:rsid w:val="0045070E"/>
    <w:rsid w:val="004521D7"/>
    <w:rsid w:val="00452419"/>
    <w:rsid w:val="00452636"/>
    <w:rsid w:val="00452821"/>
    <w:rsid w:val="00452D04"/>
    <w:rsid w:val="004530BA"/>
    <w:rsid w:val="004532CA"/>
    <w:rsid w:val="00453376"/>
    <w:rsid w:val="00453594"/>
    <w:rsid w:val="00453725"/>
    <w:rsid w:val="00453F35"/>
    <w:rsid w:val="00455247"/>
    <w:rsid w:val="00455776"/>
    <w:rsid w:val="00455925"/>
    <w:rsid w:val="00455DBD"/>
    <w:rsid w:val="00456080"/>
    <w:rsid w:val="00456650"/>
    <w:rsid w:val="00456A24"/>
    <w:rsid w:val="00457CA6"/>
    <w:rsid w:val="00460DD7"/>
    <w:rsid w:val="00461401"/>
    <w:rsid w:val="004617CF"/>
    <w:rsid w:val="00462750"/>
    <w:rsid w:val="00463AB5"/>
    <w:rsid w:val="00464A57"/>
    <w:rsid w:val="00464E4C"/>
    <w:rsid w:val="00464E9A"/>
    <w:rsid w:val="00465019"/>
    <w:rsid w:val="00466BD7"/>
    <w:rsid w:val="00466D24"/>
    <w:rsid w:val="00470306"/>
    <w:rsid w:val="004710A2"/>
    <w:rsid w:val="00472CDA"/>
    <w:rsid w:val="00472CF8"/>
    <w:rsid w:val="00473464"/>
    <w:rsid w:val="00473DFF"/>
    <w:rsid w:val="0047625F"/>
    <w:rsid w:val="004770BC"/>
    <w:rsid w:val="00480079"/>
    <w:rsid w:val="00480503"/>
    <w:rsid w:val="00481990"/>
    <w:rsid w:val="00481A27"/>
    <w:rsid w:val="0048209D"/>
    <w:rsid w:val="00482667"/>
    <w:rsid w:val="004833C6"/>
    <w:rsid w:val="0048349A"/>
    <w:rsid w:val="00483612"/>
    <w:rsid w:val="00483DD7"/>
    <w:rsid w:val="004841F6"/>
    <w:rsid w:val="00485131"/>
    <w:rsid w:val="004851BC"/>
    <w:rsid w:val="00485B08"/>
    <w:rsid w:val="004868F8"/>
    <w:rsid w:val="00487098"/>
    <w:rsid w:val="0048718E"/>
    <w:rsid w:val="0048772D"/>
    <w:rsid w:val="004905EE"/>
    <w:rsid w:val="00490786"/>
    <w:rsid w:val="004916A4"/>
    <w:rsid w:val="00491799"/>
    <w:rsid w:val="0049229A"/>
    <w:rsid w:val="00492534"/>
    <w:rsid w:val="00492B70"/>
    <w:rsid w:val="00492C58"/>
    <w:rsid w:val="00494125"/>
    <w:rsid w:val="004944FA"/>
    <w:rsid w:val="0049520B"/>
    <w:rsid w:val="004954A2"/>
    <w:rsid w:val="00495770"/>
    <w:rsid w:val="0049580A"/>
    <w:rsid w:val="00495AFF"/>
    <w:rsid w:val="00495CF4"/>
    <w:rsid w:val="004967F7"/>
    <w:rsid w:val="00496CB7"/>
    <w:rsid w:val="0049707E"/>
    <w:rsid w:val="0049727A"/>
    <w:rsid w:val="00497C57"/>
    <w:rsid w:val="00497EB4"/>
    <w:rsid w:val="004A00B3"/>
    <w:rsid w:val="004A0317"/>
    <w:rsid w:val="004A1B55"/>
    <w:rsid w:val="004A1F1B"/>
    <w:rsid w:val="004A278B"/>
    <w:rsid w:val="004A2B1F"/>
    <w:rsid w:val="004A3B70"/>
    <w:rsid w:val="004A4A87"/>
    <w:rsid w:val="004A6315"/>
    <w:rsid w:val="004A6C03"/>
    <w:rsid w:val="004A7376"/>
    <w:rsid w:val="004A7492"/>
    <w:rsid w:val="004A756E"/>
    <w:rsid w:val="004A7AB2"/>
    <w:rsid w:val="004B0C17"/>
    <w:rsid w:val="004B0C33"/>
    <w:rsid w:val="004B198C"/>
    <w:rsid w:val="004B3DAE"/>
    <w:rsid w:val="004B3FCA"/>
    <w:rsid w:val="004B46C1"/>
    <w:rsid w:val="004B5128"/>
    <w:rsid w:val="004B5A63"/>
    <w:rsid w:val="004B5FC5"/>
    <w:rsid w:val="004B65BD"/>
    <w:rsid w:val="004B691B"/>
    <w:rsid w:val="004B6B80"/>
    <w:rsid w:val="004B720F"/>
    <w:rsid w:val="004B7328"/>
    <w:rsid w:val="004B73D9"/>
    <w:rsid w:val="004B764F"/>
    <w:rsid w:val="004B7F91"/>
    <w:rsid w:val="004C00AF"/>
    <w:rsid w:val="004C02AB"/>
    <w:rsid w:val="004C065E"/>
    <w:rsid w:val="004C0C93"/>
    <w:rsid w:val="004C1DB2"/>
    <w:rsid w:val="004C1E87"/>
    <w:rsid w:val="004C3004"/>
    <w:rsid w:val="004C347E"/>
    <w:rsid w:val="004C36B6"/>
    <w:rsid w:val="004C4BF4"/>
    <w:rsid w:val="004C5830"/>
    <w:rsid w:val="004C7178"/>
    <w:rsid w:val="004C794D"/>
    <w:rsid w:val="004C7F87"/>
    <w:rsid w:val="004D15BC"/>
    <w:rsid w:val="004D16DB"/>
    <w:rsid w:val="004D1E5B"/>
    <w:rsid w:val="004D2619"/>
    <w:rsid w:val="004D335E"/>
    <w:rsid w:val="004D355D"/>
    <w:rsid w:val="004D3DC7"/>
    <w:rsid w:val="004D4352"/>
    <w:rsid w:val="004D5169"/>
    <w:rsid w:val="004D5270"/>
    <w:rsid w:val="004D558C"/>
    <w:rsid w:val="004D624E"/>
    <w:rsid w:val="004D67DA"/>
    <w:rsid w:val="004D7001"/>
    <w:rsid w:val="004D71F5"/>
    <w:rsid w:val="004E05C0"/>
    <w:rsid w:val="004E0611"/>
    <w:rsid w:val="004E08CF"/>
    <w:rsid w:val="004E0A2F"/>
    <w:rsid w:val="004E0A7B"/>
    <w:rsid w:val="004E0BCF"/>
    <w:rsid w:val="004E0EA9"/>
    <w:rsid w:val="004E10AA"/>
    <w:rsid w:val="004E1519"/>
    <w:rsid w:val="004E2131"/>
    <w:rsid w:val="004E254F"/>
    <w:rsid w:val="004E345D"/>
    <w:rsid w:val="004E38E0"/>
    <w:rsid w:val="004E3A08"/>
    <w:rsid w:val="004E3C52"/>
    <w:rsid w:val="004E4082"/>
    <w:rsid w:val="004E4884"/>
    <w:rsid w:val="004E49A3"/>
    <w:rsid w:val="004E4AEF"/>
    <w:rsid w:val="004E5B0C"/>
    <w:rsid w:val="004E5C11"/>
    <w:rsid w:val="004E5CE4"/>
    <w:rsid w:val="004E61D7"/>
    <w:rsid w:val="004E7982"/>
    <w:rsid w:val="004E7E4F"/>
    <w:rsid w:val="004F0B7B"/>
    <w:rsid w:val="004F0C44"/>
    <w:rsid w:val="004F0CE5"/>
    <w:rsid w:val="004F1144"/>
    <w:rsid w:val="004F16BE"/>
    <w:rsid w:val="004F1765"/>
    <w:rsid w:val="004F2BA9"/>
    <w:rsid w:val="004F2CBC"/>
    <w:rsid w:val="004F2E32"/>
    <w:rsid w:val="004F3021"/>
    <w:rsid w:val="004F33D6"/>
    <w:rsid w:val="004F36F2"/>
    <w:rsid w:val="004F3961"/>
    <w:rsid w:val="004F3D3C"/>
    <w:rsid w:val="004F43DB"/>
    <w:rsid w:val="004F44D0"/>
    <w:rsid w:val="004F4508"/>
    <w:rsid w:val="004F4DB6"/>
    <w:rsid w:val="004F4F7E"/>
    <w:rsid w:val="004F5D0C"/>
    <w:rsid w:val="004F67C6"/>
    <w:rsid w:val="004F7038"/>
    <w:rsid w:val="004F7B00"/>
    <w:rsid w:val="004F7BA7"/>
    <w:rsid w:val="005003B6"/>
    <w:rsid w:val="005003D4"/>
    <w:rsid w:val="00500A1E"/>
    <w:rsid w:val="00501734"/>
    <w:rsid w:val="005017C8"/>
    <w:rsid w:val="005023B6"/>
    <w:rsid w:val="0050272F"/>
    <w:rsid w:val="00504BD4"/>
    <w:rsid w:val="00505070"/>
    <w:rsid w:val="005056CD"/>
    <w:rsid w:val="0050597D"/>
    <w:rsid w:val="0050625B"/>
    <w:rsid w:val="0050688E"/>
    <w:rsid w:val="00507C5C"/>
    <w:rsid w:val="00510093"/>
    <w:rsid w:val="005101D8"/>
    <w:rsid w:val="00510945"/>
    <w:rsid w:val="00510BB5"/>
    <w:rsid w:val="00510BEA"/>
    <w:rsid w:val="0051128D"/>
    <w:rsid w:val="00511922"/>
    <w:rsid w:val="00511EB8"/>
    <w:rsid w:val="005121DD"/>
    <w:rsid w:val="005122D4"/>
    <w:rsid w:val="005131BD"/>
    <w:rsid w:val="00515FCF"/>
    <w:rsid w:val="005163C1"/>
    <w:rsid w:val="0051795D"/>
    <w:rsid w:val="00517978"/>
    <w:rsid w:val="005202DD"/>
    <w:rsid w:val="005208F7"/>
    <w:rsid w:val="00523173"/>
    <w:rsid w:val="00523C93"/>
    <w:rsid w:val="005241C4"/>
    <w:rsid w:val="0052494F"/>
    <w:rsid w:val="00524DC2"/>
    <w:rsid w:val="00525C89"/>
    <w:rsid w:val="005264E0"/>
    <w:rsid w:val="00527A42"/>
    <w:rsid w:val="00530D29"/>
    <w:rsid w:val="00531863"/>
    <w:rsid w:val="00531EC0"/>
    <w:rsid w:val="005328C0"/>
    <w:rsid w:val="00532E42"/>
    <w:rsid w:val="00532E7F"/>
    <w:rsid w:val="00533106"/>
    <w:rsid w:val="00533828"/>
    <w:rsid w:val="005339BF"/>
    <w:rsid w:val="00534F7C"/>
    <w:rsid w:val="0053534F"/>
    <w:rsid w:val="005356C3"/>
    <w:rsid w:val="00535A2E"/>
    <w:rsid w:val="00536340"/>
    <w:rsid w:val="0053640F"/>
    <w:rsid w:val="00537452"/>
    <w:rsid w:val="00537917"/>
    <w:rsid w:val="0054203F"/>
    <w:rsid w:val="00542EC6"/>
    <w:rsid w:val="00543024"/>
    <w:rsid w:val="0054452D"/>
    <w:rsid w:val="005447FB"/>
    <w:rsid w:val="00546859"/>
    <w:rsid w:val="00546C12"/>
    <w:rsid w:val="00547A2C"/>
    <w:rsid w:val="00547AEC"/>
    <w:rsid w:val="00550073"/>
    <w:rsid w:val="005501DB"/>
    <w:rsid w:val="00550499"/>
    <w:rsid w:val="00550A06"/>
    <w:rsid w:val="00550BFF"/>
    <w:rsid w:val="00551380"/>
    <w:rsid w:val="0055146F"/>
    <w:rsid w:val="00552DB4"/>
    <w:rsid w:val="00553148"/>
    <w:rsid w:val="005537E8"/>
    <w:rsid w:val="0055390D"/>
    <w:rsid w:val="0055498B"/>
    <w:rsid w:val="00554BD2"/>
    <w:rsid w:val="0055756A"/>
    <w:rsid w:val="00560B5B"/>
    <w:rsid w:val="005613DC"/>
    <w:rsid w:val="00562EEB"/>
    <w:rsid w:val="005636DB"/>
    <w:rsid w:val="005638A9"/>
    <w:rsid w:val="00563BE2"/>
    <w:rsid w:val="00563FDB"/>
    <w:rsid w:val="00564ABA"/>
    <w:rsid w:val="00564DAA"/>
    <w:rsid w:val="00565CCE"/>
    <w:rsid w:val="00565F7F"/>
    <w:rsid w:val="0056765B"/>
    <w:rsid w:val="00567C7A"/>
    <w:rsid w:val="00570002"/>
    <w:rsid w:val="005716AA"/>
    <w:rsid w:val="0057262E"/>
    <w:rsid w:val="0057342E"/>
    <w:rsid w:val="005738C1"/>
    <w:rsid w:val="00573E6E"/>
    <w:rsid w:val="00574465"/>
    <w:rsid w:val="00574E72"/>
    <w:rsid w:val="005750AD"/>
    <w:rsid w:val="00576625"/>
    <w:rsid w:val="005775AE"/>
    <w:rsid w:val="0057788D"/>
    <w:rsid w:val="00577984"/>
    <w:rsid w:val="00577A92"/>
    <w:rsid w:val="00577C9F"/>
    <w:rsid w:val="00580191"/>
    <w:rsid w:val="00580213"/>
    <w:rsid w:val="005806FF"/>
    <w:rsid w:val="00580F68"/>
    <w:rsid w:val="00581280"/>
    <w:rsid w:val="0058180D"/>
    <w:rsid w:val="00581B45"/>
    <w:rsid w:val="00582029"/>
    <w:rsid w:val="00582868"/>
    <w:rsid w:val="005836CE"/>
    <w:rsid w:val="00583D28"/>
    <w:rsid w:val="00583E18"/>
    <w:rsid w:val="00584269"/>
    <w:rsid w:val="00584792"/>
    <w:rsid w:val="005853D3"/>
    <w:rsid w:val="00585B68"/>
    <w:rsid w:val="00586202"/>
    <w:rsid w:val="00586863"/>
    <w:rsid w:val="0058705B"/>
    <w:rsid w:val="00587311"/>
    <w:rsid w:val="00590243"/>
    <w:rsid w:val="005910E1"/>
    <w:rsid w:val="0059145D"/>
    <w:rsid w:val="00591F35"/>
    <w:rsid w:val="005920B7"/>
    <w:rsid w:val="005921BA"/>
    <w:rsid w:val="005939F3"/>
    <w:rsid w:val="00593BF2"/>
    <w:rsid w:val="005947AD"/>
    <w:rsid w:val="005957B9"/>
    <w:rsid w:val="005957CE"/>
    <w:rsid w:val="00595BA6"/>
    <w:rsid w:val="005967DD"/>
    <w:rsid w:val="00596A13"/>
    <w:rsid w:val="00596D75"/>
    <w:rsid w:val="00596DA0"/>
    <w:rsid w:val="0059770C"/>
    <w:rsid w:val="005A1A69"/>
    <w:rsid w:val="005A1B98"/>
    <w:rsid w:val="005A3039"/>
    <w:rsid w:val="005A31A9"/>
    <w:rsid w:val="005A365F"/>
    <w:rsid w:val="005A41AA"/>
    <w:rsid w:val="005A4474"/>
    <w:rsid w:val="005A4C1F"/>
    <w:rsid w:val="005A4F8E"/>
    <w:rsid w:val="005A5374"/>
    <w:rsid w:val="005A6990"/>
    <w:rsid w:val="005A6C38"/>
    <w:rsid w:val="005A6F5E"/>
    <w:rsid w:val="005A73C1"/>
    <w:rsid w:val="005B192E"/>
    <w:rsid w:val="005B1E68"/>
    <w:rsid w:val="005B3335"/>
    <w:rsid w:val="005B3A08"/>
    <w:rsid w:val="005B3D76"/>
    <w:rsid w:val="005B4199"/>
    <w:rsid w:val="005B41BA"/>
    <w:rsid w:val="005B48DF"/>
    <w:rsid w:val="005B4D23"/>
    <w:rsid w:val="005B519E"/>
    <w:rsid w:val="005B53AA"/>
    <w:rsid w:val="005B58D1"/>
    <w:rsid w:val="005B6590"/>
    <w:rsid w:val="005B6C3E"/>
    <w:rsid w:val="005B6F43"/>
    <w:rsid w:val="005B6F8B"/>
    <w:rsid w:val="005B7499"/>
    <w:rsid w:val="005B7584"/>
    <w:rsid w:val="005C06F1"/>
    <w:rsid w:val="005C1E52"/>
    <w:rsid w:val="005C2A2D"/>
    <w:rsid w:val="005C394B"/>
    <w:rsid w:val="005C3E2B"/>
    <w:rsid w:val="005C4A61"/>
    <w:rsid w:val="005C4EED"/>
    <w:rsid w:val="005C59C7"/>
    <w:rsid w:val="005C6A06"/>
    <w:rsid w:val="005C6B62"/>
    <w:rsid w:val="005C787A"/>
    <w:rsid w:val="005C7FD4"/>
    <w:rsid w:val="005D09AC"/>
    <w:rsid w:val="005D1C73"/>
    <w:rsid w:val="005D2543"/>
    <w:rsid w:val="005D2713"/>
    <w:rsid w:val="005D29E7"/>
    <w:rsid w:val="005D2CFE"/>
    <w:rsid w:val="005D355C"/>
    <w:rsid w:val="005D41AD"/>
    <w:rsid w:val="005D549B"/>
    <w:rsid w:val="005D5859"/>
    <w:rsid w:val="005D5F63"/>
    <w:rsid w:val="005D6B3D"/>
    <w:rsid w:val="005D6F30"/>
    <w:rsid w:val="005D7F4C"/>
    <w:rsid w:val="005E09C3"/>
    <w:rsid w:val="005E0AAE"/>
    <w:rsid w:val="005E14D6"/>
    <w:rsid w:val="005E1596"/>
    <w:rsid w:val="005E1844"/>
    <w:rsid w:val="005E1D74"/>
    <w:rsid w:val="005E2408"/>
    <w:rsid w:val="005E3A6C"/>
    <w:rsid w:val="005E3D70"/>
    <w:rsid w:val="005E5797"/>
    <w:rsid w:val="005E57F3"/>
    <w:rsid w:val="005E5F75"/>
    <w:rsid w:val="005E5F84"/>
    <w:rsid w:val="005E63BA"/>
    <w:rsid w:val="005E6E92"/>
    <w:rsid w:val="005E6F18"/>
    <w:rsid w:val="005E709F"/>
    <w:rsid w:val="005E75D6"/>
    <w:rsid w:val="005E77C5"/>
    <w:rsid w:val="005E7D57"/>
    <w:rsid w:val="005F0829"/>
    <w:rsid w:val="005F096A"/>
    <w:rsid w:val="005F0A05"/>
    <w:rsid w:val="005F11E5"/>
    <w:rsid w:val="005F1D81"/>
    <w:rsid w:val="005F2CAC"/>
    <w:rsid w:val="005F334C"/>
    <w:rsid w:val="005F363A"/>
    <w:rsid w:val="005F3AA2"/>
    <w:rsid w:val="005F4400"/>
    <w:rsid w:val="005F4FD6"/>
    <w:rsid w:val="005F502F"/>
    <w:rsid w:val="005F537E"/>
    <w:rsid w:val="005F5B2B"/>
    <w:rsid w:val="005F60BC"/>
    <w:rsid w:val="005F6749"/>
    <w:rsid w:val="005F6D37"/>
    <w:rsid w:val="005F6EC4"/>
    <w:rsid w:val="00601199"/>
    <w:rsid w:val="00601421"/>
    <w:rsid w:val="00601976"/>
    <w:rsid w:val="006019A7"/>
    <w:rsid w:val="00601BE1"/>
    <w:rsid w:val="00602844"/>
    <w:rsid w:val="00602B5F"/>
    <w:rsid w:val="00603F8F"/>
    <w:rsid w:val="00607B97"/>
    <w:rsid w:val="00607E46"/>
    <w:rsid w:val="006105E7"/>
    <w:rsid w:val="00610A9B"/>
    <w:rsid w:val="006120A9"/>
    <w:rsid w:val="0061226F"/>
    <w:rsid w:val="00612B5D"/>
    <w:rsid w:val="00612C7C"/>
    <w:rsid w:val="00613527"/>
    <w:rsid w:val="00614323"/>
    <w:rsid w:val="00614759"/>
    <w:rsid w:val="00614D34"/>
    <w:rsid w:val="006159D7"/>
    <w:rsid w:val="00615CD9"/>
    <w:rsid w:val="00617BC1"/>
    <w:rsid w:val="0062004C"/>
    <w:rsid w:val="00621F80"/>
    <w:rsid w:val="00622014"/>
    <w:rsid w:val="00622BF5"/>
    <w:rsid w:val="00623A7A"/>
    <w:rsid w:val="00623F98"/>
    <w:rsid w:val="006259B7"/>
    <w:rsid w:val="00626E5E"/>
    <w:rsid w:val="00627030"/>
    <w:rsid w:val="006271F5"/>
    <w:rsid w:val="006278EF"/>
    <w:rsid w:val="00627B10"/>
    <w:rsid w:val="00627C3E"/>
    <w:rsid w:val="006302D3"/>
    <w:rsid w:val="006316B6"/>
    <w:rsid w:val="00632802"/>
    <w:rsid w:val="00632F29"/>
    <w:rsid w:val="00633660"/>
    <w:rsid w:val="00633711"/>
    <w:rsid w:val="00634CED"/>
    <w:rsid w:val="00635345"/>
    <w:rsid w:val="0063539C"/>
    <w:rsid w:val="006364BF"/>
    <w:rsid w:val="006372AD"/>
    <w:rsid w:val="00640570"/>
    <w:rsid w:val="0064065E"/>
    <w:rsid w:val="006415A0"/>
    <w:rsid w:val="00642BBA"/>
    <w:rsid w:val="00642EF7"/>
    <w:rsid w:val="006432D1"/>
    <w:rsid w:val="006433C5"/>
    <w:rsid w:val="00643553"/>
    <w:rsid w:val="0064380A"/>
    <w:rsid w:val="006438A2"/>
    <w:rsid w:val="0064553E"/>
    <w:rsid w:val="00647158"/>
    <w:rsid w:val="00647793"/>
    <w:rsid w:val="006505DC"/>
    <w:rsid w:val="00650BFD"/>
    <w:rsid w:val="00651996"/>
    <w:rsid w:val="00652B74"/>
    <w:rsid w:val="00653188"/>
    <w:rsid w:val="006531E5"/>
    <w:rsid w:val="0065361B"/>
    <w:rsid w:val="006538DD"/>
    <w:rsid w:val="00653A57"/>
    <w:rsid w:val="0065501C"/>
    <w:rsid w:val="00655C28"/>
    <w:rsid w:val="00655FC2"/>
    <w:rsid w:val="006569E1"/>
    <w:rsid w:val="00656A9F"/>
    <w:rsid w:val="0066022B"/>
    <w:rsid w:val="00661087"/>
    <w:rsid w:val="00661A44"/>
    <w:rsid w:val="00661D83"/>
    <w:rsid w:val="0066250E"/>
    <w:rsid w:val="0066300F"/>
    <w:rsid w:val="00665699"/>
    <w:rsid w:val="006656C7"/>
    <w:rsid w:val="006657BF"/>
    <w:rsid w:val="00665E12"/>
    <w:rsid w:val="00665EB8"/>
    <w:rsid w:val="00666D4A"/>
    <w:rsid w:val="0066791D"/>
    <w:rsid w:val="00670B01"/>
    <w:rsid w:val="00670FE6"/>
    <w:rsid w:val="006716C1"/>
    <w:rsid w:val="00671C8B"/>
    <w:rsid w:val="006720B0"/>
    <w:rsid w:val="0067224F"/>
    <w:rsid w:val="006723FB"/>
    <w:rsid w:val="0067296B"/>
    <w:rsid w:val="00672C6A"/>
    <w:rsid w:val="00672CCF"/>
    <w:rsid w:val="00672FA5"/>
    <w:rsid w:val="006731D4"/>
    <w:rsid w:val="00673704"/>
    <w:rsid w:val="006742D5"/>
    <w:rsid w:val="00674769"/>
    <w:rsid w:val="00674CDF"/>
    <w:rsid w:val="00674EF1"/>
    <w:rsid w:val="00675301"/>
    <w:rsid w:val="006755D1"/>
    <w:rsid w:val="006755EC"/>
    <w:rsid w:val="006757D7"/>
    <w:rsid w:val="00675B55"/>
    <w:rsid w:val="00676186"/>
    <w:rsid w:val="0067706D"/>
    <w:rsid w:val="00677434"/>
    <w:rsid w:val="00677A32"/>
    <w:rsid w:val="00677C9A"/>
    <w:rsid w:val="0068038B"/>
    <w:rsid w:val="0068093B"/>
    <w:rsid w:val="0068099E"/>
    <w:rsid w:val="0068107A"/>
    <w:rsid w:val="00681845"/>
    <w:rsid w:val="00681CFA"/>
    <w:rsid w:val="00681DFD"/>
    <w:rsid w:val="00682DF5"/>
    <w:rsid w:val="00683B3A"/>
    <w:rsid w:val="006844A1"/>
    <w:rsid w:val="00684804"/>
    <w:rsid w:val="00684E31"/>
    <w:rsid w:val="0068555B"/>
    <w:rsid w:val="00686B55"/>
    <w:rsid w:val="00686E27"/>
    <w:rsid w:val="00687DB5"/>
    <w:rsid w:val="00690DCB"/>
    <w:rsid w:val="006910CC"/>
    <w:rsid w:val="00691ABB"/>
    <w:rsid w:val="0069214B"/>
    <w:rsid w:val="00692249"/>
    <w:rsid w:val="0069268F"/>
    <w:rsid w:val="00693303"/>
    <w:rsid w:val="00693569"/>
    <w:rsid w:val="00693C92"/>
    <w:rsid w:val="00693D01"/>
    <w:rsid w:val="0069434B"/>
    <w:rsid w:val="00694EB2"/>
    <w:rsid w:val="006951F7"/>
    <w:rsid w:val="006953DD"/>
    <w:rsid w:val="006954BC"/>
    <w:rsid w:val="00695681"/>
    <w:rsid w:val="00696522"/>
    <w:rsid w:val="00696B2E"/>
    <w:rsid w:val="00696CF0"/>
    <w:rsid w:val="00696DFD"/>
    <w:rsid w:val="006974F7"/>
    <w:rsid w:val="00697A8D"/>
    <w:rsid w:val="006A08F9"/>
    <w:rsid w:val="006A0D95"/>
    <w:rsid w:val="006A0E72"/>
    <w:rsid w:val="006A1051"/>
    <w:rsid w:val="006A2D8D"/>
    <w:rsid w:val="006A2DC5"/>
    <w:rsid w:val="006A5505"/>
    <w:rsid w:val="006A6A50"/>
    <w:rsid w:val="006A6ED5"/>
    <w:rsid w:val="006A7200"/>
    <w:rsid w:val="006A7BD4"/>
    <w:rsid w:val="006A7D55"/>
    <w:rsid w:val="006A7E0B"/>
    <w:rsid w:val="006B0387"/>
    <w:rsid w:val="006B1476"/>
    <w:rsid w:val="006B1C27"/>
    <w:rsid w:val="006B293B"/>
    <w:rsid w:val="006B2AA5"/>
    <w:rsid w:val="006B2C9E"/>
    <w:rsid w:val="006B3636"/>
    <w:rsid w:val="006B650A"/>
    <w:rsid w:val="006B7075"/>
    <w:rsid w:val="006B77BA"/>
    <w:rsid w:val="006B77EA"/>
    <w:rsid w:val="006B7984"/>
    <w:rsid w:val="006C10C7"/>
    <w:rsid w:val="006C2220"/>
    <w:rsid w:val="006C4426"/>
    <w:rsid w:val="006C490C"/>
    <w:rsid w:val="006C507F"/>
    <w:rsid w:val="006C5935"/>
    <w:rsid w:val="006C5CAE"/>
    <w:rsid w:val="006C5CF1"/>
    <w:rsid w:val="006C5D53"/>
    <w:rsid w:val="006C6C56"/>
    <w:rsid w:val="006C72E5"/>
    <w:rsid w:val="006C740F"/>
    <w:rsid w:val="006C7437"/>
    <w:rsid w:val="006D03B1"/>
    <w:rsid w:val="006D0965"/>
    <w:rsid w:val="006D13BA"/>
    <w:rsid w:val="006D19C4"/>
    <w:rsid w:val="006D2C60"/>
    <w:rsid w:val="006D318E"/>
    <w:rsid w:val="006D51C9"/>
    <w:rsid w:val="006D5434"/>
    <w:rsid w:val="006D6270"/>
    <w:rsid w:val="006D6865"/>
    <w:rsid w:val="006E0364"/>
    <w:rsid w:val="006E109A"/>
    <w:rsid w:val="006E1896"/>
    <w:rsid w:val="006E2DB4"/>
    <w:rsid w:val="006E3BFD"/>
    <w:rsid w:val="006E48C2"/>
    <w:rsid w:val="006E5012"/>
    <w:rsid w:val="006E74AE"/>
    <w:rsid w:val="006E7765"/>
    <w:rsid w:val="006E7916"/>
    <w:rsid w:val="006E7D9C"/>
    <w:rsid w:val="006F1045"/>
    <w:rsid w:val="006F1778"/>
    <w:rsid w:val="006F1C87"/>
    <w:rsid w:val="006F22D5"/>
    <w:rsid w:val="006F2457"/>
    <w:rsid w:val="006F35CF"/>
    <w:rsid w:val="006F3825"/>
    <w:rsid w:val="006F4E33"/>
    <w:rsid w:val="006F4EEC"/>
    <w:rsid w:val="006F4F34"/>
    <w:rsid w:val="006F5479"/>
    <w:rsid w:val="006F5681"/>
    <w:rsid w:val="006F654F"/>
    <w:rsid w:val="006F6D0E"/>
    <w:rsid w:val="006F71CE"/>
    <w:rsid w:val="006F735E"/>
    <w:rsid w:val="006F7604"/>
    <w:rsid w:val="006F7992"/>
    <w:rsid w:val="00700749"/>
    <w:rsid w:val="00700993"/>
    <w:rsid w:val="00700A0B"/>
    <w:rsid w:val="00700EE4"/>
    <w:rsid w:val="00701250"/>
    <w:rsid w:val="007012D0"/>
    <w:rsid w:val="00701AC9"/>
    <w:rsid w:val="00701AE3"/>
    <w:rsid w:val="007024C3"/>
    <w:rsid w:val="0070289D"/>
    <w:rsid w:val="0070435F"/>
    <w:rsid w:val="00704464"/>
    <w:rsid w:val="0070450D"/>
    <w:rsid w:val="00707A5F"/>
    <w:rsid w:val="00707E6E"/>
    <w:rsid w:val="0071055C"/>
    <w:rsid w:val="00711A04"/>
    <w:rsid w:val="00712038"/>
    <w:rsid w:val="0071237A"/>
    <w:rsid w:val="00712EFB"/>
    <w:rsid w:val="00713CC6"/>
    <w:rsid w:val="00713FE9"/>
    <w:rsid w:val="007144C3"/>
    <w:rsid w:val="00714699"/>
    <w:rsid w:val="00714C75"/>
    <w:rsid w:val="00714CF7"/>
    <w:rsid w:val="007156BA"/>
    <w:rsid w:val="00715B59"/>
    <w:rsid w:val="00716653"/>
    <w:rsid w:val="00716C30"/>
    <w:rsid w:val="00717F71"/>
    <w:rsid w:val="007207DA"/>
    <w:rsid w:val="007209E2"/>
    <w:rsid w:val="00720BA2"/>
    <w:rsid w:val="00720EB8"/>
    <w:rsid w:val="00721C81"/>
    <w:rsid w:val="00721F2E"/>
    <w:rsid w:val="00722235"/>
    <w:rsid w:val="00723D0F"/>
    <w:rsid w:val="00723FB8"/>
    <w:rsid w:val="007244AC"/>
    <w:rsid w:val="0072519D"/>
    <w:rsid w:val="00726755"/>
    <w:rsid w:val="00726FFB"/>
    <w:rsid w:val="007278E2"/>
    <w:rsid w:val="00727935"/>
    <w:rsid w:val="00727B71"/>
    <w:rsid w:val="00727D5A"/>
    <w:rsid w:val="00731301"/>
    <w:rsid w:val="0073168C"/>
    <w:rsid w:val="00732041"/>
    <w:rsid w:val="007324AE"/>
    <w:rsid w:val="00734EE5"/>
    <w:rsid w:val="007351BA"/>
    <w:rsid w:val="00735C06"/>
    <w:rsid w:val="007365E1"/>
    <w:rsid w:val="007404E3"/>
    <w:rsid w:val="007412DC"/>
    <w:rsid w:val="0074151C"/>
    <w:rsid w:val="0074222B"/>
    <w:rsid w:val="00744738"/>
    <w:rsid w:val="00744CAC"/>
    <w:rsid w:val="00744ED3"/>
    <w:rsid w:val="0074589F"/>
    <w:rsid w:val="00745F20"/>
    <w:rsid w:val="00746149"/>
    <w:rsid w:val="007477CB"/>
    <w:rsid w:val="00747A73"/>
    <w:rsid w:val="00747AE4"/>
    <w:rsid w:val="00747DB8"/>
    <w:rsid w:val="00750E83"/>
    <w:rsid w:val="007510A4"/>
    <w:rsid w:val="00751946"/>
    <w:rsid w:val="00751992"/>
    <w:rsid w:val="00752DC0"/>
    <w:rsid w:val="007532CC"/>
    <w:rsid w:val="0075372D"/>
    <w:rsid w:val="007537A2"/>
    <w:rsid w:val="00754193"/>
    <w:rsid w:val="007554F1"/>
    <w:rsid w:val="00756CAC"/>
    <w:rsid w:val="00757718"/>
    <w:rsid w:val="007602DF"/>
    <w:rsid w:val="00760862"/>
    <w:rsid w:val="00760C76"/>
    <w:rsid w:val="00761476"/>
    <w:rsid w:val="00761AD4"/>
    <w:rsid w:val="00761BCE"/>
    <w:rsid w:val="0076299B"/>
    <w:rsid w:val="00763ACD"/>
    <w:rsid w:val="007642C0"/>
    <w:rsid w:val="00765081"/>
    <w:rsid w:val="00766BBF"/>
    <w:rsid w:val="00766D5F"/>
    <w:rsid w:val="00766F40"/>
    <w:rsid w:val="00767764"/>
    <w:rsid w:val="007706AC"/>
    <w:rsid w:val="00772044"/>
    <w:rsid w:val="00772EC9"/>
    <w:rsid w:val="00773314"/>
    <w:rsid w:val="00774299"/>
    <w:rsid w:val="00774742"/>
    <w:rsid w:val="007748D3"/>
    <w:rsid w:val="00775E18"/>
    <w:rsid w:val="0077686F"/>
    <w:rsid w:val="00776D1B"/>
    <w:rsid w:val="00777727"/>
    <w:rsid w:val="00780479"/>
    <w:rsid w:val="00780696"/>
    <w:rsid w:val="00780E4F"/>
    <w:rsid w:val="007815C8"/>
    <w:rsid w:val="0078178B"/>
    <w:rsid w:val="00781F19"/>
    <w:rsid w:val="00782A29"/>
    <w:rsid w:val="00782D62"/>
    <w:rsid w:val="00782E7A"/>
    <w:rsid w:val="007838B7"/>
    <w:rsid w:val="00785802"/>
    <w:rsid w:val="007866D6"/>
    <w:rsid w:val="0078724D"/>
    <w:rsid w:val="00787B28"/>
    <w:rsid w:val="007902AF"/>
    <w:rsid w:val="007903EF"/>
    <w:rsid w:val="00790A22"/>
    <w:rsid w:val="00791392"/>
    <w:rsid w:val="00791914"/>
    <w:rsid w:val="007923A9"/>
    <w:rsid w:val="00792A09"/>
    <w:rsid w:val="007944FA"/>
    <w:rsid w:val="00795401"/>
    <w:rsid w:val="00795998"/>
    <w:rsid w:val="00797993"/>
    <w:rsid w:val="007A04E9"/>
    <w:rsid w:val="007A1072"/>
    <w:rsid w:val="007A2741"/>
    <w:rsid w:val="007A2984"/>
    <w:rsid w:val="007A29E5"/>
    <w:rsid w:val="007A30C2"/>
    <w:rsid w:val="007A439E"/>
    <w:rsid w:val="007A465A"/>
    <w:rsid w:val="007A51EB"/>
    <w:rsid w:val="007A568D"/>
    <w:rsid w:val="007A5C06"/>
    <w:rsid w:val="007A5E0D"/>
    <w:rsid w:val="007B1AAE"/>
    <w:rsid w:val="007B2817"/>
    <w:rsid w:val="007B3461"/>
    <w:rsid w:val="007B3CE3"/>
    <w:rsid w:val="007B3D15"/>
    <w:rsid w:val="007B4884"/>
    <w:rsid w:val="007B4A9F"/>
    <w:rsid w:val="007B5C94"/>
    <w:rsid w:val="007B5D1E"/>
    <w:rsid w:val="007B6B27"/>
    <w:rsid w:val="007B6ED5"/>
    <w:rsid w:val="007B7384"/>
    <w:rsid w:val="007B7DEC"/>
    <w:rsid w:val="007C0E78"/>
    <w:rsid w:val="007C0EE3"/>
    <w:rsid w:val="007C1072"/>
    <w:rsid w:val="007C11E6"/>
    <w:rsid w:val="007C17F6"/>
    <w:rsid w:val="007C2161"/>
    <w:rsid w:val="007C3517"/>
    <w:rsid w:val="007C4CC5"/>
    <w:rsid w:val="007C7FCC"/>
    <w:rsid w:val="007D02CD"/>
    <w:rsid w:val="007D0354"/>
    <w:rsid w:val="007D2091"/>
    <w:rsid w:val="007D48BB"/>
    <w:rsid w:val="007D4CEA"/>
    <w:rsid w:val="007D52A1"/>
    <w:rsid w:val="007D54AE"/>
    <w:rsid w:val="007D6506"/>
    <w:rsid w:val="007D66F1"/>
    <w:rsid w:val="007D6805"/>
    <w:rsid w:val="007E0049"/>
    <w:rsid w:val="007E0430"/>
    <w:rsid w:val="007E05F5"/>
    <w:rsid w:val="007E1521"/>
    <w:rsid w:val="007E1DA7"/>
    <w:rsid w:val="007E20AA"/>
    <w:rsid w:val="007E2BAD"/>
    <w:rsid w:val="007E3ED9"/>
    <w:rsid w:val="007E4A0F"/>
    <w:rsid w:val="007E4ACD"/>
    <w:rsid w:val="007E55EA"/>
    <w:rsid w:val="007E5DDE"/>
    <w:rsid w:val="007E6603"/>
    <w:rsid w:val="007E69AC"/>
    <w:rsid w:val="007F015B"/>
    <w:rsid w:val="007F0A43"/>
    <w:rsid w:val="007F0CA7"/>
    <w:rsid w:val="007F0E3E"/>
    <w:rsid w:val="007F151C"/>
    <w:rsid w:val="007F18BD"/>
    <w:rsid w:val="007F251A"/>
    <w:rsid w:val="007F32A6"/>
    <w:rsid w:val="007F348C"/>
    <w:rsid w:val="007F3C7F"/>
    <w:rsid w:val="007F3F2E"/>
    <w:rsid w:val="007F4241"/>
    <w:rsid w:val="007F49FB"/>
    <w:rsid w:val="007F4DA2"/>
    <w:rsid w:val="007F4EE4"/>
    <w:rsid w:val="007F55F1"/>
    <w:rsid w:val="007F5DD3"/>
    <w:rsid w:val="007F61F6"/>
    <w:rsid w:val="007F742E"/>
    <w:rsid w:val="00800366"/>
    <w:rsid w:val="008011DB"/>
    <w:rsid w:val="008013CB"/>
    <w:rsid w:val="00801A51"/>
    <w:rsid w:val="00801CAA"/>
    <w:rsid w:val="00804184"/>
    <w:rsid w:val="00804226"/>
    <w:rsid w:val="00804A0B"/>
    <w:rsid w:val="00805044"/>
    <w:rsid w:val="0080553C"/>
    <w:rsid w:val="008055B0"/>
    <w:rsid w:val="00805E16"/>
    <w:rsid w:val="008061CE"/>
    <w:rsid w:val="00811612"/>
    <w:rsid w:val="00811844"/>
    <w:rsid w:val="0081297F"/>
    <w:rsid w:val="00812A6B"/>
    <w:rsid w:val="00814B56"/>
    <w:rsid w:val="00816F06"/>
    <w:rsid w:val="00817837"/>
    <w:rsid w:val="00817909"/>
    <w:rsid w:val="00817CD5"/>
    <w:rsid w:val="00817DB5"/>
    <w:rsid w:val="008202FB"/>
    <w:rsid w:val="008207F3"/>
    <w:rsid w:val="008210EA"/>
    <w:rsid w:val="008218EC"/>
    <w:rsid w:val="00821A7C"/>
    <w:rsid w:val="00822D39"/>
    <w:rsid w:val="00822F5A"/>
    <w:rsid w:val="00823177"/>
    <w:rsid w:val="00823772"/>
    <w:rsid w:val="00824467"/>
    <w:rsid w:val="00824D6E"/>
    <w:rsid w:val="00825D64"/>
    <w:rsid w:val="00825DDB"/>
    <w:rsid w:val="0082639C"/>
    <w:rsid w:val="00826D93"/>
    <w:rsid w:val="008279F6"/>
    <w:rsid w:val="00827A1A"/>
    <w:rsid w:val="00827B18"/>
    <w:rsid w:val="008303A4"/>
    <w:rsid w:val="00830BE3"/>
    <w:rsid w:val="00830D77"/>
    <w:rsid w:val="00831D15"/>
    <w:rsid w:val="0083287D"/>
    <w:rsid w:val="00832D04"/>
    <w:rsid w:val="00832F2D"/>
    <w:rsid w:val="00833C1B"/>
    <w:rsid w:val="008342C5"/>
    <w:rsid w:val="008347AD"/>
    <w:rsid w:val="00835073"/>
    <w:rsid w:val="00835193"/>
    <w:rsid w:val="008353E2"/>
    <w:rsid w:val="00837AAD"/>
    <w:rsid w:val="00840E96"/>
    <w:rsid w:val="00841BAA"/>
    <w:rsid w:val="00842B12"/>
    <w:rsid w:val="00842BC5"/>
    <w:rsid w:val="008430A7"/>
    <w:rsid w:val="00843B8F"/>
    <w:rsid w:val="00844070"/>
    <w:rsid w:val="008447E4"/>
    <w:rsid w:val="00844CB5"/>
    <w:rsid w:val="00844F29"/>
    <w:rsid w:val="00846446"/>
    <w:rsid w:val="00846475"/>
    <w:rsid w:val="008465F0"/>
    <w:rsid w:val="008466C9"/>
    <w:rsid w:val="00846C4E"/>
    <w:rsid w:val="00846C85"/>
    <w:rsid w:val="00846EA5"/>
    <w:rsid w:val="008472CA"/>
    <w:rsid w:val="00847494"/>
    <w:rsid w:val="008478B5"/>
    <w:rsid w:val="00847A7A"/>
    <w:rsid w:val="008501C6"/>
    <w:rsid w:val="00850B55"/>
    <w:rsid w:val="00850CCB"/>
    <w:rsid w:val="00850D57"/>
    <w:rsid w:val="008510BA"/>
    <w:rsid w:val="008518A6"/>
    <w:rsid w:val="008523ED"/>
    <w:rsid w:val="00854CB1"/>
    <w:rsid w:val="00855586"/>
    <w:rsid w:val="00855B46"/>
    <w:rsid w:val="00856127"/>
    <w:rsid w:val="008573CA"/>
    <w:rsid w:val="008574BB"/>
    <w:rsid w:val="0085771E"/>
    <w:rsid w:val="00860112"/>
    <w:rsid w:val="008601BB"/>
    <w:rsid w:val="008604E9"/>
    <w:rsid w:val="00861426"/>
    <w:rsid w:val="008625EC"/>
    <w:rsid w:val="00862D81"/>
    <w:rsid w:val="00862E6F"/>
    <w:rsid w:val="00862FA7"/>
    <w:rsid w:val="00863276"/>
    <w:rsid w:val="00863473"/>
    <w:rsid w:val="008642AD"/>
    <w:rsid w:val="00864E89"/>
    <w:rsid w:val="0086555E"/>
    <w:rsid w:val="00865775"/>
    <w:rsid w:val="00865B42"/>
    <w:rsid w:val="00865F58"/>
    <w:rsid w:val="00866FC3"/>
    <w:rsid w:val="008673BE"/>
    <w:rsid w:val="008700A7"/>
    <w:rsid w:val="00870C38"/>
    <w:rsid w:val="00871063"/>
    <w:rsid w:val="00871446"/>
    <w:rsid w:val="00871876"/>
    <w:rsid w:val="00873815"/>
    <w:rsid w:val="0087415A"/>
    <w:rsid w:val="0087470F"/>
    <w:rsid w:val="00874ED5"/>
    <w:rsid w:val="0087503E"/>
    <w:rsid w:val="008766A3"/>
    <w:rsid w:val="00876B48"/>
    <w:rsid w:val="00876B5F"/>
    <w:rsid w:val="008773E3"/>
    <w:rsid w:val="00880FFA"/>
    <w:rsid w:val="00881579"/>
    <w:rsid w:val="00881997"/>
    <w:rsid w:val="00881AEE"/>
    <w:rsid w:val="0088203C"/>
    <w:rsid w:val="00883239"/>
    <w:rsid w:val="0088326A"/>
    <w:rsid w:val="00883340"/>
    <w:rsid w:val="00883A04"/>
    <w:rsid w:val="00883D33"/>
    <w:rsid w:val="00883D7E"/>
    <w:rsid w:val="00883EA4"/>
    <w:rsid w:val="008851E4"/>
    <w:rsid w:val="00885FD8"/>
    <w:rsid w:val="00886633"/>
    <w:rsid w:val="00887CF6"/>
    <w:rsid w:val="00887F86"/>
    <w:rsid w:val="00890E4A"/>
    <w:rsid w:val="00891493"/>
    <w:rsid w:val="0089199D"/>
    <w:rsid w:val="00891A25"/>
    <w:rsid w:val="008921B2"/>
    <w:rsid w:val="0089246E"/>
    <w:rsid w:val="008924EA"/>
    <w:rsid w:val="00892A7A"/>
    <w:rsid w:val="00892B05"/>
    <w:rsid w:val="0089358D"/>
    <w:rsid w:val="008935CB"/>
    <w:rsid w:val="00893AC4"/>
    <w:rsid w:val="008943B2"/>
    <w:rsid w:val="00895191"/>
    <w:rsid w:val="008951EA"/>
    <w:rsid w:val="00896233"/>
    <w:rsid w:val="008A0CDE"/>
    <w:rsid w:val="008A135B"/>
    <w:rsid w:val="008A1F01"/>
    <w:rsid w:val="008A2618"/>
    <w:rsid w:val="008A28E3"/>
    <w:rsid w:val="008A35D4"/>
    <w:rsid w:val="008A42E1"/>
    <w:rsid w:val="008A4972"/>
    <w:rsid w:val="008A58AB"/>
    <w:rsid w:val="008A5D82"/>
    <w:rsid w:val="008A6C7C"/>
    <w:rsid w:val="008A6EDB"/>
    <w:rsid w:val="008A7236"/>
    <w:rsid w:val="008A7514"/>
    <w:rsid w:val="008B0A06"/>
    <w:rsid w:val="008B0EEB"/>
    <w:rsid w:val="008B1F86"/>
    <w:rsid w:val="008B2047"/>
    <w:rsid w:val="008B2058"/>
    <w:rsid w:val="008B257C"/>
    <w:rsid w:val="008B41CD"/>
    <w:rsid w:val="008B5DAF"/>
    <w:rsid w:val="008B618B"/>
    <w:rsid w:val="008B64B7"/>
    <w:rsid w:val="008B717D"/>
    <w:rsid w:val="008B7935"/>
    <w:rsid w:val="008B7F03"/>
    <w:rsid w:val="008C039C"/>
    <w:rsid w:val="008C09D1"/>
    <w:rsid w:val="008C1526"/>
    <w:rsid w:val="008C15D1"/>
    <w:rsid w:val="008C1BDF"/>
    <w:rsid w:val="008C24A7"/>
    <w:rsid w:val="008C2844"/>
    <w:rsid w:val="008C2DA1"/>
    <w:rsid w:val="008C2EAF"/>
    <w:rsid w:val="008C307B"/>
    <w:rsid w:val="008C3D93"/>
    <w:rsid w:val="008C4590"/>
    <w:rsid w:val="008C47E3"/>
    <w:rsid w:val="008C653F"/>
    <w:rsid w:val="008C66B6"/>
    <w:rsid w:val="008D04C1"/>
    <w:rsid w:val="008D0ABD"/>
    <w:rsid w:val="008D1E28"/>
    <w:rsid w:val="008D247D"/>
    <w:rsid w:val="008D28A5"/>
    <w:rsid w:val="008D4819"/>
    <w:rsid w:val="008D4A04"/>
    <w:rsid w:val="008D4E4C"/>
    <w:rsid w:val="008D5549"/>
    <w:rsid w:val="008D586C"/>
    <w:rsid w:val="008D589B"/>
    <w:rsid w:val="008D5BF1"/>
    <w:rsid w:val="008D6ABD"/>
    <w:rsid w:val="008D74BC"/>
    <w:rsid w:val="008E075E"/>
    <w:rsid w:val="008E0BBD"/>
    <w:rsid w:val="008E0C3E"/>
    <w:rsid w:val="008E1EE3"/>
    <w:rsid w:val="008E27EC"/>
    <w:rsid w:val="008E286E"/>
    <w:rsid w:val="008E322E"/>
    <w:rsid w:val="008E33F0"/>
    <w:rsid w:val="008E41AB"/>
    <w:rsid w:val="008E41CD"/>
    <w:rsid w:val="008E455F"/>
    <w:rsid w:val="008E4A4F"/>
    <w:rsid w:val="008E53B7"/>
    <w:rsid w:val="008E5B05"/>
    <w:rsid w:val="008E5D9A"/>
    <w:rsid w:val="008E5E8D"/>
    <w:rsid w:val="008E69F6"/>
    <w:rsid w:val="008E7E1E"/>
    <w:rsid w:val="008F014A"/>
    <w:rsid w:val="008F0FF7"/>
    <w:rsid w:val="008F296D"/>
    <w:rsid w:val="008F39D5"/>
    <w:rsid w:val="008F3AD9"/>
    <w:rsid w:val="008F3DAF"/>
    <w:rsid w:val="008F4668"/>
    <w:rsid w:val="008F4A81"/>
    <w:rsid w:val="008F4F24"/>
    <w:rsid w:val="008F58E7"/>
    <w:rsid w:val="008F5EC9"/>
    <w:rsid w:val="008F6C12"/>
    <w:rsid w:val="008F6F7C"/>
    <w:rsid w:val="008F73B9"/>
    <w:rsid w:val="008F73C6"/>
    <w:rsid w:val="00900DA7"/>
    <w:rsid w:val="009012FD"/>
    <w:rsid w:val="00901D48"/>
    <w:rsid w:val="0090298D"/>
    <w:rsid w:val="0090483A"/>
    <w:rsid w:val="0090504A"/>
    <w:rsid w:val="0090526F"/>
    <w:rsid w:val="0090652A"/>
    <w:rsid w:val="009070BA"/>
    <w:rsid w:val="009072DF"/>
    <w:rsid w:val="009073FE"/>
    <w:rsid w:val="009116A7"/>
    <w:rsid w:val="00911723"/>
    <w:rsid w:val="009135B6"/>
    <w:rsid w:val="00913F05"/>
    <w:rsid w:val="009140FB"/>
    <w:rsid w:val="00914174"/>
    <w:rsid w:val="00914841"/>
    <w:rsid w:val="00914925"/>
    <w:rsid w:val="00914B04"/>
    <w:rsid w:val="00914FE7"/>
    <w:rsid w:val="009150C9"/>
    <w:rsid w:val="0091557B"/>
    <w:rsid w:val="00915D53"/>
    <w:rsid w:val="00915F25"/>
    <w:rsid w:val="009166A6"/>
    <w:rsid w:val="00916FEC"/>
    <w:rsid w:val="009170B4"/>
    <w:rsid w:val="009176E9"/>
    <w:rsid w:val="00920006"/>
    <w:rsid w:val="009202D4"/>
    <w:rsid w:val="00920CCF"/>
    <w:rsid w:val="00920E75"/>
    <w:rsid w:val="0092231E"/>
    <w:rsid w:val="00922F87"/>
    <w:rsid w:val="00923485"/>
    <w:rsid w:val="00923B2B"/>
    <w:rsid w:val="00923C20"/>
    <w:rsid w:val="00924D64"/>
    <w:rsid w:val="00924E8D"/>
    <w:rsid w:val="00924F1F"/>
    <w:rsid w:val="00925D63"/>
    <w:rsid w:val="009260A2"/>
    <w:rsid w:val="009263FE"/>
    <w:rsid w:val="009278E3"/>
    <w:rsid w:val="009279AF"/>
    <w:rsid w:val="009300E6"/>
    <w:rsid w:val="00930319"/>
    <w:rsid w:val="00930892"/>
    <w:rsid w:val="00930969"/>
    <w:rsid w:val="00930BE2"/>
    <w:rsid w:val="00931454"/>
    <w:rsid w:val="0093178B"/>
    <w:rsid w:val="009326D6"/>
    <w:rsid w:val="00932EA3"/>
    <w:rsid w:val="00933295"/>
    <w:rsid w:val="00933D5E"/>
    <w:rsid w:val="00934C1F"/>
    <w:rsid w:val="00935370"/>
    <w:rsid w:val="0093570E"/>
    <w:rsid w:val="00935F77"/>
    <w:rsid w:val="0093606F"/>
    <w:rsid w:val="009369ED"/>
    <w:rsid w:val="00936E96"/>
    <w:rsid w:val="00936FEB"/>
    <w:rsid w:val="0093708B"/>
    <w:rsid w:val="009379FA"/>
    <w:rsid w:val="00940644"/>
    <w:rsid w:val="00941141"/>
    <w:rsid w:val="009416FB"/>
    <w:rsid w:val="00942388"/>
    <w:rsid w:val="009424C4"/>
    <w:rsid w:val="00942C54"/>
    <w:rsid w:val="00944320"/>
    <w:rsid w:val="00944A09"/>
    <w:rsid w:val="009451E0"/>
    <w:rsid w:val="00945B32"/>
    <w:rsid w:val="00945DD2"/>
    <w:rsid w:val="00945ED4"/>
    <w:rsid w:val="00945F03"/>
    <w:rsid w:val="0094710A"/>
    <w:rsid w:val="00947BD0"/>
    <w:rsid w:val="009503C8"/>
    <w:rsid w:val="009507C8"/>
    <w:rsid w:val="009508E3"/>
    <w:rsid w:val="00951B7E"/>
    <w:rsid w:val="00951CD4"/>
    <w:rsid w:val="00952085"/>
    <w:rsid w:val="00952232"/>
    <w:rsid w:val="00952C85"/>
    <w:rsid w:val="009541EF"/>
    <w:rsid w:val="00954486"/>
    <w:rsid w:val="00954C98"/>
    <w:rsid w:val="00954D35"/>
    <w:rsid w:val="00955A76"/>
    <w:rsid w:val="00955C86"/>
    <w:rsid w:val="00956F77"/>
    <w:rsid w:val="00956FC2"/>
    <w:rsid w:val="009573EA"/>
    <w:rsid w:val="009602AC"/>
    <w:rsid w:val="009617BC"/>
    <w:rsid w:val="00963386"/>
    <w:rsid w:val="00964348"/>
    <w:rsid w:val="00966133"/>
    <w:rsid w:val="00966543"/>
    <w:rsid w:val="009666CF"/>
    <w:rsid w:val="009671A9"/>
    <w:rsid w:val="009674D8"/>
    <w:rsid w:val="00967B26"/>
    <w:rsid w:val="00967DB5"/>
    <w:rsid w:val="00970464"/>
    <w:rsid w:val="009706DE"/>
    <w:rsid w:val="0097128F"/>
    <w:rsid w:val="00971E17"/>
    <w:rsid w:val="009723BA"/>
    <w:rsid w:val="009731AF"/>
    <w:rsid w:val="00973819"/>
    <w:rsid w:val="00973FC6"/>
    <w:rsid w:val="0097442A"/>
    <w:rsid w:val="00974663"/>
    <w:rsid w:val="009758CD"/>
    <w:rsid w:val="0097740A"/>
    <w:rsid w:val="009775CB"/>
    <w:rsid w:val="00977CEC"/>
    <w:rsid w:val="0098115C"/>
    <w:rsid w:val="00981316"/>
    <w:rsid w:val="00981799"/>
    <w:rsid w:val="009818E6"/>
    <w:rsid w:val="009819E2"/>
    <w:rsid w:val="00982796"/>
    <w:rsid w:val="00982FB9"/>
    <w:rsid w:val="00983179"/>
    <w:rsid w:val="00983806"/>
    <w:rsid w:val="00983B91"/>
    <w:rsid w:val="00984090"/>
    <w:rsid w:val="009841C4"/>
    <w:rsid w:val="009850A6"/>
    <w:rsid w:val="0098516A"/>
    <w:rsid w:val="0098532E"/>
    <w:rsid w:val="0098646A"/>
    <w:rsid w:val="00986EF7"/>
    <w:rsid w:val="00990075"/>
    <w:rsid w:val="009901B3"/>
    <w:rsid w:val="009921B3"/>
    <w:rsid w:val="00992856"/>
    <w:rsid w:val="00993ADE"/>
    <w:rsid w:val="00993FEC"/>
    <w:rsid w:val="00994070"/>
    <w:rsid w:val="00994389"/>
    <w:rsid w:val="009947D8"/>
    <w:rsid w:val="009947F7"/>
    <w:rsid w:val="00994CEF"/>
    <w:rsid w:val="00995864"/>
    <w:rsid w:val="00996D59"/>
    <w:rsid w:val="00997481"/>
    <w:rsid w:val="00997659"/>
    <w:rsid w:val="009A06AC"/>
    <w:rsid w:val="009A0EC8"/>
    <w:rsid w:val="009A0F75"/>
    <w:rsid w:val="009A1A04"/>
    <w:rsid w:val="009A2670"/>
    <w:rsid w:val="009A3156"/>
    <w:rsid w:val="009A3438"/>
    <w:rsid w:val="009A3E7C"/>
    <w:rsid w:val="009A468F"/>
    <w:rsid w:val="009A7488"/>
    <w:rsid w:val="009A7677"/>
    <w:rsid w:val="009A7BB4"/>
    <w:rsid w:val="009B0C71"/>
    <w:rsid w:val="009B161D"/>
    <w:rsid w:val="009B1E78"/>
    <w:rsid w:val="009B28B7"/>
    <w:rsid w:val="009B2E07"/>
    <w:rsid w:val="009B3067"/>
    <w:rsid w:val="009B3477"/>
    <w:rsid w:val="009B3D04"/>
    <w:rsid w:val="009B4188"/>
    <w:rsid w:val="009B430A"/>
    <w:rsid w:val="009B49BB"/>
    <w:rsid w:val="009B4A9D"/>
    <w:rsid w:val="009B5498"/>
    <w:rsid w:val="009B580C"/>
    <w:rsid w:val="009B6567"/>
    <w:rsid w:val="009B6B95"/>
    <w:rsid w:val="009B7A4D"/>
    <w:rsid w:val="009B7EAB"/>
    <w:rsid w:val="009C0504"/>
    <w:rsid w:val="009C0A45"/>
    <w:rsid w:val="009C0BC4"/>
    <w:rsid w:val="009C13BE"/>
    <w:rsid w:val="009C32CF"/>
    <w:rsid w:val="009C3C1A"/>
    <w:rsid w:val="009C40C8"/>
    <w:rsid w:val="009C49BB"/>
    <w:rsid w:val="009C49E9"/>
    <w:rsid w:val="009C4A86"/>
    <w:rsid w:val="009C50E5"/>
    <w:rsid w:val="009C733B"/>
    <w:rsid w:val="009C74DA"/>
    <w:rsid w:val="009D0126"/>
    <w:rsid w:val="009D0A96"/>
    <w:rsid w:val="009D0B3C"/>
    <w:rsid w:val="009D1017"/>
    <w:rsid w:val="009D2306"/>
    <w:rsid w:val="009D25F3"/>
    <w:rsid w:val="009D2A05"/>
    <w:rsid w:val="009D2CB8"/>
    <w:rsid w:val="009D3A58"/>
    <w:rsid w:val="009D3D62"/>
    <w:rsid w:val="009D42A9"/>
    <w:rsid w:val="009D4EB7"/>
    <w:rsid w:val="009D5937"/>
    <w:rsid w:val="009D5F60"/>
    <w:rsid w:val="009D61F7"/>
    <w:rsid w:val="009D66AA"/>
    <w:rsid w:val="009D6A99"/>
    <w:rsid w:val="009D6CAF"/>
    <w:rsid w:val="009D6F62"/>
    <w:rsid w:val="009D7931"/>
    <w:rsid w:val="009D7D4C"/>
    <w:rsid w:val="009D7F7D"/>
    <w:rsid w:val="009E0AB2"/>
    <w:rsid w:val="009E157E"/>
    <w:rsid w:val="009E1DD2"/>
    <w:rsid w:val="009E1FF7"/>
    <w:rsid w:val="009E2005"/>
    <w:rsid w:val="009E207C"/>
    <w:rsid w:val="009E2FD0"/>
    <w:rsid w:val="009E312A"/>
    <w:rsid w:val="009E35F0"/>
    <w:rsid w:val="009E372F"/>
    <w:rsid w:val="009E3EC6"/>
    <w:rsid w:val="009E44B5"/>
    <w:rsid w:val="009E486B"/>
    <w:rsid w:val="009E58FA"/>
    <w:rsid w:val="009E61F7"/>
    <w:rsid w:val="009E65F5"/>
    <w:rsid w:val="009E660B"/>
    <w:rsid w:val="009E66C7"/>
    <w:rsid w:val="009E7698"/>
    <w:rsid w:val="009E7910"/>
    <w:rsid w:val="009F0489"/>
    <w:rsid w:val="009F1E94"/>
    <w:rsid w:val="009F1FA4"/>
    <w:rsid w:val="009F2B33"/>
    <w:rsid w:val="009F31F7"/>
    <w:rsid w:val="009F3DB4"/>
    <w:rsid w:val="009F4008"/>
    <w:rsid w:val="009F4A14"/>
    <w:rsid w:val="009F5C93"/>
    <w:rsid w:val="009F6815"/>
    <w:rsid w:val="009F6EC0"/>
    <w:rsid w:val="009F706A"/>
    <w:rsid w:val="009F707B"/>
    <w:rsid w:val="009F72FD"/>
    <w:rsid w:val="009F7323"/>
    <w:rsid w:val="009F7E75"/>
    <w:rsid w:val="00A0047D"/>
    <w:rsid w:val="00A0126E"/>
    <w:rsid w:val="00A014A7"/>
    <w:rsid w:val="00A01774"/>
    <w:rsid w:val="00A027BF"/>
    <w:rsid w:val="00A02A4C"/>
    <w:rsid w:val="00A02BDF"/>
    <w:rsid w:val="00A03252"/>
    <w:rsid w:val="00A03886"/>
    <w:rsid w:val="00A03C5E"/>
    <w:rsid w:val="00A041ED"/>
    <w:rsid w:val="00A0525F"/>
    <w:rsid w:val="00A0538D"/>
    <w:rsid w:val="00A05E33"/>
    <w:rsid w:val="00A073F9"/>
    <w:rsid w:val="00A079E7"/>
    <w:rsid w:val="00A102C2"/>
    <w:rsid w:val="00A103FB"/>
    <w:rsid w:val="00A1040E"/>
    <w:rsid w:val="00A105E9"/>
    <w:rsid w:val="00A106A7"/>
    <w:rsid w:val="00A107E4"/>
    <w:rsid w:val="00A1095E"/>
    <w:rsid w:val="00A10D76"/>
    <w:rsid w:val="00A1110B"/>
    <w:rsid w:val="00A1115D"/>
    <w:rsid w:val="00A114E3"/>
    <w:rsid w:val="00A11917"/>
    <w:rsid w:val="00A11E43"/>
    <w:rsid w:val="00A1239D"/>
    <w:rsid w:val="00A12D09"/>
    <w:rsid w:val="00A12DB9"/>
    <w:rsid w:val="00A13231"/>
    <w:rsid w:val="00A13330"/>
    <w:rsid w:val="00A133F2"/>
    <w:rsid w:val="00A13B43"/>
    <w:rsid w:val="00A1554B"/>
    <w:rsid w:val="00A156F1"/>
    <w:rsid w:val="00A16613"/>
    <w:rsid w:val="00A1711B"/>
    <w:rsid w:val="00A17690"/>
    <w:rsid w:val="00A2182E"/>
    <w:rsid w:val="00A22145"/>
    <w:rsid w:val="00A222E2"/>
    <w:rsid w:val="00A22426"/>
    <w:rsid w:val="00A228C1"/>
    <w:rsid w:val="00A22E13"/>
    <w:rsid w:val="00A22FC9"/>
    <w:rsid w:val="00A23A46"/>
    <w:rsid w:val="00A23AF2"/>
    <w:rsid w:val="00A23C8B"/>
    <w:rsid w:val="00A24271"/>
    <w:rsid w:val="00A246A4"/>
    <w:rsid w:val="00A251B5"/>
    <w:rsid w:val="00A25B2F"/>
    <w:rsid w:val="00A25DE8"/>
    <w:rsid w:val="00A25E14"/>
    <w:rsid w:val="00A2703B"/>
    <w:rsid w:val="00A275FE"/>
    <w:rsid w:val="00A305B6"/>
    <w:rsid w:val="00A3085D"/>
    <w:rsid w:val="00A31FAC"/>
    <w:rsid w:val="00A32A90"/>
    <w:rsid w:val="00A34650"/>
    <w:rsid w:val="00A3478A"/>
    <w:rsid w:val="00A34A63"/>
    <w:rsid w:val="00A34CDD"/>
    <w:rsid w:val="00A34F15"/>
    <w:rsid w:val="00A3513C"/>
    <w:rsid w:val="00A352DA"/>
    <w:rsid w:val="00A35B1C"/>
    <w:rsid w:val="00A3635A"/>
    <w:rsid w:val="00A36968"/>
    <w:rsid w:val="00A36BBF"/>
    <w:rsid w:val="00A3712B"/>
    <w:rsid w:val="00A37200"/>
    <w:rsid w:val="00A41575"/>
    <w:rsid w:val="00A417E6"/>
    <w:rsid w:val="00A42278"/>
    <w:rsid w:val="00A43DD8"/>
    <w:rsid w:val="00A43EC8"/>
    <w:rsid w:val="00A449C3"/>
    <w:rsid w:val="00A44E74"/>
    <w:rsid w:val="00A44F2C"/>
    <w:rsid w:val="00A4518F"/>
    <w:rsid w:val="00A4679C"/>
    <w:rsid w:val="00A46D1B"/>
    <w:rsid w:val="00A4738C"/>
    <w:rsid w:val="00A47DEE"/>
    <w:rsid w:val="00A50009"/>
    <w:rsid w:val="00A50C60"/>
    <w:rsid w:val="00A519D0"/>
    <w:rsid w:val="00A51C5C"/>
    <w:rsid w:val="00A524D4"/>
    <w:rsid w:val="00A52BB7"/>
    <w:rsid w:val="00A52CF4"/>
    <w:rsid w:val="00A53F0C"/>
    <w:rsid w:val="00A540C3"/>
    <w:rsid w:val="00A5476C"/>
    <w:rsid w:val="00A54977"/>
    <w:rsid w:val="00A54AAD"/>
    <w:rsid w:val="00A54CD5"/>
    <w:rsid w:val="00A5561D"/>
    <w:rsid w:val="00A5583F"/>
    <w:rsid w:val="00A55A0A"/>
    <w:rsid w:val="00A55F1A"/>
    <w:rsid w:val="00A56EE2"/>
    <w:rsid w:val="00A576FA"/>
    <w:rsid w:val="00A57CA7"/>
    <w:rsid w:val="00A60FA6"/>
    <w:rsid w:val="00A610FA"/>
    <w:rsid w:val="00A61833"/>
    <w:rsid w:val="00A619E2"/>
    <w:rsid w:val="00A61E82"/>
    <w:rsid w:val="00A62329"/>
    <w:rsid w:val="00A624B5"/>
    <w:rsid w:val="00A634D4"/>
    <w:rsid w:val="00A63C9A"/>
    <w:rsid w:val="00A64287"/>
    <w:rsid w:val="00A64FEB"/>
    <w:rsid w:val="00A6523A"/>
    <w:rsid w:val="00A6585C"/>
    <w:rsid w:val="00A65FC9"/>
    <w:rsid w:val="00A66158"/>
    <w:rsid w:val="00A664D1"/>
    <w:rsid w:val="00A66A75"/>
    <w:rsid w:val="00A677A0"/>
    <w:rsid w:val="00A677C8"/>
    <w:rsid w:val="00A72346"/>
    <w:rsid w:val="00A73BC9"/>
    <w:rsid w:val="00A7466C"/>
    <w:rsid w:val="00A748CC"/>
    <w:rsid w:val="00A74EFD"/>
    <w:rsid w:val="00A74F80"/>
    <w:rsid w:val="00A7550D"/>
    <w:rsid w:val="00A77CCA"/>
    <w:rsid w:val="00A801AB"/>
    <w:rsid w:val="00A8237E"/>
    <w:rsid w:val="00A826CC"/>
    <w:rsid w:val="00A82AFC"/>
    <w:rsid w:val="00A82B11"/>
    <w:rsid w:val="00A82C18"/>
    <w:rsid w:val="00A82F3D"/>
    <w:rsid w:val="00A83D87"/>
    <w:rsid w:val="00A83EC2"/>
    <w:rsid w:val="00A843FC"/>
    <w:rsid w:val="00A848AD"/>
    <w:rsid w:val="00A84EEB"/>
    <w:rsid w:val="00A8533A"/>
    <w:rsid w:val="00A85DC9"/>
    <w:rsid w:val="00A87101"/>
    <w:rsid w:val="00A87A15"/>
    <w:rsid w:val="00A90161"/>
    <w:rsid w:val="00A90AC6"/>
    <w:rsid w:val="00A91951"/>
    <w:rsid w:val="00A92AE5"/>
    <w:rsid w:val="00A92EF6"/>
    <w:rsid w:val="00A93451"/>
    <w:rsid w:val="00A9346A"/>
    <w:rsid w:val="00A93784"/>
    <w:rsid w:val="00A93AFA"/>
    <w:rsid w:val="00A95220"/>
    <w:rsid w:val="00A962A5"/>
    <w:rsid w:val="00A96AA6"/>
    <w:rsid w:val="00A96BCB"/>
    <w:rsid w:val="00A9713F"/>
    <w:rsid w:val="00A97B4A"/>
    <w:rsid w:val="00AA1398"/>
    <w:rsid w:val="00AA2CA9"/>
    <w:rsid w:val="00AA4106"/>
    <w:rsid w:val="00AA4554"/>
    <w:rsid w:val="00AA4921"/>
    <w:rsid w:val="00AA4B29"/>
    <w:rsid w:val="00AA4D78"/>
    <w:rsid w:val="00AA5A9C"/>
    <w:rsid w:val="00AA5E06"/>
    <w:rsid w:val="00AA608E"/>
    <w:rsid w:val="00AA67F1"/>
    <w:rsid w:val="00AA716C"/>
    <w:rsid w:val="00AB0E34"/>
    <w:rsid w:val="00AB1394"/>
    <w:rsid w:val="00AB1E2E"/>
    <w:rsid w:val="00AB1F89"/>
    <w:rsid w:val="00AB2184"/>
    <w:rsid w:val="00AB35B9"/>
    <w:rsid w:val="00AB366C"/>
    <w:rsid w:val="00AB3A31"/>
    <w:rsid w:val="00AB40F3"/>
    <w:rsid w:val="00AB430C"/>
    <w:rsid w:val="00AB44C0"/>
    <w:rsid w:val="00AB4AF9"/>
    <w:rsid w:val="00AB6389"/>
    <w:rsid w:val="00AB6A3D"/>
    <w:rsid w:val="00AB6B0C"/>
    <w:rsid w:val="00AB6F05"/>
    <w:rsid w:val="00AB6F09"/>
    <w:rsid w:val="00AB780A"/>
    <w:rsid w:val="00AC1078"/>
    <w:rsid w:val="00AC206E"/>
    <w:rsid w:val="00AC2C2B"/>
    <w:rsid w:val="00AC3ADB"/>
    <w:rsid w:val="00AC435A"/>
    <w:rsid w:val="00AC4805"/>
    <w:rsid w:val="00AC4B2A"/>
    <w:rsid w:val="00AC4D4E"/>
    <w:rsid w:val="00AC52C9"/>
    <w:rsid w:val="00AC5523"/>
    <w:rsid w:val="00AC668C"/>
    <w:rsid w:val="00AC6961"/>
    <w:rsid w:val="00AC6DE3"/>
    <w:rsid w:val="00AC7B89"/>
    <w:rsid w:val="00AD0A58"/>
    <w:rsid w:val="00AD1774"/>
    <w:rsid w:val="00AD22DE"/>
    <w:rsid w:val="00AD2905"/>
    <w:rsid w:val="00AD2BE8"/>
    <w:rsid w:val="00AD2CAC"/>
    <w:rsid w:val="00AD2D97"/>
    <w:rsid w:val="00AD4D69"/>
    <w:rsid w:val="00AD4F3D"/>
    <w:rsid w:val="00AD585A"/>
    <w:rsid w:val="00AD5945"/>
    <w:rsid w:val="00AD59F6"/>
    <w:rsid w:val="00AD5E14"/>
    <w:rsid w:val="00AD62C3"/>
    <w:rsid w:val="00AD6682"/>
    <w:rsid w:val="00AD7934"/>
    <w:rsid w:val="00AD793B"/>
    <w:rsid w:val="00AD7E13"/>
    <w:rsid w:val="00AE0718"/>
    <w:rsid w:val="00AE1638"/>
    <w:rsid w:val="00AE1843"/>
    <w:rsid w:val="00AE2825"/>
    <w:rsid w:val="00AE4D8B"/>
    <w:rsid w:val="00AE60F1"/>
    <w:rsid w:val="00AF0978"/>
    <w:rsid w:val="00AF0EC4"/>
    <w:rsid w:val="00AF1E72"/>
    <w:rsid w:val="00AF29DF"/>
    <w:rsid w:val="00AF3CDE"/>
    <w:rsid w:val="00AF470E"/>
    <w:rsid w:val="00AF4814"/>
    <w:rsid w:val="00AF5F4E"/>
    <w:rsid w:val="00AF5FA5"/>
    <w:rsid w:val="00AF6A0A"/>
    <w:rsid w:val="00AF7413"/>
    <w:rsid w:val="00AF77E4"/>
    <w:rsid w:val="00AF793F"/>
    <w:rsid w:val="00AF7BCA"/>
    <w:rsid w:val="00B01E73"/>
    <w:rsid w:val="00B031E2"/>
    <w:rsid w:val="00B0353B"/>
    <w:rsid w:val="00B03636"/>
    <w:rsid w:val="00B03DA8"/>
    <w:rsid w:val="00B04D73"/>
    <w:rsid w:val="00B04E0C"/>
    <w:rsid w:val="00B04FE9"/>
    <w:rsid w:val="00B052FB"/>
    <w:rsid w:val="00B05627"/>
    <w:rsid w:val="00B078E2"/>
    <w:rsid w:val="00B07E9E"/>
    <w:rsid w:val="00B1015E"/>
    <w:rsid w:val="00B10C97"/>
    <w:rsid w:val="00B11896"/>
    <w:rsid w:val="00B119F3"/>
    <w:rsid w:val="00B12168"/>
    <w:rsid w:val="00B13705"/>
    <w:rsid w:val="00B13CD4"/>
    <w:rsid w:val="00B14BBE"/>
    <w:rsid w:val="00B1688A"/>
    <w:rsid w:val="00B16ED8"/>
    <w:rsid w:val="00B170F0"/>
    <w:rsid w:val="00B1776E"/>
    <w:rsid w:val="00B1788F"/>
    <w:rsid w:val="00B2002C"/>
    <w:rsid w:val="00B201B6"/>
    <w:rsid w:val="00B21AA4"/>
    <w:rsid w:val="00B24B24"/>
    <w:rsid w:val="00B25C45"/>
    <w:rsid w:val="00B264B1"/>
    <w:rsid w:val="00B27390"/>
    <w:rsid w:val="00B27741"/>
    <w:rsid w:val="00B27C35"/>
    <w:rsid w:val="00B30911"/>
    <w:rsid w:val="00B31042"/>
    <w:rsid w:val="00B31BA0"/>
    <w:rsid w:val="00B32D63"/>
    <w:rsid w:val="00B32FD3"/>
    <w:rsid w:val="00B335F7"/>
    <w:rsid w:val="00B33E85"/>
    <w:rsid w:val="00B3407F"/>
    <w:rsid w:val="00B34573"/>
    <w:rsid w:val="00B34F67"/>
    <w:rsid w:val="00B35170"/>
    <w:rsid w:val="00B35557"/>
    <w:rsid w:val="00B3577B"/>
    <w:rsid w:val="00B35E2A"/>
    <w:rsid w:val="00B36EEE"/>
    <w:rsid w:val="00B37025"/>
    <w:rsid w:val="00B4119A"/>
    <w:rsid w:val="00B41DEC"/>
    <w:rsid w:val="00B427F3"/>
    <w:rsid w:val="00B43180"/>
    <w:rsid w:val="00B44DC1"/>
    <w:rsid w:val="00B44F16"/>
    <w:rsid w:val="00B4554C"/>
    <w:rsid w:val="00B45FC7"/>
    <w:rsid w:val="00B4757E"/>
    <w:rsid w:val="00B50FEA"/>
    <w:rsid w:val="00B51290"/>
    <w:rsid w:val="00B51A12"/>
    <w:rsid w:val="00B5278A"/>
    <w:rsid w:val="00B52FE6"/>
    <w:rsid w:val="00B5358E"/>
    <w:rsid w:val="00B5380E"/>
    <w:rsid w:val="00B53817"/>
    <w:rsid w:val="00B53D87"/>
    <w:rsid w:val="00B54789"/>
    <w:rsid w:val="00B5648C"/>
    <w:rsid w:val="00B602C6"/>
    <w:rsid w:val="00B615BE"/>
    <w:rsid w:val="00B63774"/>
    <w:rsid w:val="00B637A5"/>
    <w:rsid w:val="00B638F9"/>
    <w:rsid w:val="00B64DBF"/>
    <w:rsid w:val="00B652DF"/>
    <w:rsid w:val="00B65443"/>
    <w:rsid w:val="00B65496"/>
    <w:rsid w:val="00B658D9"/>
    <w:rsid w:val="00B66CF6"/>
    <w:rsid w:val="00B66F90"/>
    <w:rsid w:val="00B67082"/>
    <w:rsid w:val="00B67529"/>
    <w:rsid w:val="00B67EBC"/>
    <w:rsid w:val="00B70A82"/>
    <w:rsid w:val="00B71399"/>
    <w:rsid w:val="00B713FF"/>
    <w:rsid w:val="00B71544"/>
    <w:rsid w:val="00B719E0"/>
    <w:rsid w:val="00B73087"/>
    <w:rsid w:val="00B74523"/>
    <w:rsid w:val="00B74D50"/>
    <w:rsid w:val="00B75003"/>
    <w:rsid w:val="00B75B95"/>
    <w:rsid w:val="00B762D3"/>
    <w:rsid w:val="00B76995"/>
    <w:rsid w:val="00B8003C"/>
    <w:rsid w:val="00B80699"/>
    <w:rsid w:val="00B80AC3"/>
    <w:rsid w:val="00B822B5"/>
    <w:rsid w:val="00B82972"/>
    <w:rsid w:val="00B83CBB"/>
    <w:rsid w:val="00B84475"/>
    <w:rsid w:val="00B84998"/>
    <w:rsid w:val="00B857A3"/>
    <w:rsid w:val="00B85B1C"/>
    <w:rsid w:val="00B85CB4"/>
    <w:rsid w:val="00B85DBB"/>
    <w:rsid w:val="00B862AA"/>
    <w:rsid w:val="00B863EB"/>
    <w:rsid w:val="00B86B54"/>
    <w:rsid w:val="00B86BDF"/>
    <w:rsid w:val="00B876EA"/>
    <w:rsid w:val="00B87C9A"/>
    <w:rsid w:val="00B87EAF"/>
    <w:rsid w:val="00B901F8"/>
    <w:rsid w:val="00B90288"/>
    <w:rsid w:val="00B90476"/>
    <w:rsid w:val="00B90CC6"/>
    <w:rsid w:val="00B911F1"/>
    <w:rsid w:val="00B916BC"/>
    <w:rsid w:val="00B91916"/>
    <w:rsid w:val="00B92BDA"/>
    <w:rsid w:val="00B92F71"/>
    <w:rsid w:val="00B9303C"/>
    <w:rsid w:val="00B9390D"/>
    <w:rsid w:val="00B9465D"/>
    <w:rsid w:val="00B94EF2"/>
    <w:rsid w:val="00B94F89"/>
    <w:rsid w:val="00B951F3"/>
    <w:rsid w:val="00B95B6A"/>
    <w:rsid w:val="00B96035"/>
    <w:rsid w:val="00B96455"/>
    <w:rsid w:val="00B96ECB"/>
    <w:rsid w:val="00B971AA"/>
    <w:rsid w:val="00B971F8"/>
    <w:rsid w:val="00B974A4"/>
    <w:rsid w:val="00B97F94"/>
    <w:rsid w:val="00B97FCA"/>
    <w:rsid w:val="00BA02EE"/>
    <w:rsid w:val="00BA0474"/>
    <w:rsid w:val="00BA0B11"/>
    <w:rsid w:val="00BA1E80"/>
    <w:rsid w:val="00BA2E1B"/>
    <w:rsid w:val="00BA3123"/>
    <w:rsid w:val="00BA33FE"/>
    <w:rsid w:val="00BA3BD9"/>
    <w:rsid w:val="00BA3E55"/>
    <w:rsid w:val="00BA506B"/>
    <w:rsid w:val="00BA55B2"/>
    <w:rsid w:val="00BA6520"/>
    <w:rsid w:val="00BA6819"/>
    <w:rsid w:val="00BA7A68"/>
    <w:rsid w:val="00BA7D5E"/>
    <w:rsid w:val="00BB121E"/>
    <w:rsid w:val="00BB2417"/>
    <w:rsid w:val="00BB2A9C"/>
    <w:rsid w:val="00BB3650"/>
    <w:rsid w:val="00BB3999"/>
    <w:rsid w:val="00BB4281"/>
    <w:rsid w:val="00BB4A3D"/>
    <w:rsid w:val="00BB527C"/>
    <w:rsid w:val="00BB60B6"/>
    <w:rsid w:val="00BB789B"/>
    <w:rsid w:val="00BB7AEF"/>
    <w:rsid w:val="00BC094B"/>
    <w:rsid w:val="00BC1D11"/>
    <w:rsid w:val="00BC28CC"/>
    <w:rsid w:val="00BC28FC"/>
    <w:rsid w:val="00BC2FC0"/>
    <w:rsid w:val="00BC31BA"/>
    <w:rsid w:val="00BC3569"/>
    <w:rsid w:val="00BC445F"/>
    <w:rsid w:val="00BC57D1"/>
    <w:rsid w:val="00BC58A5"/>
    <w:rsid w:val="00BC6146"/>
    <w:rsid w:val="00BC7243"/>
    <w:rsid w:val="00BC7573"/>
    <w:rsid w:val="00BC7961"/>
    <w:rsid w:val="00BD1110"/>
    <w:rsid w:val="00BD1FB2"/>
    <w:rsid w:val="00BD2759"/>
    <w:rsid w:val="00BD40D9"/>
    <w:rsid w:val="00BD43F4"/>
    <w:rsid w:val="00BD44FF"/>
    <w:rsid w:val="00BD498A"/>
    <w:rsid w:val="00BD4B26"/>
    <w:rsid w:val="00BD4EE0"/>
    <w:rsid w:val="00BD5229"/>
    <w:rsid w:val="00BD59C5"/>
    <w:rsid w:val="00BD61BD"/>
    <w:rsid w:val="00BD699F"/>
    <w:rsid w:val="00BD6C85"/>
    <w:rsid w:val="00BD6EDF"/>
    <w:rsid w:val="00BD7208"/>
    <w:rsid w:val="00BD76DB"/>
    <w:rsid w:val="00BD78E1"/>
    <w:rsid w:val="00BD7DB1"/>
    <w:rsid w:val="00BE0B01"/>
    <w:rsid w:val="00BE2033"/>
    <w:rsid w:val="00BE2B3E"/>
    <w:rsid w:val="00BE2D03"/>
    <w:rsid w:val="00BE2EE1"/>
    <w:rsid w:val="00BE338B"/>
    <w:rsid w:val="00BE390E"/>
    <w:rsid w:val="00BE3AEB"/>
    <w:rsid w:val="00BE435E"/>
    <w:rsid w:val="00BE5AC6"/>
    <w:rsid w:val="00BE5EE9"/>
    <w:rsid w:val="00BE6AB5"/>
    <w:rsid w:val="00BE7410"/>
    <w:rsid w:val="00BF1076"/>
    <w:rsid w:val="00BF2F6A"/>
    <w:rsid w:val="00BF3559"/>
    <w:rsid w:val="00BF3C54"/>
    <w:rsid w:val="00BF4126"/>
    <w:rsid w:val="00BF4C9B"/>
    <w:rsid w:val="00BF5711"/>
    <w:rsid w:val="00BF5E9D"/>
    <w:rsid w:val="00BF63EE"/>
    <w:rsid w:val="00BF66A0"/>
    <w:rsid w:val="00BF7066"/>
    <w:rsid w:val="00BF7908"/>
    <w:rsid w:val="00C007AC"/>
    <w:rsid w:val="00C00851"/>
    <w:rsid w:val="00C010AD"/>
    <w:rsid w:val="00C011FC"/>
    <w:rsid w:val="00C0129C"/>
    <w:rsid w:val="00C0144E"/>
    <w:rsid w:val="00C0261D"/>
    <w:rsid w:val="00C02D00"/>
    <w:rsid w:val="00C02EE4"/>
    <w:rsid w:val="00C03385"/>
    <w:rsid w:val="00C035CC"/>
    <w:rsid w:val="00C04029"/>
    <w:rsid w:val="00C0450D"/>
    <w:rsid w:val="00C04584"/>
    <w:rsid w:val="00C045BB"/>
    <w:rsid w:val="00C04818"/>
    <w:rsid w:val="00C049B1"/>
    <w:rsid w:val="00C04DD9"/>
    <w:rsid w:val="00C071BD"/>
    <w:rsid w:val="00C07BC9"/>
    <w:rsid w:val="00C07EFE"/>
    <w:rsid w:val="00C10325"/>
    <w:rsid w:val="00C10CFE"/>
    <w:rsid w:val="00C10E8F"/>
    <w:rsid w:val="00C111CE"/>
    <w:rsid w:val="00C11B96"/>
    <w:rsid w:val="00C12219"/>
    <w:rsid w:val="00C12605"/>
    <w:rsid w:val="00C12870"/>
    <w:rsid w:val="00C13CED"/>
    <w:rsid w:val="00C13D83"/>
    <w:rsid w:val="00C140D9"/>
    <w:rsid w:val="00C14472"/>
    <w:rsid w:val="00C1471F"/>
    <w:rsid w:val="00C15DC3"/>
    <w:rsid w:val="00C16156"/>
    <w:rsid w:val="00C17226"/>
    <w:rsid w:val="00C176F0"/>
    <w:rsid w:val="00C17B1E"/>
    <w:rsid w:val="00C17BB3"/>
    <w:rsid w:val="00C20CEF"/>
    <w:rsid w:val="00C20D7D"/>
    <w:rsid w:val="00C20E38"/>
    <w:rsid w:val="00C212C2"/>
    <w:rsid w:val="00C212E2"/>
    <w:rsid w:val="00C216F8"/>
    <w:rsid w:val="00C217D8"/>
    <w:rsid w:val="00C226DF"/>
    <w:rsid w:val="00C24CAF"/>
    <w:rsid w:val="00C25218"/>
    <w:rsid w:val="00C2564B"/>
    <w:rsid w:val="00C25809"/>
    <w:rsid w:val="00C25A0C"/>
    <w:rsid w:val="00C25B54"/>
    <w:rsid w:val="00C265AD"/>
    <w:rsid w:val="00C277C3"/>
    <w:rsid w:val="00C305CD"/>
    <w:rsid w:val="00C307E6"/>
    <w:rsid w:val="00C328EA"/>
    <w:rsid w:val="00C33602"/>
    <w:rsid w:val="00C339EB"/>
    <w:rsid w:val="00C34773"/>
    <w:rsid w:val="00C35C96"/>
    <w:rsid w:val="00C36929"/>
    <w:rsid w:val="00C36FFD"/>
    <w:rsid w:val="00C370DA"/>
    <w:rsid w:val="00C372AF"/>
    <w:rsid w:val="00C378F7"/>
    <w:rsid w:val="00C41653"/>
    <w:rsid w:val="00C41AF3"/>
    <w:rsid w:val="00C43407"/>
    <w:rsid w:val="00C437AD"/>
    <w:rsid w:val="00C43C49"/>
    <w:rsid w:val="00C43CD2"/>
    <w:rsid w:val="00C44369"/>
    <w:rsid w:val="00C44789"/>
    <w:rsid w:val="00C45B92"/>
    <w:rsid w:val="00C45CEF"/>
    <w:rsid w:val="00C45FAF"/>
    <w:rsid w:val="00C45FDF"/>
    <w:rsid w:val="00C45FEF"/>
    <w:rsid w:val="00C46D6B"/>
    <w:rsid w:val="00C478F5"/>
    <w:rsid w:val="00C508B8"/>
    <w:rsid w:val="00C509AB"/>
    <w:rsid w:val="00C509FB"/>
    <w:rsid w:val="00C51B44"/>
    <w:rsid w:val="00C52A56"/>
    <w:rsid w:val="00C53264"/>
    <w:rsid w:val="00C5360A"/>
    <w:rsid w:val="00C53615"/>
    <w:rsid w:val="00C53F9E"/>
    <w:rsid w:val="00C546F5"/>
    <w:rsid w:val="00C55212"/>
    <w:rsid w:val="00C558B8"/>
    <w:rsid w:val="00C57FC8"/>
    <w:rsid w:val="00C60564"/>
    <w:rsid w:val="00C6193D"/>
    <w:rsid w:val="00C62BFC"/>
    <w:rsid w:val="00C62CDB"/>
    <w:rsid w:val="00C630A2"/>
    <w:rsid w:val="00C63485"/>
    <w:rsid w:val="00C63646"/>
    <w:rsid w:val="00C6424E"/>
    <w:rsid w:val="00C648B1"/>
    <w:rsid w:val="00C65C92"/>
    <w:rsid w:val="00C66023"/>
    <w:rsid w:val="00C70E06"/>
    <w:rsid w:val="00C71D65"/>
    <w:rsid w:val="00C71E89"/>
    <w:rsid w:val="00C72276"/>
    <w:rsid w:val="00C72759"/>
    <w:rsid w:val="00C7395B"/>
    <w:rsid w:val="00C74D5C"/>
    <w:rsid w:val="00C75BFD"/>
    <w:rsid w:val="00C75EB3"/>
    <w:rsid w:val="00C76A34"/>
    <w:rsid w:val="00C76DDD"/>
    <w:rsid w:val="00C7702B"/>
    <w:rsid w:val="00C80231"/>
    <w:rsid w:val="00C80ED5"/>
    <w:rsid w:val="00C81ECD"/>
    <w:rsid w:val="00C81F02"/>
    <w:rsid w:val="00C838FA"/>
    <w:rsid w:val="00C85AB4"/>
    <w:rsid w:val="00C85F75"/>
    <w:rsid w:val="00C8706E"/>
    <w:rsid w:val="00C87249"/>
    <w:rsid w:val="00C8784B"/>
    <w:rsid w:val="00C87C52"/>
    <w:rsid w:val="00C90833"/>
    <w:rsid w:val="00C91766"/>
    <w:rsid w:val="00C91D2B"/>
    <w:rsid w:val="00C92161"/>
    <w:rsid w:val="00C92479"/>
    <w:rsid w:val="00C9268D"/>
    <w:rsid w:val="00C93619"/>
    <w:rsid w:val="00C93948"/>
    <w:rsid w:val="00C93B4C"/>
    <w:rsid w:val="00C93D2C"/>
    <w:rsid w:val="00C93E64"/>
    <w:rsid w:val="00C94CD9"/>
    <w:rsid w:val="00C95760"/>
    <w:rsid w:val="00C961C0"/>
    <w:rsid w:val="00C962B6"/>
    <w:rsid w:val="00C965B0"/>
    <w:rsid w:val="00C971E8"/>
    <w:rsid w:val="00C975AE"/>
    <w:rsid w:val="00C97EC6"/>
    <w:rsid w:val="00CA00D7"/>
    <w:rsid w:val="00CA06B5"/>
    <w:rsid w:val="00CA07A9"/>
    <w:rsid w:val="00CA13E0"/>
    <w:rsid w:val="00CA15A7"/>
    <w:rsid w:val="00CA15BF"/>
    <w:rsid w:val="00CA1713"/>
    <w:rsid w:val="00CA1BA9"/>
    <w:rsid w:val="00CA2314"/>
    <w:rsid w:val="00CA2507"/>
    <w:rsid w:val="00CA302A"/>
    <w:rsid w:val="00CA3066"/>
    <w:rsid w:val="00CA43E5"/>
    <w:rsid w:val="00CA466A"/>
    <w:rsid w:val="00CA5809"/>
    <w:rsid w:val="00CA5A45"/>
    <w:rsid w:val="00CA5C2F"/>
    <w:rsid w:val="00CA5CF9"/>
    <w:rsid w:val="00CA5D83"/>
    <w:rsid w:val="00CA69A0"/>
    <w:rsid w:val="00CA6C86"/>
    <w:rsid w:val="00CA7150"/>
    <w:rsid w:val="00CA7173"/>
    <w:rsid w:val="00CA7297"/>
    <w:rsid w:val="00CA75A8"/>
    <w:rsid w:val="00CA7B10"/>
    <w:rsid w:val="00CA7B4C"/>
    <w:rsid w:val="00CB0E15"/>
    <w:rsid w:val="00CB0FBD"/>
    <w:rsid w:val="00CB19FC"/>
    <w:rsid w:val="00CB1E92"/>
    <w:rsid w:val="00CB2105"/>
    <w:rsid w:val="00CB328B"/>
    <w:rsid w:val="00CB331F"/>
    <w:rsid w:val="00CB3772"/>
    <w:rsid w:val="00CB3BFC"/>
    <w:rsid w:val="00CB460F"/>
    <w:rsid w:val="00CB79F1"/>
    <w:rsid w:val="00CC04ED"/>
    <w:rsid w:val="00CC07BC"/>
    <w:rsid w:val="00CC24B3"/>
    <w:rsid w:val="00CC2D04"/>
    <w:rsid w:val="00CC353E"/>
    <w:rsid w:val="00CC3990"/>
    <w:rsid w:val="00CC3AD5"/>
    <w:rsid w:val="00CC3F0B"/>
    <w:rsid w:val="00CC411A"/>
    <w:rsid w:val="00CC4A00"/>
    <w:rsid w:val="00CC4BD0"/>
    <w:rsid w:val="00CC4C0F"/>
    <w:rsid w:val="00CC4FA0"/>
    <w:rsid w:val="00CC5A90"/>
    <w:rsid w:val="00CC6217"/>
    <w:rsid w:val="00CC69A2"/>
    <w:rsid w:val="00CC6DD4"/>
    <w:rsid w:val="00CC6F50"/>
    <w:rsid w:val="00CC7616"/>
    <w:rsid w:val="00CC7AEF"/>
    <w:rsid w:val="00CC7D8E"/>
    <w:rsid w:val="00CD0E73"/>
    <w:rsid w:val="00CD1D41"/>
    <w:rsid w:val="00CD26F8"/>
    <w:rsid w:val="00CD274D"/>
    <w:rsid w:val="00CD2C81"/>
    <w:rsid w:val="00CD2D0B"/>
    <w:rsid w:val="00CD2F38"/>
    <w:rsid w:val="00CD33F8"/>
    <w:rsid w:val="00CD3607"/>
    <w:rsid w:val="00CD3B47"/>
    <w:rsid w:val="00CD4406"/>
    <w:rsid w:val="00CD4686"/>
    <w:rsid w:val="00CD493C"/>
    <w:rsid w:val="00CD5104"/>
    <w:rsid w:val="00CD5A9A"/>
    <w:rsid w:val="00CD6625"/>
    <w:rsid w:val="00CD68C0"/>
    <w:rsid w:val="00CD731A"/>
    <w:rsid w:val="00CD7C69"/>
    <w:rsid w:val="00CD7C78"/>
    <w:rsid w:val="00CE11CD"/>
    <w:rsid w:val="00CE15E0"/>
    <w:rsid w:val="00CE2A93"/>
    <w:rsid w:val="00CE3508"/>
    <w:rsid w:val="00CE4FFC"/>
    <w:rsid w:val="00CE6850"/>
    <w:rsid w:val="00CE77B4"/>
    <w:rsid w:val="00CE7F5E"/>
    <w:rsid w:val="00CF0065"/>
    <w:rsid w:val="00CF06BE"/>
    <w:rsid w:val="00CF08C6"/>
    <w:rsid w:val="00CF1357"/>
    <w:rsid w:val="00CF2239"/>
    <w:rsid w:val="00CF28C5"/>
    <w:rsid w:val="00CF2E2C"/>
    <w:rsid w:val="00CF307E"/>
    <w:rsid w:val="00CF323D"/>
    <w:rsid w:val="00CF37A8"/>
    <w:rsid w:val="00CF387E"/>
    <w:rsid w:val="00CF3C64"/>
    <w:rsid w:val="00CF47E5"/>
    <w:rsid w:val="00CF4A0B"/>
    <w:rsid w:val="00CF545C"/>
    <w:rsid w:val="00CF564C"/>
    <w:rsid w:val="00CF623F"/>
    <w:rsid w:val="00CF6F3A"/>
    <w:rsid w:val="00D003E2"/>
    <w:rsid w:val="00D00E12"/>
    <w:rsid w:val="00D0187F"/>
    <w:rsid w:val="00D028F1"/>
    <w:rsid w:val="00D057CC"/>
    <w:rsid w:val="00D065D0"/>
    <w:rsid w:val="00D0676E"/>
    <w:rsid w:val="00D07044"/>
    <w:rsid w:val="00D07E80"/>
    <w:rsid w:val="00D10AE4"/>
    <w:rsid w:val="00D10FFA"/>
    <w:rsid w:val="00D11258"/>
    <w:rsid w:val="00D11A75"/>
    <w:rsid w:val="00D11AC7"/>
    <w:rsid w:val="00D123C0"/>
    <w:rsid w:val="00D1313A"/>
    <w:rsid w:val="00D14481"/>
    <w:rsid w:val="00D15135"/>
    <w:rsid w:val="00D154B6"/>
    <w:rsid w:val="00D159ED"/>
    <w:rsid w:val="00D15FA0"/>
    <w:rsid w:val="00D16871"/>
    <w:rsid w:val="00D171EF"/>
    <w:rsid w:val="00D17426"/>
    <w:rsid w:val="00D178C5"/>
    <w:rsid w:val="00D202C9"/>
    <w:rsid w:val="00D21A7D"/>
    <w:rsid w:val="00D22021"/>
    <w:rsid w:val="00D225C9"/>
    <w:rsid w:val="00D22D96"/>
    <w:rsid w:val="00D24240"/>
    <w:rsid w:val="00D244DE"/>
    <w:rsid w:val="00D2476E"/>
    <w:rsid w:val="00D24890"/>
    <w:rsid w:val="00D25AC4"/>
    <w:rsid w:val="00D25CF1"/>
    <w:rsid w:val="00D26944"/>
    <w:rsid w:val="00D26CB1"/>
    <w:rsid w:val="00D2790C"/>
    <w:rsid w:val="00D27997"/>
    <w:rsid w:val="00D27C50"/>
    <w:rsid w:val="00D305C5"/>
    <w:rsid w:val="00D30E4C"/>
    <w:rsid w:val="00D31BE2"/>
    <w:rsid w:val="00D32253"/>
    <w:rsid w:val="00D33A25"/>
    <w:rsid w:val="00D33F74"/>
    <w:rsid w:val="00D349B9"/>
    <w:rsid w:val="00D35264"/>
    <w:rsid w:val="00D35793"/>
    <w:rsid w:val="00D35B1D"/>
    <w:rsid w:val="00D35C45"/>
    <w:rsid w:val="00D35CA3"/>
    <w:rsid w:val="00D35EA8"/>
    <w:rsid w:val="00D35F3F"/>
    <w:rsid w:val="00D36C14"/>
    <w:rsid w:val="00D36E32"/>
    <w:rsid w:val="00D36F4E"/>
    <w:rsid w:val="00D3754A"/>
    <w:rsid w:val="00D403CF"/>
    <w:rsid w:val="00D40719"/>
    <w:rsid w:val="00D41E17"/>
    <w:rsid w:val="00D4214D"/>
    <w:rsid w:val="00D43BDE"/>
    <w:rsid w:val="00D43FCD"/>
    <w:rsid w:val="00D44422"/>
    <w:rsid w:val="00D446D3"/>
    <w:rsid w:val="00D44BE9"/>
    <w:rsid w:val="00D45798"/>
    <w:rsid w:val="00D45D21"/>
    <w:rsid w:val="00D468B2"/>
    <w:rsid w:val="00D47A21"/>
    <w:rsid w:val="00D516DF"/>
    <w:rsid w:val="00D52E89"/>
    <w:rsid w:val="00D53D15"/>
    <w:rsid w:val="00D53D74"/>
    <w:rsid w:val="00D54776"/>
    <w:rsid w:val="00D5478B"/>
    <w:rsid w:val="00D548C6"/>
    <w:rsid w:val="00D55317"/>
    <w:rsid w:val="00D5561A"/>
    <w:rsid w:val="00D55EED"/>
    <w:rsid w:val="00D5642E"/>
    <w:rsid w:val="00D57E33"/>
    <w:rsid w:val="00D61077"/>
    <w:rsid w:val="00D611B6"/>
    <w:rsid w:val="00D6135A"/>
    <w:rsid w:val="00D6246D"/>
    <w:rsid w:val="00D628DA"/>
    <w:rsid w:val="00D62E25"/>
    <w:rsid w:val="00D63039"/>
    <w:rsid w:val="00D632F9"/>
    <w:rsid w:val="00D640F9"/>
    <w:rsid w:val="00D64372"/>
    <w:rsid w:val="00D6608B"/>
    <w:rsid w:val="00D6620F"/>
    <w:rsid w:val="00D66814"/>
    <w:rsid w:val="00D6694A"/>
    <w:rsid w:val="00D7001D"/>
    <w:rsid w:val="00D700CE"/>
    <w:rsid w:val="00D70302"/>
    <w:rsid w:val="00D70AC2"/>
    <w:rsid w:val="00D70B9D"/>
    <w:rsid w:val="00D717F6"/>
    <w:rsid w:val="00D71A65"/>
    <w:rsid w:val="00D71ACF"/>
    <w:rsid w:val="00D72784"/>
    <w:rsid w:val="00D72E21"/>
    <w:rsid w:val="00D7545C"/>
    <w:rsid w:val="00D75CEA"/>
    <w:rsid w:val="00D75F02"/>
    <w:rsid w:val="00D76143"/>
    <w:rsid w:val="00D763F9"/>
    <w:rsid w:val="00D76512"/>
    <w:rsid w:val="00D7707D"/>
    <w:rsid w:val="00D77A72"/>
    <w:rsid w:val="00D77BA9"/>
    <w:rsid w:val="00D77CDD"/>
    <w:rsid w:val="00D811B6"/>
    <w:rsid w:val="00D8130A"/>
    <w:rsid w:val="00D819C6"/>
    <w:rsid w:val="00D827AD"/>
    <w:rsid w:val="00D839EF"/>
    <w:rsid w:val="00D8410C"/>
    <w:rsid w:val="00D843F2"/>
    <w:rsid w:val="00D85859"/>
    <w:rsid w:val="00D864FB"/>
    <w:rsid w:val="00D86A44"/>
    <w:rsid w:val="00D879CC"/>
    <w:rsid w:val="00D879D6"/>
    <w:rsid w:val="00D9018B"/>
    <w:rsid w:val="00D9130F"/>
    <w:rsid w:val="00D91497"/>
    <w:rsid w:val="00D91678"/>
    <w:rsid w:val="00D930E8"/>
    <w:rsid w:val="00D9378E"/>
    <w:rsid w:val="00D93C87"/>
    <w:rsid w:val="00D94BC3"/>
    <w:rsid w:val="00D94FAD"/>
    <w:rsid w:val="00D950BC"/>
    <w:rsid w:val="00D9598A"/>
    <w:rsid w:val="00D972F6"/>
    <w:rsid w:val="00D97977"/>
    <w:rsid w:val="00D97E5C"/>
    <w:rsid w:val="00DA055A"/>
    <w:rsid w:val="00DA06D9"/>
    <w:rsid w:val="00DA120B"/>
    <w:rsid w:val="00DA153B"/>
    <w:rsid w:val="00DA1E2B"/>
    <w:rsid w:val="00DA2138"/>
    <w:rsid w:val="00DA28C3"/>
    <w:rsid w:val="00DA29C9"/>
    <w:rsid w:val="00DA37AB"/>
    <w:rsid w:val="00DA5C44"/>
    <w:rsid w:val="00DA737D"/>
    <w:rsid w:val="00DA7840"/>
    <w:rsid w:val="00DA78BB"/>
    <w:rsid w:val="00DA7E81"/>
    <w:rsid w:val="00DB0E10"/>
    <w:rsid w:val="00DB1147"/>
    <w:rsid w:val="00DB1D4D"/>
    <w:rsid w:val="00DB343E"/>
    <w:rsid w:val="00DB4729"/>
    <w:rsid w:val="00DB48A0"/>
    <w:rsid w:val="00DB51B7"/>
    <w:rsid w:val="00DB5877"/>
    <w:rsid w:val="00DB71E3"/>
    <w:rsid w:val="00DC01AD"/>
    <w:rsid w:val="00DC100F"/>
    <w:rsid w:val="00DC22DF"/>
    <w:rsid w:val="00DC4881"/>
    <w:rsid w:val="00DC609B"/>
    <w:rsid w:val="00DC6A95"/>
    <w:rsid w:val="00DC6F8A"/>
    <w:rsid w:val="00DC70C9"/>
    <w:rsid w:val="00DC7457"/>
    <w:rsid w:val="00DD02BB"/>
    <w:rsid w:val="00DD06E9"/>
    <w:rsid w:val="00DD186C"/>
    <w:rsid w:val="00DD25C9"/>
    <w:rsid w:val="00DD31D6"/>
    <w:rsid w:val="00DD3336"/>
    <w:rsid w:val="00DD37A0"/>
    <w:rsid w:val="00DD4127"/>
    <w:rsid w:val="00DD428F"/>
    <w:rsid w:val="00DD4717"/>
    <w:rsid w:val="00DD496C"/>
    <w:rsid w:val="00DD52CE"/>
    <w:rsid w:val="00DD5999"/>
    <w:rsid w:val="00DD5EAB"/>
    <w:rsid w:val="00DD62E6"/>
    <w:rsid w:val="00DD657B"/>
    <w:rsid w:val="00DD6CBF"/>
    <w:rsid w:val="00DD6E45"/>
    <w:rsid w:val="00DD7161"/>
    <w:rsid w:val="00DD71C6"/>
    <w:rsid w:val="00DD71D4"/>
    <w:rsid w:val="00DD7CDA"/>
    <w:rsid w:val="00DE1560"/>
    <w:rsid w:val="00DE1E15"/>
    <w:rsid w:val="00DE2159"/>
    <w:rsid w:val="00DE2306"/>
    <w:rsid w:val="00DE276E"/>
    <w:rsid w:val="00DE3722"/>
    <w:rsid w:val="00DE3FED"/>
    <w:rsid w:val="00DE52E3"/>
    <w:rsid w:val="00DE5C3A"/>
    <w:rsid w:val="00DE5EA7"/>
    <w:rsid w:val="00DE7AC5"/>
    <w:rsid w:val="00DF0CF9"/>
    <w:rsid w:val="00DF1161"/>
    <w:rsid w:val="00DF16CE"/>
    <w:rsid w:val="00DF1A34"/>
    <w:rsid w:val="00DF1E16"/>
    <w:rsid w:val="00DF2841"/>
    <w:rsid w:val="00DF2E61"/>
    <w:rsid w:val="00DF3B9F"/>
    <w:rsid w:val="00DF4093"/>
    <w:rsid w:val="00DF443C"/>
    <w:rsid w:val="00DF4E1D"/>
    <w:rsid w:val="00DF54CD"/>
    <w:rsid w:val="00DF5785"/>
    <w:rsid w:val="00DF5E86"/>
    <w:rsid w:val="00DF657B"/>
    <w:rsid w:val="00DF7035"/>
    <w:rsid w:val="00DF72F9"/>
    <w:rsid w:val="00DF7715"/>
    <w:rsid w:val="00DF7A77"/>
    <w:rsid w:val="00E012FA"/>
    <w:rsid w:val="00E01A3D"/>
    <w:rsid w:val="00E0222C"/>
    <w:rsid w:val="00E029CE"/>
    <w:rsid w:val="00E02A27"/>
    <w:rsid w:val="00E02F3B"/>
    <w:rsid w:val="00E03273"/>
    <w:rsid w:val="00E0363E"/>
    <w:rsid w:val="00E04726"/>
    <w:rsid w:val="00E04AC6"/>
    <w:rsid w:val="00E0544A"/>
    <w:rsid w:val="00E06CE0"/>
    <w:rsid w:val="00E06F09"/>
    <w:rsid w:val="00E07547"/>
    <w:rsid w:val="00E07FE7"/>
    <w:rsid w:val="00E112A1"/>
    <w:rsid w:val="00E11C70"/>
    <w:rsid w:val="00E12E04"/>
    <w:rsid w:val="00E143FA"/>
    <w:rsid w:val="00E14792"/>
    <w:rsid w:val="00E160F1"/>
    <w:rsid w:val="00E16203"/>
    <w:rsid w:val="00E165B6"/>
    <w:rsid w:val="00E16999"/>
    <w:rsid w:val="00E171D4"/>
    <w:rsid w:val="00E17361"/>
    <w:rsid w:val="00E17448"/>
    <w:rsid w:val="00E17FFE"/>
    <w:rsid w:val="00E20088"/>
    <w:rsid w:val="00E216EF"/>
    <w:rsid w:val="00E2174B"/>
    <w:rsid w:val="00E21C21"/>
    <w:rsid w:val="00E21E09"/>
    <w:rsid w:val="00E22315"/>
    <w:rsid w:val="00E23417"/>
    <w:rsid w:val="00E23EBF"/>
    <w:rsid w:val="00E2404A"/>
    <w:rsid w:val="00E244DA"/>
    <w:rsid w:val="00E24592"/>
    <w:rsid w:val="00E248C0"/>
    <w:rsid w:val="00E24DDF"/>
    <w:rsid w:val="00E261AA"/>
    <w:rsid w:val="00E2673C"/>
    <w:rsid w:val="00E26C1F"/>
    <w:rsid w:val="00E27A89"/>
    <w:rsid w:val="00E27F56"/>
    <w:rsid w:val="00E3077D"/>
    <w:rsid w:val="00E31ADA"/>
    <w:rsid w:val="00E31F77"/>
    <w:rsid w:val="00E340E3"/>
    <w:rsid w:val="00E344E5"/>
    <w:rsid w:val="00E34F3E"/>
    <w:rsid w:val="00E3524A"/>
    <w:rsid w:val="00E3577E"/>
    <w:rsid w:val="00E361AD"/>
    <w:rsid w:val="00E36393"/>
    <w:rsid w:val="00E3669D"/>
    <w:rsid w:val="00E366DE"/>
    <w:rsid w:val="00E378F0"/>
    <w:rsid w:val="00E403A4"/>
    <w:rsid w:val="00E40D46"/>
    <w:rsid w:val="00E40FA0"/>
    <w:rsid w:val="00E413ED"/>
    <w:rsid w:val="00E42D0E"/>
    <w:rsid w:val="00E433D6"/>
    <w:rsid w:val="00E44812"/>
    <w:rsid w:val="00E453BB"/>
    <w:rsid w:val="00E45D55"/>
    <w:rsid w:val="00E45F83"/>
    <w:rsid w:val="00E46624"/>
    <w:rsid w:val="00E471F1"/>
    <w:rsid w:val="00E473AD"/>
    <w:rsid w:val="00E477FC"/>
    <w:rsid w:val="00E47CE7"/>
    <w:rsid w:val="00E50128"/>
    <w:rsid w:val="00E516DF"/>
    <w:rsid w:val="00E519A8"/>
    <w:rsid w:val="00E519F5"/>
    <w:rsid w:val="00E54C00"/>
    <w:rsid w:val="00E54C59"/>
    <w:rsid w:val="00E55208"/>
    <w:rsid w:val="00E5579E"/>
    <w:rsid w:val="00E55F81"/>
    <w:rsid w:val="00E563FC"/>
    <w:rsid w:val="00E56A4A"/>
    <w:rsid w:val="00E57123"/>
    <w:rsid w:val="00E57AC3"/>
    <w:rsid w:val="00E57CFE"/>
    <w:rsid w:val="00E6125F"/>
    <w:rsid w:val="00E613B0"/>
    <w:rsid w:val="00E614C9"/>
    <w:rsid w:val="00E6206F"/>
    <w:rsid w:val="00E624AE"/>
    <w:rsid w:val="00E62680"/>
    <w:rsid w:val="00E627D1"/>
    <w:rsid w:val="00E62EB3"/>
    <w:rsid w:val="00E63191"/>
    <w:rsid w:val="00E631A8"/>
    <w:rsid w:val="00E648A9"/>
    <w:rsid w:val="00E664B3"/>
    <w:rsid w:val="00E665AD"/>
    <w:rsid w:val="00E6691B"/>
    <w:rsid w:val="00E66BDA"/>
    <w:rsid w:val="00E66F43"/>
    <w:rsid w:val="00E70238"/>
    <w:rsid w:val="00E705E6"/>
    <w:rsid w:val="00E714FC"/>
    <w:rsid w:val="00E7159E"/>
    <w:rsid w:val="00E71746"/>
    <w:rsid w:val="00E723C8"/>
    <w:rsid w:val="00E732B1"/>
    <w:rsid w:val="00E73539"/>
    <w:rsid w:val="00E73602"/>
    <w:rsid w:val="00E7374A"/>
    <w:rsid w:val="00E73C1D"/>
    <w:rsid w:val="00E754CE"/>
    <w:rsid w:val="00E75689"/>
    <w:rsid w:val="00E756A3"/>
    <w:rsid w:val="00E7684F"/>
    <w:rsid w:val="00E76A3D"/>
    <w:rsid w:val="00E77260"/>
    <w:rsid w:val="00E800B5"/>
    <w:rsid w:val="00E803DA"/>
    <w:rsid w:val="00E82150"/>
    <w:rsid w:val="00E8220C"/>
    <w:rsid w:val="00E840D7"/>
    <w:rsid w:val="00E84572"/>
    <w:rsid w:val="00E86ECB"/>
    <w:rsid w:val="00E871B0"/>
    <w:rsid w:val="00E878F8"/>
    <w:rsid w:val="00E87C28"/>
    <w:rsid w:val="00E90442"/>
    <w:rsid w:val="00E90764"/>
    <w:rsid w:val="00E932CE"/>
    <w:rsid w:val="00E9375B"/>
    <w:rsid w:val="00E93E7B"/>
    <w:rsid w:val="00E9414A"/>
    <w:rsid w:val="00E94D1B"/>
    <w:rsid w:val="00E95CA2"/>
    <w:rsid w:val="00E95DA1"/>
    <w:rsid w:val="00E9656C"/>
    <w:rsid w:val="00E97C16"/>
    <w:rsid w:val="00E97F99"/>
    <w:rsid w:val="00EA03A9"/>
    <w:rsid w:val="00EA0B58"/>
    <w:rsid w:val="00EA16C2"/>
    <w:rsid w:val="00EA1C46"/>
    <w:rsid w:val="00EA3399"/>
    <w:rsid w:val="00EA34C1"/>
    <w:rsid w:val="00EA40C0"/>
    <w:rsid w:val="00EA41BB"/>
    <w:rsid w:val="00EA44E3"/>
    <w:rsid w:val="00EA4503"/>
    <w:rsid w:val="00EA5428"/>
    <w:rsid w:val="00EA5E63"/>
    <w:rsid w:val="00EA68F2"/>
    <w:rsid w:val="00EA6FFA"/>
    <w:rsid w:val="00EA74B5"/>
    <w:rsid w:val="00EA7A60"/>
    <w:rsid w:val="00EB021F"/>
    <w:rsid w:val="00EB0476"/>
    <w:rsid w:val="00EB0CF1"/>
    <w:rsid w:val="00EB19A8"/>
    <w:rsid w:val="00EB1B38"/>
    <w:rsid w:val="00EB1B8E"/>
    <w:rsid w:val="00EB275F"/>
    <w:rsid w:val="00EB31C1"/>
    <w:rsid w:val="00EB3FA9"/>
    <w:rsid w:val="00EB4545"/>
    <w:rsid w:val="00EB4710"/>
    <w:rsid w:val="00EB4A85"/>
    <w:rsid w:val="00EB57B7"/>
    <w:rsid w:val="00EB5F3B"/>
    <w:rsid w:val="00EB6211"/>
    <w:rsid w:val="00EB7AE2"/>
    <w:rsid w:val="00EC0562"/>
    <w:rsid w:val="00EC0DCF"/>
    <w:rsid w:val="00EC1C23"/>
    <w:rsid w:val="00EC1D19"/>
    <w:rsid w:val="00EC1E16"/>
    <w:rsid w:val="00EC240D"/>
    <w:rsid w:val="00EC262B"/>
    <w:rsid w:val="00EC2785"/>
    <w:rsid w:val="00EC2A66"/>
    <w:rsid w:val="00EC3C38"/>
    <w:rsid w:val="00EC3C4E"/>
    <w:rsid w:val="00EC46E0"/>
    <w:rsid w:val="00EC47BE"/>
    <w:rsid w:val="00EC49B4"/>
    <w:rsid w:val="00EC4CEA"/>
    <w:rsid w:val="00EC57C4"/>
    <w:rsid w:val="00EC5DE4"/>
    <w:rsid w:val="00EC5E4C"/>
    <w:rsid w:val="00EC5EEA"/>
    <w:rsid w:val="00EC623C"/>
    <w:rsid w:val="00EC6381"/>
    <w:rsid w:val="00EC64B8"/>
    <w:rsid w:val="00EC6C4F"/>
    <w:rsid w:val="00EC6CB0"/>
    <w:rsid w:val="00EC7321"/>
    <w:rsid w:val="00EC7B47"/>
    <w:rsid w:val="00ED14C5"/>
    <w:rsid w:val="00ED256C"/>
    <w:rsid w:val="00ED270D"/>
    <w:rsid w:val="00ED2C47"/>
    <w:rsid w:val="00ED3B71"/>
    <w:rsid w:val="00ED401B"/>
    <w:rsid w:val="00ED4E1B"/>
    <w:rsid w:val="00ED5667"/>
    <w:rsid w:val="00ED5D6B"/>
    <w:rsid w:val="00ED642B"/>
    <w:rsid w:val="00ED65A4"/>
    <w:rsid w:val="00ED692A"/>
    <w:rsid w:val="00ED7D38"/>
    <w:rsid w:val="00ED7F79"/>
    <w:rsid w:val="00EE03A1"/>
    <w:rsid w:val="00EE25D2"/>
    <w:rsid w:val="00EE3747"/>
    <w:rsid w:val="00EE3C3C"/>
    <w:rsid w:val="00EE3CB9"/>
    <w:rsid w:val="00EE4A12"/>
    <w:rsid w:val="00EE4E12"/>
    <w:rsid w:val="00EE56DF"/>
    <w:rsid w:val="00EE5F46"/>
    <w:rsid w:val="00EE6E93"/>
    <w:rsid w:val="00EF054D"/>
    <w:rsid w:val="00EF14C1"/>
    <w:rsid w:val="00EF1A5A"/>
    <w:rsid w:val="00EF22AF"/>
    <w:rsid w:val="00EF2491"/>
    <w:rsid w:val="00EF40C8"/>
    <w:rsid w:val="00EF42B1"/>
    <w:rsid w:val="00EF42DC"/>
    <w:rsid w:val="00EF4865"/>
    <w:rsid w:val="00EF48B1"/>
    <w:rsid w:val="00EF4B71"/>
    <w:rsid w:val="00EF56CF"/>
    <w:rsid w:val="00EF6850"/>
    <w:rsid w:val="00F016DA"/>
    <w:rsid w:val="00F020BF"/>
    <w:rsid w:val="00F02858"/>
    <w:rsid w:val="00F02917"/>
    <w:rsid w:val="00F03120"/>
    <w:rsid w:val="00F03EDB"/>
    <w:rsid w:val="00F04279"/>
    <w:rsid w:val="00F05226"/>
    <w:rsid w:val="00F05936"/>
    <w:rsid w:val="00F05BA6"/>
    <w:rsid w:val="00F05CA1"/>
    <w:rsid w:val="00F05FBE"/>
    <w:rsid w:val="00F06086"/>
    <w:rsid w:val="00F0609E"/>
    <w:rsid w:val="00F06717"/>
    <w:rsid w:val="00F0699E"/>
    <w:rsid w:val="00F06C77"/>
    <w:rsid w:val="00F07326"/>
    <w:rsid w:val="00F07362"/>
    <w:rsid w:val="00F1016F"/>
    <w:rsid w:val="00F104C6"/>
    <w:rsid w:val="00F1101B"/>
    <w:rsid w:val="00F11CD6"/>
    <w:rsid w:val="00F12ABA"/>
    <w:rsid w:val="00F14BB0"/>
    <w:rsid w:val="00F151AF"/>
    <w:rsid w:val="00F15D2E"/>
    <w:rsid w:val="00F16B58"/>
    <w:rsid w:val="00F16EB1"/>
    <w:rsid w:val="00F2019A"/>
    <w:rsid w:val="00F20868"/>
    <w:rsid w:val="00F20936"/>
    <w:rsid w:val="00F209A6"/>
    <w:rsid w:val="00F2127B"/>
    <w:rsid w:val="00F229F1"/>
    <w:rsid w:val="00F23B4B"/>
    <w:rsid w:val="00F23CE8"/>
    <w:rsid w:val="00F2401E"/>
    <w:rsid w:val="00F25535"/>
    <w:rsid w:val="00F25781"/>
    <w:rsid w:val="00F26996"/>
    <w:rsid w:val="00F26A13"/>
    <w:rsid w:val="00F303C7"/>
    <w:rsid w:val="00F30B60"/>
    <w:rsid w:val="00F31007"/>
    <w:rsid w:val="00F3119E"/>
    <w:rsid w:val="00F316E3"/>
    <w:rsid w:val="00F31967"/>
    <w:rsid w:val="00F31E91"/>
    <w:rsid w:val="00F31EA2"/>
    <w:rsid w:val="00F32968"/>
    <w:rsid w:val="00F32C85"/>
    <w:rsid w:val="00F33431"/>
    <w:rsid w:val="00F34249"/>
    <w:rsid w:val="00F34A1F"/>
    <w:rsid w:val="00F3723B"/>
    <w:rsid w:val="00F4034D"/>
    <w:rsid w:val="00F405C2"/>
    <w:rsid w:val="00F40F06"/>
    <w:rsid w:val="00F41668"/>
    <w:rsid w:val="00F41852"/>
    <w:rsid w:val="00F41BF1"/>
    <w:rsid w:val="00F42039"/>
    <w:rsid w:val="00F43125"/>
    <w:rsid w:val="00F43192"/>
    <w:rsid w:val="00F437B5"/>
    <w:rsid w:val="00F43BC6"/>
    <w:rsid w:val="00F4435D"/>
    <w:rsid w:val="00F4566D"/>
    <w:rsid w:val="00F4592A"/>
    <w:rsid w:val="00F45B46"/>
    <w:rsid w:val="00F463C2"/>
    <w:rsid w:val="00F465DC"/>
    <w:rsid w:val="00F46768"/>
    <w:rsid w:val="00F4678A"/>
    <w:rsid w:val="00F46C97"/>
    <w:rsid w:val="00F508C6"/>
    <w:rsid w:val="00F50CCF"/>
    <w:rsid w:val="00F517C8"/>
    <w:rsid w:val="00F51D5B"/>
    <w:rsid w:val="00F51EEA"/>
    <w:rsid w:val="00F5214C"/>
    <w:rsid w:val="00F533DB"/>
    <w:rsid w:val="00F53EF4"/>
    <w:rsid w:val="00F543D7"/>
    <w:rsid w:val="00F5516C"/>
    <w:rsid w:val="00F55D23"/>
    <w:rsid w:val="00F56471"/>
    <w:rsid w:val="00F5650A"/>
    <w:rsid w:val="00F56BA9"/>
    <w:rsid w:val="00F5727D"/>
    <w:rsid w:val="00F603AD"/>
    <w:rsid w:val="00F60892"/>
    <w:rsid w:val="00F612A4"/>
    <w:rsid w:val="00F61562"/>
    <w:rsid w:val="00F62D54"/>
    <w:rsid w:val="00F6300A"/>
    <w:rsid w:val="00F63390"/>
    <w:rsid w:val="00F63FC9"/>
    <w:rsid w:val="00F64246"/>
    <w:rsid w:val="00F64385"/>
    <w:rsid w:val="00F64E9C"/>
    <w:rsid w:val="00F66D0A"/>
    <w:rsid w:val="00F67303"/>
    <w:rsid w:val="00F6755B"/>
    <w:rsid w:val="00F67C46"/>
    <w:rsid w:val="00F702F3"/>
    <w:rsid w:val="00F70F91"/>
    <w:rsid w:val="00F7176E"/>
    <w:rsid w:val="00F71CFC"/>
    <w:rsid w:val="00F72F46"/>
    <w:rsid w:val="00F72FA3"/>
    <w:rsid w:val="00F736E0"/>
    <w:rsid w:val="00F740CC"/>
    <w:rsid w:val="00F753B2"/>
    <w:rsid w:val="00F75BC0"/>
    <w:rsid w:val="00F75DBB"/>
    <w:rsid w:val="00F76650"/>
    <w:rsid w:val="00F8098A"/>
    <w:rsid w:val="00F80AA5"/>
    <w:rsid w:val="00F80E5D"/>
    <w:rsid w:val="00F8102D"/>
    <w:rsid w:val="00F81116"/>
    <w:rsid w:val="00F822F4"/>
    <w:rsid w:val="00F82DC4"/>
    <w:rsid w:val="00F82EF0"/>
    <w:rsid w:val="00F830D2"/>
    <w:rsid w:val="00F846F2"/>
    <w:rsid w:val="00F84EF2"/>
    <w:rsid w:val="00F8560A"/>
    <w:rsid w:val="00F85995"/>
    <w:rsid w:val="00F85B54"/>
    <w:rsid w:val="00F86707"/>
    <w:rsid w:val="00F86EA2"/>
    <w:rsid w:val="00F879A3"/>
    <w:rsid w:val="00F9013F"/>
    <w:rsid w:val="00F901CB"/>
    <w:rsid w:val="00F9084A"/>
    <w:rsid w:val="00F90BE8"/>
    <w:rsid w:val="00F91926"/>
    <w:rsid w:val="00F92756"/>
    <w:rsid w:val="00F934F7"/>
    <w:rsid w:val="00F93C69"/>
    <w:rsid w:val="00F944F1"/>
    <w:rsid w:val="00F94626"/>
    <w:rsid w:val="00F94B30"/>
    <w:rsid w:val="00F94BD3"/>
    <w:rsid w:val="00F95003"/>
    <w:rsid w:val="00F95C3C"/>
    <w:rsid w:val="00F961B0"/>
    <w:rsid w:val="00F9634B"/>
    <w:rsid w:val="00F96717"/>
    <w:rsid w:val="00F974E1"/>
    <w:rsid w:val="00F9765F"/>
    <w:rsid w:val="00FA0854"/>
    <w:rsid w:val="00FA10B9"/>
    <w:rsid w:val="00FA1448"/>
    <w:rsid w:val="00FA1C0E"/>
    <w:rsid w:val="00FA1CB3"/>
    <w:rsid w:val="00FA1FB9"/>
    <w:rsid w:val="00FA2654"/>
    <w:rsid w:val="00FA265F"/>
    <w:rsid w:val="00FA2DA4"/>
    <w:rsid w:val="00FA4BDE"/>
    <w:rsid w:val="00FA4F25"/>
    <w:rsid w:val="00FA5BA1"/>
    <w:rsid w:val="00FA5E7F"/>
    <w:rsid w:val="00FA6198"/>
    <w:rsid w:val="00FA6438"/>
    <w:rsid w:val="00FA68C2"/>
    <w:rsid w:val="00FA6B2C"/>
    <w:rsid w:val="00FA6D14"/>
    <w:rsid w:val="00FA76FB"/>
    <w:rsid w:val="00FB1A17"/>
    <w:rsid w:val="00FB1EFA"/>
    <w:rsid w:val="00FB328D"/>
    <w:rsid w:val="00FB367A"/>
    <w:rsid w:val="00FB3EDF"/>
    <w:rsid w:val="00FB43BE"/>
    <w:rsid w:val="00FB497F"/>
    <w:rsid w:val="00FB49CE"/>
    <w:rsid w:val="00FB4E7D"/>
    <w:rsid w:val="00FB55CA"/>
    <w:rsid w:val="00FB57E2"/>
    <w:rsid w:val="00FB6206"/>
    <w:rsid w:val="00FB6838"/>
    <w:rsid w:val="00FB726C"/>
    <w:rsid w:val="00FB7B96"/>
    <w:rsid w:val="00FB7DAD"/>
    <w:rsid w:val="00FB7F22"/>
    <w:rsid w:val="00FC052C"/>
    <w:rsid w:val="00FC1E6B"/>
    <w:rsid w:val="00FC2781"/>
    <w:rsid w:val="00FC298E"/>
    <w:rsid w:val="00FC2C13"/>
    <w:rsid w:val="00FC39E2"/>
    <w:rsid w:val="00FC3EF5"/>
    <w:rsid w:val="00FC3F24"/>
    <w:rsid w:val="00FC42F1"/>
    <w:rsid w:val="00FC4C14"/>
    <w:rsid w:val="00FC516E"/>
    <w:rsid w:val="00FC5989"/>
    <w:rsid w:val="00FC5D41"/>
    <w:rsid w:val="00FC6682"/>
    <w:rsid w:val="00FC70A4"/>
    <w:rsid w:val="00FC7168"/>
    <w:rsid w:val="00FC7972"/>
    <w:rsid w:val="00FC79A0"/>
    <w:rsid w:val="00FC7C86"/>
    <w:rsid w:val="00FD040E"/>
    <w:rsid w:val="00FD095E"/>
    <w:rsid w:val="00FD0FBB"/>
    <w:rsid w:val="00FD135F"/>
    <w:rsid w:val="00FD3A6E"/>
    <w:rsid w:val="00FD3BA4"/>
    <w:rsid w:val="00FD4201"/>
    <w:rsid w:val="00FD4956"/>
    <w:rsid w:val="00FD4CFF"/>
    <w:rsid w:val="00FD655D"/>
    <w:rsid w:val="00FD7BC7"/>
    <w:rsid w:val="00FE0A6A"/>
    <w:rsid w:val="00FE0A8D"/>
    <w:rsid w:val="00FE0E01"/>
    <w:rsid w:val="00FE101B"/>
    <w:rsid w:val="00FE3CCB"/>
    <w:rsid w:val="00FE5603"/>
    <w:rsid w:val="00FE6122"/>
    <w:rsid w:val="00FE6340"/>
    <w:rsid w:val="00FE6A76"/>
    <w:rsid w:val="00FE6F0D"/>
    <w:rsid w:val="00FE743C"/>
    <w:rsid w:val="00FE76BD"/>
    <w:rsid w:val="00FF007A"/>
    <w:rsid w:val="00FF0BE2"/>
    <w:rsid w:val="00FF1026"/>
    <w:rsid w:val="00FF1DD0"/>
    <w:rsid w:val="00FF32C7"/>
    <w:rsid w:val="00FF3481"/>
    <w:rsid w:val="00FF363D"/>
    <w:rsid w:val="00FF3938"/>
    <w:rsid w:val="00FF503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13433"/>
  <w15:docId w15:val="{C7324F48-B371-4887-9F92-394B8F03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EF"/>
    <w:rPr>
      <w:sz w:val="24"/>
      <w:szCs w:val="24"/>
    </w:rPr>
  </w:style>
  <w:style w:type="paragraph" w:styleId="Heading1">
    <w:name w:val="heading 1"/>
    <w:basedOn w:val="Normal"/>
    <w:next w:val="Normal"/>
    <w:link w:val="Heading1Char"/>
    <w:qFormat/>
    <w:rsid w:val="009A7BB4"/>
    <w:pPr>
      <w:keepNext/>
      <w:outlineLvl w:val="0"/>
    </w:pPr>
    <w:rPr>
      <w:b/>
      <w:bCs/>
      <w:lang w:val="sr-Cyrl-CS" w:eastAsia="en-US"/>
    </w:rPr>
  </w:style>
  <w:style w:type="paragraph" w:styleId="Heading2">
    <w:name w:val="heading 2"/>
    <w:basedOn w:val="Normal"/>
    <w:next w:val="Normal"/>
    <w:link w:val="Heading2Char"/>
    <w:semiHidden/>
    <w:unhideWhenUsed/>
    <w:qFormat/>
    <w:rsid w:val="005818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45FA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071B8"/>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sr-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C1204"/>
    <w:pPr>
      <w:spacing w:after="160" w:line="240" w:lineRule="exact"/>
    </w:pPr>
    <w:rPr>
      <w:rFonts w:ascii="Verdana" w:hAnsi="Verdana"/>
      <w:sz w:val="20"/>
      <w:szCs w:val="20"/>
      <w:lang w:val="en-US" w:eastAsia="en-US"/>
    </w:rPr>
  </w:style>
  <w:style w:type="paragraph" w:styleId="Header">
    <w:name w:val="header"/>
    <w:basedOn w:val="Normal"/>
    <w:link w:val="HeaderChar"/>
    <w:uiPriority w:val="99"/>
    <w:rsid w:val="00164008"/>
    <w:pPr>
      <w:tabs>
        <w:tab w:val="center" w:pos="4536"/>
        <w:tab w:val="right" w:pos="9072"/>
      </w:tabs>
    </w:pPr>
  </w:style>
  <w:style w:type="paragraph" w:styleId="Footer">
    <w:name w:val="footer"/>
    <w:basedOn w:val="Normal"/>
    <w:link w:val="FooterChar"/>
    <w:uiPriority w:val="99"/>
    <w:rsid w:val="00164008"/>
    <w:pPr>
      <w:tabs>
        <w:tab w:val="center" w:pos="4536"/>
        <w:tab w:val="right" w:pos="9072"/>
      </w:tabs>
    </w:pPr>
  </w:style>
  <w:style w:type="table" w:styleId="TableGrid">
    <w:name w:val="Table Grid"/>
    <w:basedOn w:val="TableNormal"/>
    <w:uiPriority w:val="59"/>
    <w:qFormat/>
    <w:rsid w:val="0016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C1204"/>
  </w:style>
  <w:style w:type="paragraph" w:styleId="FootnoteText">
    <w:name w:val="footnote text"/>
    <w:basedOn w:val="Normal"/>
    <w:link w:val="FootnoteTextChar"/>
    <w:uiPriority w:val="99"/>
    <w:semiHidden/>
    <w:rsid w:val="002C1204"/>
    <w:rPr>
      <w:rFonts w:ascii="Cir Times Roman" w:hAnsi="Cir Times Roman"/>
      <w:sz w:val="20"/>
      <w:szCs w:val="20"/>
      <w:lang w:eastAsia="en-US"/>
    </w:rPr>
  </w:style>
  <w:style w:type="character" w:styleId="FootnoteReference">
    <w:name w:val="footnote reference"/>
    <w:basedOn w:val="DefaultParagraphFont"/>
    <w:uiPriority w:val="99"/>
    <w:semiHidden/>
    <w:rsid w:val="002C1204"/>
    <w:rPr>
      <w:vertAlign w:val="superscript"/>
    </w:rPr>
  </w:style>
  <w:style w:type="character" w:customStyle="1" w:styleId="FooterChar">
    <w:name w:val="Footer Char"/>
    <w:basedOn w:val="DefaultParagraphFont"/>
    <w:link w:val="Footer"/>
    <w:uiPriority w:val="99"/>
    <w:rsid w:val="001E0ABA"/>
    <w:rPr>
      <w:sz w:val="24"/>
      <w:szCs w:val="24"/>
      <w:lang w:val="sr-Latn-CS" w:eastAsia="sr-Latn-CS"/>
    </w:rPr>
  </w:style>
  <w:style w:type="character" w:styleId="Hyperlink">
    <w:name w:val="Hyperlink"/>
    <w:basedOn w:val="DefaultParagraphFont"/>
    <w:uiPriority w:val="99"/>
    <w:rsid w:val="000802A8"/>
    <w:rPr>
      <w:color w:val="0000FF"/>
      <w:u w:val="single"/>
    </w:rPr>
  </w:style>
  <w:style w:type="character" w:customStyle="1" w:styleId="Heading1Char">
    <w:name w:val="Heading 1 Char"/>
    <w:basedOn w:val="DefaultParagraphFont"/>
    <w:link w:val="Heading1"/>
    <w:rsid w:val="009A7BB4"/>
    <w:rPr>
      <w:b/>
      <w:bCs/>
      <w:sz w:val="24"/>
      <w:szCs w:val="24"/>
      <w:lang w:val="sr-Cyrl-CS"/>
    </w:rPr>
  </w:style>
  <w:style w:type="paragraph" w:styleId="BalloonText">
    <w:name w:val="Balloon Text"/>
    <w:basedOn w:val="Normal"/>
    <w:link w:val="BalloonTextChar"/>
    <w:uiPriority w:val="99"/>
    <w:rsid w:val="001A7368"/>
    <w:rPr>
      <w:rFonts w:ascii="Tahoma" w:hAnsi="Tahoma" w:cs="Tahoma"/>
      <w:sz w:val="16"/>
      <w:szCs w:val="16"/>
    </w:rPr>
  </w:style>
  <w:style w:type="character" w:customStyle="1" w:styleId="BalloonTextChar">
    <w:name w:val="Balloon Text Char"/>
    <w:basedOn w:val="DefaultParagraphFont"/>
    <w:link w:val="BalloonText"/>
    <w:uiPriority w:val="99"/>
    <w:rsid w:val="001A7368"/>
    <w:rPr>
      <w:rFonts w:ascii="Tahoma" w:hAnsi="Tahoma" w:cs="Tahoma"/>
      <w:sz w:val="16"/>
      <w:szCs w:val="16"/>
    </w:rPr>
  </w:style>
  <w:style w:type="character" w:customStyle="1" w:styleId="FootnoteTextChar">
    <w:name w:val="Footnote Text Char"/>
    <w:basedOn w:val="DefaultParagraphFont"/>
    <w:link w:val="FootnoteText"/>
    <w:uiPriority w:val="99"/>
    <w:semiHidden/>
    <w:rsid w:val="008518A6"/>
    <w:rPr>
      <w:rFonts w:ascii="Cir Times Roman" w:hAnsi="Cir Times Roman"/>
      <w:lang w:eastAsia="en-US"/>
    </w:rPr>
  </w:style>
  <w:style w:type="paragraph" w:styleId="ListParagraph">
    <w:name w:val="List Paragraph"/>
    <w:basedOn w:val="Normal"/>
    <w:uiPriority w:val="34"/>
    <w:qFormat/>
    <w:rsid w:val="004052D6"/>
    <w:pPr>
      <w:ind w:left="720"/>
      <w:contextualSpacing/>
    </w:pPr>
  </w:style>
  <w:style w:type="paragraph" w:styleId="BodyText2">
    <w:name w:val="Body Text 2"/>
    <w:basedOn w:val="Normal"/>
    <w:link w:val="BodyText2Char"/>
    <w:rsid w:val="00A44E74"/>
    <w:pPr>
      <w:spacing w:after="120" w:line="480" w:lineRule="auto"/>
    </w:pPr>
    <w:rPr>
      <w:lang w:val="bs-Latn-BA" w:eastAsia="en-US"/>
    </w:rPr>
  </w:style>
  <w:style w:type="character" w:customStyle="1" w:styleId="BodyText2Char">
    <w:name w:val="Body Text 2 Char"/>
    <w:basedOn w:val="DefaultParagraphFont"/>
    <w:link w:val="BodyText2"/>
    <w:rsid w:val="00A44E74"/>
    <w:rPr>
      <w:sz w:val="24"/>
      <w:szCs w:val="24"/>
      <w:lang w:val="bs-Latn-BA" w:eastAsia="en-US"/>
    </w:rPr>
  </w:style>
  <w:style w:type="paragraph" w:styleId="NoSpacing">
    <w:name w:val="No Spacing"/>
    <w:uiPriority w:val="1"/>
    <w:qFormat/>
    <w:rsid w:val="00945B32"/>
    <w:pPr>
      <w:spacing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C49E9"/>
    <w:rPr>
      <w:sz w:val="24"/>
      <w:szCs w:val="24"/>
    </w:rPr>
  </w:style>
  <w:style w:type="paragraph" w:customStyle="1" w:styleId="Default">
    <w:name w:val="Default"/>
    <w:rsid w:val="001F0F78"/>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E55F81"/>
    <w:rPr>
      <w:sz w:val="20"/>
      <w:szCs w:val="20"/>
    </w:rPr>
  </w:style>
  <w:style w:type="character" w:customStyle="1" w:styleId="EndnoteTextChar">
    <w:name w:val="Endnote Text Char"/>
    <w:basedOn w:val="DefaultParagraphFont"/>
    <w:link w:val="EndnoteText"/>
    <w:semiHidden/>
    <w:rsid w:val="00E55F81"/>
  </w:style>
  <w:style w:type="character" w:styleId="EndnoteReference">
    <w:name w:val="endnote reference"/>
    <w:basedOn w:val="DefaultParagraphFont"/>
    <w:semiHidden/>
    <w:unhideWhenUsed/>
    <w:rsid w:val="00E55F81"/>
    <w:rPr>
      <w:vertAlign w:val="superscript"/>
    </w:rPr>
  </w:style>
  <w:style w:type="paragraph" w:styleId="Subtitle">
    <w:name w:val="Subtitle"/>
    <w:basedOn w:val="Normal"/>
    <w:next w:val="Normal"/>
    <w:link w:val="SubtitleChar"/>
    <w:qFormat/>
    <w:rsid w:val="00FA619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A6198"/>
    <w:rPr>
      <w:rFonts w:asciiTheme="majorHAnsi" w:eastAsiaTheme="majorEastAsia" w:hAnsiTheme="majorHAnsi" w:cstheme="majorBidi"/>
      <w:i/>
      <w:iCs/>
      <w:color w:val="4F81BD" w:themeColor="accent1"/>
      <w:spacing w:val="15"/>
      <w:sz w:val="24"/>
      <w:szCs w:val="24"/>
    </w:rPr>
  </w:style>
  <w:style w:type="character" w:customStyle="1" w:styleId="Bodytext">
    <w:name w:val="Body text_"/>
    <w:basedOn w:val="DefaultParagraphFont"/>
    <w:link w:val="BodyText9"/>
    <w:rsid w:val="00A156F1"/>
    <w:rPr>
      <w:rFonts w:ascii="Calibri" w:eastAsia="Calibri" w:hAnsi="Calibri" w:cs="Calibri"/>
      <w:sz w:val="21"/>
      <w:szCs w:val="21"/>
      <w:shd w:val="clear" w:color="auto" w:fill="FFFFFF"/>
    </w:rPr>
  </w:style>
  <w:style w:type="character" w:customStyle="1" w:styleId="BodyText6">
    <w:name w:val="Body Text6"/>
    <w:basedOn w:val="Bodytext"/>
    <w:rsid w:val="00A156F1"/>
    <w:rPr>
      <w:rFonts w:ascii="Calibri" w:eastAsia="Calibri" w:hAnsi="Calibri" w:cs="Calibri"/>
      <w:color w:val="000000"/>
      <w:spacing w:val="0"/>
      <w:w w:val="100"/>
      <w:position w:val="0"/>
      <w:sz w:val="21"/>
      <w:szCs w:val="21"/>
      <w:shd w:val="clear" w:color="auto" w:fill="FFFFFF"/>
    </w:rPr>
  </w:style>
  <w:style w:type="paragraph" w:customStyle="1" w:styleId="BodyText9">
    <w:name w:val="Body Text9"/>
    <w:basedOn w:val="Normal"/>
    <w:link w:val="Bodytext"/>
    <w:rsid w:val="00A156F1"/>
    <w:pPr>
      <w:widowControl w:val="0"/>
      <w:shd w:val="clear" w:color="auto" w:fill="FFFFFF"/>
      <w:spacing w:line="264" w:lineRule="exact"/>
      <w:ind w:hanging="420"/>
      <w:jc w:val="both"/>
    </w:pPr>
    <w:rPr>
      <w:rFonts w:ascii="Calibri" w:eastAsia="Calibri" w:hAnsi="Calibri" w:cs="Calibri"/>
      <w:sz w:val="21"/>
      <w:szCs w:val="21"/>
    </w:rPr>
  </w:style>
  <w:style w:type="character" w:customStyle="1" w:styleId="BodytextItalic">
    <w:name w:val="Body text + Italic"/>
    <w:basedOn w:val="Bodytext"/>
    <w:rsid w:val="006415A0"/>
    <w:rPr>
      <w:rFonts w:ascii="Calibri" w:eastAsia="Calibri" w:hAnsi="Calibri" w:cs="Calibri"/>
      <w:b w:val="0"/>
      <w:bCs w:val="0"/>
      <w:i/>
      <w:iCs/>
      <w:smallCaps w:val="0"/>
      <w:strike w:val="0"/>
      <w:color w:val="000000"/>
      <w:spacing w:val="0"/>
      <w:w w:val="100"/>
      <w:position w:val="0"/>
      <w:sz w:val="21"/>
      <w:szCs w:val="21"/>
      <w:u w:val="none"/>
      <w:shd w:val="clear" w:color="auto" w:fill="FFFFFF"/>
    </w:rPr>
  </w:style>
  <w:style w:type="character" w:styleId="Strong">
    <w:name w:val="Strong"/>
    <w:basedOn w:val="DefaultParagraphFont"/>
    <w:uiPriority w:val="22"/>
    <w:qFormat/>
    <w:rsid w:val="004B46C1"/>
    <w:rPr>
      <w:b/>
      <w:bCs/>
    </w:rPr>
  </w:style>
  <w:style w:type="character" w:customStyle="1" w:styleId="Heading3Char">
    <w:name w:val="Heading 3 Char"/>
    <w:basedOn w:val="DefaultParagraphFont"/>
    <w:link w:val="Heading3"/>
    <w:semiHidden/>
    <w:rsid w:val="00C45FA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45FAF"/>
    <w:pPr>
      <w:spacing w:after="135"/>
    </w:pPr>
    <w:rPr>
      <w:lang w:val="en-US" w:eastAsia="en-US"/>
    </w:rPr>
  </w:style>
  <w:style w:type="character" w:customStyle="1" w:styleId="Heading2Char">
    <w:name w:val="Heading 2 Char"/>
    <w:basedOn w:val="DefaultParagraphFont"/>
    <w:link w:val="Heading2"/>
    <w:semiHidden/>
    <w:rsid w:val="0058180D"/>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573E6E"/>
    <w:rPr>
      <w:rFonts w:ascii="Cambria" w:hAnsi="Cambria" w:hint="default"/>
      <w:b/>
      <w:bCs/>
      <w:i w:val="0"/>
      <w:iCs w:val="0"/>
      <w:color w:val="000000"/>
      <w:sz w:val="22"/>
      <w:szCs w:val="22"/>
    </w:rPr>
  </w:style>
  <w:style w:type="character" w:customStyle="1" w:styleId="fontstyle21">
    <w:name w:val="fontstyle21"/>
    <w:basedOn w:val="DefaultParagraphFont"/>
    <w:rsid w:val="00573E6E"/>
    <w:rPr>
      <w:rFonts w:ascii="Calibri" w:hAnsi="Calibri" w:cs="Calibri" w:hint="default"/>
      <w:b w:val="0"/>
      <w:bCs w:val="0"/>
      <w:i w:val="0"/>
      <w:iCs w:val="0"/>
      <w:color w:val="000000"/>
      <w:sz w:val="22"/>
      <w:szCs w:val="22"/>
    </w:rPr>
  </w:style>
  <w:style w:type="character" w:styleId="Emphasis">
    <w:name w:val="Emphasis"/>
    <w:basedOn w:val="DefaultParagraphFont"/>
    <w:uiPriority w:val="20"/>
    <w:qFormat/>
    <w:rsid w:val="00573E6E"/>
    <w:rPr>
      <w:i/>
      <w:iCs/>
    </w:rPr>
  </w:style>
  <w:style w:type="character" w:customStyle="1" w:styleId="fontstyle31">
    <w:name w:val="fontstyle31"/>
    <w:basedOn w:val="DefaultParagraphFont"/>
    <w:rsid w:val="00573E6E"/>
    <w:rPr>
      <w:rFonts w:ascii="Symbol" w:hAnsi="Symbol" w:hint="default"/>
      <w:b w:val="0"/>
      <w:bCs w:val="0"/>
      <w:i w:val="0"/>
      <w:iCs w:val="0"/>
      <w:color w:val="000000"/>
      <w:sz w:val="22"/>
      <w:szCs w:val="22"/>
    </w:rPr>
  </w:style>
  <w:style w:type="character" w:customStyle="1" w:styleId="BodytextBold">
    <w:name w:val="Body text + Bold"/>
    <w:basedOn w:val="Bodytext"/>
    <w:rsid w:val="005C787A"/>
    <w:rPr>
      <w:rFonts w:ascii="Calibri" w:eastAsia="Calibri" w:hAnsi="Calibri" w:cs="Calibri"/>
      <w:b/>
      <w:bCs/>
      <w:i w:val="0"/>
      <w:iCs w:val="0"/>
      <w:smallCaps w:val="0"/>
      <w:strike w:val="0"/>
      <w:color w:val="000000"/>
      <w:spacing w:val="0"/>
      <w:w w:val="100"/>
      <w:position w:val="0"/>
      <w:sz w:val="21"/>
      <w:szCs w:val="21"/>
      <w:u w:val="none"/>
      <w:shd w:val="clear" w:color="auto" w:fill="FFFFFF"/>
    </w:rPr>
  </w:style>
  <w:style w:type="paragraph" w:styleId="Revision">
    <w:name w:val="Revision"/>
    <w:hidden/>
    <w:uiPriority w:val="99"/>
    <w:semiHidden/>
    <w:rsid w:val="007351BA"/>
    <w:rPr>
      <w:sz w:val="24"/>
      <w:szCs w:val="24"/>
    </w:rPr>
  </w:style>
  <w:style w:type="paragraph" w:styleId="TOCHeading">
    <w:name w:val="TOC Heading"/>
    <w:basedOn w:val="Heading1"/>
    <w:next w:val="Normal"/>
    <w:uiPriority w:val="39"/>
    <w:semiHidden/>
    <w:unhideWhenUsed/>
    <w:qFormat/>
    <w:rsid w:val="007351B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652B74"/>
    <w:pPr>
      <w:tabs>
        <w:tab w:val="right" w:leader="dot" w:pos="9912"/>
      </w:tabs>
      <w:spacing w:after="100"/>
    </w:pPr>
    <w:rPr>
      <w:noProof/>
      <w:sz w:val="22"/>
      <w:lang w:val="sr-Cyrl-BA"/>
    </w:rPr>
  </w:style>
  <w:style w:type="paragraph" w:styleId="TOC2">
    <w:name w:val="toc 2"/>
    <w:basedOn w:val="Normal"/>
    <w:next w:val="Normal"/>
    <w:autoRedefine/>
    <w:uiPriority w:val="39"/>
    <w:semiHidden/>
    <w:unhideWhenUsed/>
    <w:qFormat/>
    <w:rsid w:val="00233562"/>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233562"/>
    <w:pPr>
      <w:spacing w:after="100" w:line="276" w:lineRule="auto"/>
      <w:ind w:left="440"/>
    </w:pPr>
    <w:rPr>
      <w:rFonts w:asciiTheme="minorHAnsi" w:eastAsiaTheme="minorEastAsia" w:hAnsiTheme="minorHAnsi" w:cstheme="minorBidi"/>
      <w:sz w:val="22"/>
      <w:szCs w:val="22"/>
      <w:lang w:val="en-US" w:eastAsia="ja-JP"/>
    </w:rPr>
  </w:style>
  <w:style w:type="paragraph" w:customStyle="1" w:styleId="BodyTekst">
    <w:name w:val="Body Tekst"/>
    <w:basedOn w:val="Normal"/>
    <w:link w:val="BodyTekstChar"/>
    <w:qFormat/>
    <w:rsid w:val="00EF4865"/>
    <w:pPr>
      <w:spacing w:after="164" w:line="280" w:lineRule="atLeast"/>
    </w:pPr>
    <w:rPr>
      <w:rFonts w:ascii="Garamond" w:eastAsiaTheme="minorHAnsi" w:hAnsi="Garamond" w:cstheme="minorBidi"/>
      <w:color w:val="000000"/>
      <w:sz w:val="22"/>
      <w:szCs w:val="22"/>
      <w:lang w:val="sr-Latn-BA" w:eastAsia="en-US"/>
    </w:rPr>
  </w:style>
  <w:style w:type="character" w:customStyle="1" w:styleId="BodyTekstChar">
    <w:name w:val="Body Tekst Char"/>
    <w:basedOn w:val="DefaultParagraphFont"/>
    <w:link w:val="BodyTekst"/>
    <w:rsid w:val="00EF4865"/>
    <w:rPr>
      <w:rFonts w:ascii="Garamond" w:eastAsiaTheme="minorHAnsi" w:hAnsi="Garamond" w:cstheme="minorBidi"/>
      <w:color w:val="000000"/>
      <w:sz w:val="22"/>
      <w:szCs w:val="22"/>
      <w:lang w:val="sr-Latn-BA" w:eastAsia="en-US"/>
    </w:rPr>
  </w:style>
  <w:style w:type="table" w:styleId="LightList-Accent5">
    <w:name w:val="Light List Accent 5"/>
    <w:basedOn w:val="TableNormal"/>
    <w:uiPriority w:val="61"/>
    <w:rsid w:val="00C103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140">
    <w:name w:val="Font Style140"/>
    <w:basedOn w:val="DefaultParagraphFont"/>
    <w:uiPriority w:val="99"/>
    <w:rsid w:val="00DF7035"/>
    <w:rPr>
      <w:rFonts w:ascii="Calibri" w:hAnsi="Calibri" w:cs="Calibri"/>
      <w:b/>
      <w:bCs/>
      <w:color w:val="000000"/>
      <w:sz w:val="18"/>
      <w:szCs w:val="18"/>
    </w:rPr>
  </w:style>
  <w:style w:type="character" w:customStyle="1" w:styleId="FontStyle141">
    <w:name w:val="Font Style141"/>
    <w:basedOn w:val="DefaultParagraphFont"/>
    <w:uiPriority w:val="99"/>
    <w:rsid w:val="00DF7035"/>
    <w:rPr>
      <w:rFonts w:ascii="Arial" w:hAnsi="Arial" w:cs="Arial"/>
      <w:color w:val="000000"/>
      <w:sz w:val="16"/>
      <w:szCs w:val="16"/>
    </w:rPr>
  </w:style>
  <w:style w:type="paragraph" w:customStyle="1" w:styleId="Style12">
    <w:name w:val="Style12"/>
    <w:basedOn w:val="Normal"/>
    <w:uiPriority w:val="99"/>
    <w:rsid w:val="00DF7035"/>
    <w:pPr>
      <w:widowControl w:val="0"/>
      <w:autoSpaceDE w:val="0"/>
      <w:autoSpaceDN w:val="0"/>
      <w:adjustRightInd w:val="0"/>
    </w:pPr>
    <w:rPr>
      <w:rFonts w:ascii="Batang" w:eastAsia="Batang" w:hAnsiTheme="minorHAnsi"/>
      <w:lang w:val="bs-Latn-BA" w:eastAsia="bs-Latn-BA"/>
    </w:rPr>
  </w:style>
  <w:style w:type="paragraph" w:styleId="HTMLPreformatted">
    <w:name w:val="HTML Preformatted"/>
    <w:basedOn w:val="Normal"/>
    <w:link w:val="HTMLPreformattedChar"/>
    <w:semiHidden/>
    <w:unhideWhenUsed/>
    <w:rsid w:val="00F20868"/>
    <w:rPr>
      <w:rFonts w:ascii="Consolas" w:hAnsi="Consolas"/>
      <w:sz w:val="20"/>
      <w:szCs w:val="20"/>
    </w:rPr>
  </w:style>
  <w:style w:type="character" w:customStyle="1" w:styleId="HTMLPreformattedChar">
    <w:name w:val="HTML Preformatted Char"/>
    <w:basedOn w:val="DefaultParagraphFont"/>
    <w:link w:val="HTMLPreformatted"/>
    <w:semiHidden/>
    <w:rsid w:val="00F20868"/>
    <w:rPr>
      <w:rFonts w:ascii="Consolas" w:hAnsi="Consolas"/>
    </w:rPr>
  </w:style>
  <w:style w:type="character" w:customStyle="1" w:styleId="Bodytext20">
    <w:name w:val="Body text (2)_"/>
    <w:basedOn w:val="DefaultParagraphFont"/>
    <w:link w:val="Bodytext21"/>
    <w:rsid w:val="00F4435D"/>
    <w:rPr>
      <w:rFonts w:ascii="Calibri" w:eastAsia="Calibri" w:hAnsi="Calibri" w:cs="Calibri"/>
      <w:sz w:val="21"/>
      <w:szCs w:val="21"/>
      <w:shd w:val="clear" w:color="auto" w:fill="FFFFFF"/>
    </w:rPr>
  </w:style>
  <w:style w:type="paragraph" w:customStyle="1" w:styleId="Bodytext21">
    <w:name w:val="Body text (2)"/>
    <w:basedOn w:val="Normal"/>
    <w:link w:val="Bodytext20"/>
    <w:rsid w:val="00F4435D"/>
    <w:pPr>
      <w:widowControl w:val="0"/>
      <w:shd w:val="clear" w:color="auto" w:fill="FFFFFF"/>
      <w:spacing w:line="365" w:lineRule="exact"/>
      <w:ind w:hanging="360"/>
    </w:pPr>
    <w:rPr>
      <w:rFonts w:ascii="Calibri" w:eastAsia="Calibri" w:hAnsi="Calibri" w:cs="Calibri"/>
      <w:sz w:val="21"/>
      <w:szCs w:val="21"/>
    </w:rPr>
  </w:style>
  <w:style w:type="character" w:customStyle="1" w:styleId="Footnote">
    <w:name w:val="Footnote_"/>
    <w:basedOn w:val="DefaultParagraphFont"/>
    <w:link w:val="Footnote0"/>
    <w:rsid w:val="00444E5C"/>
    <w:rPr>
      <w:rFonts w:ascii="Calibri" w:eastAsia="Calibri" w:hAnsi="Calibri" w:cs="Calibri"/>
      <w:sz w:val="17"/>
      <w:szCs w:val="17"/>
      <w:shd w:val="clear" w:color="auto" w:fill="FFFFFF"/>
    </w:rPr>
  </w:style>
  <w:style w:type="character" w:customStyle="1" w:styleId="Heading5">
    <w:name w:val="Heading #5_"/>
    <w:basedOn w:val="DefaultParagraphFont"/>
    <w:link w:val="Heading50"/>
    <w:rsid w:val="00444E5C"/>
    <w:rPr>
      <w:rFonts w:ascii="Calibri" w:eastAsia="Calibri" w:hAnsi="Calibri" w:cs="Calibri"/>
      <w:b/>
      <w:bCs/>
      <w:sz w:val="21"/>
      <w:szCs w:val="21"/>
      <w:shd w:val="clear" w:color="auto" w:fill="FFFFFF"/>
    </w:rPr>
  </w:style>
  <w:style w:type="paragraph" w:customStyle="1" w:styleId="Footnote0">
    <w:name w:val="Footnote"/>
    <w:basedOn w:val="Normal"/>
    <w:link w:val="Footnote"/>
    <w:rsid w:val="00444E5C"/>
    <w:pPr>
      <w:widowControl w:val="0"/>
      <w:shd w:val="clear" w:color="auto" w:fill="FFFFFF"/>
      <w:spacing w:line="221" w:lineRule="exact"/>
      <w:ind w:hanging="200"/>
      <w:jc w:val="both"/>
    </w:pPr>
    <w:rPr>
      <w:rFonts w:ascii="Calibri" w:eastAsia="Calibri" w:hAnsi="Calibri" w:cs="Calibri"/>
      <w:sz w:val="17"/>
      <w:szCs w:val="17"/>
    </w:rPr>
  </w:style>
  <w:style w:type="paragraph" w:customStyle="1" w:styleId="Heading50">
    <w:name w:val="Heading #5"/>
    <w:basedOn w:val="Normal"/>
    <w:link w:val="Heading5"/>
    <w:rsid w:val="00444E5C"/>
    <w:pPr>
      <w:widowControl w:val="0"/>
      <w:shd w:val="clear" w:color="auto" w:fill="FFFFFF"/>
      <w:spacing w:line="254" w:lineRule="exact"/>
      <w:jc w:val="center"/>
      <w:outlineLvl w:val="4"/>
    </w:pPr>
    <w:rPr>
      <w:rFonts w:ascii="Calibri" w:eastAsia="Calibri" w:hAnsi="Calibri" w:cs="Calibri"/>
      <w:b/>
      <w:bCs/>
      <w:sz w:val="21"/>
      <w:szCs w:val="21"/>
    </w:rPr>
  </w:style>
  <w:style w:type="character" w:customStyle="1" w:styleId="Heading20">
    <w:name w:val="Heading #2_"/>
    <w:basedOn w:val="DefaultParagraphFont"/>
    <w:rsid w:val="00721C81"/>
    <w:rPr>
      <w:rFonts w:ascii="Book Antiqua" w:eastAsia="Book Antiqua" w:hAnsi="Book Antiqua" w:cs="Book Antiqua"/>
      <w:b/>
      <w:bCs/>
      <w:i w:val="0"/>
      <w:iCs w:val="0"/>
      <w:smallCaps w:val="0"/>
      <w:strike w:val="0"/>
      <w:u w:val="none"/>
    </w:rPr>
  </w:style>
  <w:style w:type="character" w:customStyle="1" w:styleId="Heading21">
    <w:name w:val="Heading #2"/>
    <w:basedOn w:val="Heading20"/>
    <w:rsid w:val="00721C81"/>
    <w:rPr>
      <w:rFonts w:ascii="Book Antiqua" w:eastAsia="Book Antiqua" w:hAnsi="Book Antiqua" w:cs="Book Antiqua"/>
      <w:b/>
      <w:bCs/>
      <w:i w:val="0"/>
      <w:iCs w:val="0"/>
      <w:smallCaps w:val="0"/>
      <w:strike w:val="0"/>
      <w:color w:val="4F81BD"/>
      <w:spacing w:val="0"/>
      <w:w w:val="100"/>
      <w:position w:val="0"/>
      <w:sz w:val="24"/>
      <w:szCs w:val="24"/>
      <w:u w:val="none"/>
    </w:rPr>
  </w:style>
  <w:style w:type="character" w:customStyle="1" w:styleId="Headerorfooter">
    <w:name w:val="Header or footer_"/>
    <w:basedOn w:val="DefaultParagraphFont"/>
    <w:rsid w:val="00BC7573"/>
    <w:rPr>
      <w:rFonts w:ascii="Calibri" w:eastAsia="Calibri" w:hAnsi="Calibri" w:cs="Calibri"/>
      <w:b/>
      <w:bCs/>
      <w:i w:val="0"/>
      <w:iCs w:val="0"/>
      <w:smallCaps w:val="0"/>
      <w:strike w:val="0"/>
      <w:sz w:val="21"/>
      <w:szCs w:val="21"/>
      <w:u w:val="none"/>
    </w:rPr>
  </w:style>
  <w:style w:type="character" w:customStyle="1" w:styleId="Bodytext28ptBoldItalicSpacing0pt">
    <w:name w:val="Body text (2) + 8 pt;Bold;Italic;Spacing 0 pt"/>
    <w:basedOn w:val="Bodytext20"/>
    <w:rsid w:val="00BC7573"/>
    <w:rPr>
      <w:rFonts w:ascii="Calibri" w:eastAsia="Calibri" w:hAnsi="Calibri" w:cs="Calibri"/>
      <w:b/>
      <w:bCs/>
      <w:i/>
      <w:iCs/>
      <w:smallCaps w:val="0"/>
      <w:strike w:val="0"/>
      <w:color w:val="000000"/>
      <w:spacing w:val="10"/>
      <w:w w:val="100"/>
      <w:position w:val="0"/>
      <w:sz w:val="16"/>
      <w:szCs w:val="16"/>
      <w:u w:val="none"/>
      <w:shd w:val="clear" w:color="auto" w:fill="FFFFFF"/>
    </w:rPr>
  </w:style>
  <w:style w:type="character" w:customStyle="1" w:styleId="Headerorfooter0">
    <w:name w:val="Header or footer"/>
    <w:basedOn w:val="Headerorfooter"/>
    <w:rsid w:val="00BC7573"/>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Bodytext285pt">
    <w:name w:val="Body text (2) + 8;5 pt"/>
    <w:basedOn w:val="Bodytext20"/>
    <w:rsid w:val="00BC7573"/>
    <w:rPr>
      <w:rFonts w:ascii="Calibri" w:eastAsia="Calibri" w:hAnsi="Calibri" w:cs="Calibri"/>
      <w:b w:val="0"/>
      <w:bCs w:val="0"/>
      <w:i w:val="0"/>
      <w:iCs w:val="0"/>
      <w:smallCaps w:val="0"/>
      <w:strike w:val="0"/>
      <w:color w:val="000000"/>
      <w:spacing w:val="0"/>
      <w:w w:val="100"/>
      <w:position w:val="0"/>
      <w:sz w:val="17"/>
      <w:szCs w:val="17"/>
      <w:u w:val="none"/>
      <w:shd w:val="clear" w:color="auto" w:fill="FFFFFF"/>
    </w:rPr>
  </w:style>
  <w:style w:type="character" w:customStyle="1" w:styleId="Bodytext2Italic">
    <w:name w:val="Body text (2) + Italic"/>
    <w:basedOn w:val="Bodytext20"/>
    <w:rsid w:val="009B4188"/>
    <w:rPr>
      <w:rFonts w:ascii="Calibri" w:eastAsia="Calibri" w:hAnsi="Calibri" w:cs="Calibri"/>
      <w:b w:val="0"/>
      <w:bCs w:val="0"/>
      <w:i/>
      <w:iCs/>
      <w:smallCaps w:val="0"/>
      <w:strike w:val="0"/>
      <w:color w:val="000000"/>
      <w:spacing w:val="0"/>
      <w:w w:val="100"/>
      <w:position w:val="0"/>
      <w:sz w:val="21"/>
      <w:szCs w:val="21"/>
      <w:u w:val="none"/>
      <w:shd w:val="clear" w:color="auto" w:fill="FFFFFF"/>
    </w:rPr>
  </w:style>
  <w:style w:type="character" w:customStyle="1" w:styleId="Bodytext2Bold">
    <w:name w:val="Body text (2) + Bold"/>
    <w:basedOn w:val="Bodytext20"/>
    <w:rsid w:val="009B4188"/>
    <w:rPr>
      <w:rFonts w:ascii="Calibri" w:eastAsia="Calibri" w:hAnsi="Calibri" w:cs="Calibri"/>
      <w:b/>
      <w:bCs/>
      <w:i w:val="0"/>
      <w:iCs w:val="0"/>
      <w:smallCaps w:val="0"/>
      <w:strike w:val="0"/>
      <w:color w:val="000000"/>
      <w:spacing w:val="0"/>
      <w:w w:val="100"/>
      <w:position w:val="0"/>
      <w:sz w:val="21"/>
      <w:szCs w:val="21"/>
      <w:u w:val="none"/>
      <w:shd w:val="clear" w:color="auto" w:fill="FFFFFF"/>
    </w:rPr>
  </w:style>
  <w:style w:type="character" w:customStyle="1" w:styleId="Heading40">
    <w:name w:val="Heading #4_"/>
    <w:basedOn w:val="DefaultParagraphFont"/>
    <w:rsid w:val="009B4188"/>
    <w:rPr>
      <w:rFonts w:ascii="Calibri" w:eastAsia="Calibri" w:hAnsi="Calibri" w:cs="Calibri"/>
      <w:b/>
      <w:bCs/>
      <w:i/>
      <w:iCs/>
      <w:smallCaps w:val="0"/>
      <w:strike w:val="0"/>
      <w:sz w:val="22"/>
      <w:szCs w:val="22"/>
      <w:u w:val="none"/>
    </w:rPr>
  </w:style>
  <w:style w:type="character" w:customStyle="1" w:styleId="Heading41">
    <w:name w:val="Heading #4"/>
    <w:basedOn w:val="Heading40"/>
    <w:rsid w:val="009B4188"/>
    <w:rPr>
      <w:rFonts w:ascii="Calibri" w:eastAsia="Calibri" w:hAnsi="Calibri" w:cs="Calibri"/>
      <w:b/>
      <w:bCs/>
      <w:i/>
      <w:iCs/>
      <w:smallCaps w:val="0"/>
      <w:strike w:val="0"/>
      <w:color w:val="000000"/>
      <w:spacing w:val="0"/>
      <w:w w:val="100"/>
      <w:position w:val="0"/>
      <w:sz w:val="22"/>
      <w:szCs w:val="22"/>
      <w:u w:val="single"/>
    </w:rPr>
  </w:style>
  <w:style w:type="paragraph" w:customStyle="1" w:styleId="has-text-color">
    <w:name w:val="has-text-color"/>
    <w:basedOn w:val="Normal"/>
    <w:rsid w:val="005E7D57"/>
    <w:pPr>
      <w:spacing w:before="100" w:beforeAutospacing="1" w:after="100" w:afterAutospacing="1"/>
    </w:pPr>
    <w:rPr>
      <w:lang w:val="en-US" w:eastAsia="en-US"/>
    </w:rPr>
  </w:style>
  <w:style w:type="character" w:customStyle="1" w:styleId="has-inline-color">
    <w:name w:val="has-inline-color"/>
    <w:basedOn w:val="DefaultParagraphFont"/>
    <w:rsid w:val="005E7D57"/>
  </w:style>
  <w:style w:type="character" w:customStyle="1" w:styleId="Heading4Char">
    <w:name w:val="Heading 4 Char"/>
    <w:basedOn w:val="DefaultParagraphFont"/>
    <w:link w:val="Heading4"/>
    <w:uiPriority w:val="9"/>
    <w:rsid w:val="001071B8"/>
    <w:rPr>
      <w:rFonts w:asciiTheme="majorHAnsi" w:eastAsiaTheme="majorEastAsia" w:hAnsiTheme="majorHAnsi" w:cstheme="majorBidi"/>
      <w:i/>
      <w:iCs/>
      <w:color w:val="365F91" w:themeColor="accent1" w:themeShade="BF"/>
      <w:sz w:val="22"/>
      <w:szCs w:val="22"/>
      <w:lang w:val="sr-Latn-BA" w:eastAsia="en-US"/>
    </w:rPr>
  </w:style>
  <w:style w:type="character" w:customStyle="1" w:styleId="matrixheadertitle">
    <w:name w:val="matrixheadertitle"/>
    <w:basedOn w:val="DefaultParagraphFont"/>
    <w:rsid w:val="00F465DC"/>
  </w:style>
  <w:style w:type="paragraph" w:styleId="z-TopofForm">
    <w:name w:val="HTML Top of Form"/>
    <w:basedOn w:val="Normal"/>
    <w:next w:val="Normal"/>
    <w:link w:val="z-TopofFormChar"/>
    <w:hidden/>
    <w:uiPriority w:val="99"/>
    <w:semiHidden/>
    <w:unhideWhenUsed/>
    <w:rsid w:val="00F465DC"/>
    <w:pPr>
      <w:pBdr>
        <w:bottom w:val="single" w:sz="6" w:space="1" w:color="auto"/>
      </w:pBdr>
      <w:jc w:val="center"/>
    </w:pPr>
    <w:rPr>
      <w:rFonts w:ascii="Arial" w:eastAsiaTheme="minorHAnsi" w:hAnsi="Arial" w:cs="Arial"/>
      <w:vanish/>
      <w:sz w:val="16"/>
      <w:szCs w:val="16"/>
      <w:lang w:val="en-GB" w:eastAsia="en-US"/>
    </w:rPr>
  </w:style>
  <w:style w:type="character" w:customStyle="1" w:styleId="z-TopofFormChar">
    <w:name w:val="z-Top of Form Char"/>
    <w:basedOn w:val="DefaultParagraphFont"/>
    <w:link w:val="z-TopofForm"/>
    <w:uiPriority w:val="99"/>
    <w:semiHidden/>
    <w:rsid w:val="00F465DC"/>
    <w:rPr>
      <w:rFonts w:ascii="Arial" w:eastAsiaTheme="minorHAnsi"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F465DC"/>
    <w:pPr>
      <w:pBdr>
        <w:top w:val="single" w:sz="6" w:space="1" w:color="auto"/>
      </w:pBdr>
      <w:jc w:val="center"/>
    </w:pPr>
    <w:rPr>
      <w:rFonts w:ascii="Arial" w:eastAsiaTheme="minorHAnsi" w:hAnsi="Arial" w:cs="Arial"/>
      <w:vanish/>
      <w:sz w:val="16"/>
      <w:szCs w:val="16"/>
      <w:lang w:val="en-GB" w:eastAsia="en-US"/>
    </w:rPr>
  </w:style>
  <w:style w:type="character" w:customStyle="1" w:styleId="z-BottomofFormChar">
    <w:name w:val="z-Bottom of Form Char"/>
    <w:basedOn w:val="DefaultParagraphFont"/>
    <w:link w:val="z-BottomofForm"/>
    <w:uiPriority w:val="99"/>
    <w:semiHidden/>
    <w:rsid w:val="00F465DC"/>
    <w:rPr>
      <w:rFonts w:ascii="Arial" w:eastAsiaTheme="minorHAnsi" w:hAnsi="Arial" w:cs="Arial"/>
      <w:vanish/>
      <w:sz w:val="16"/>
      <w:szCs w:val="16"/>
      <w:lang w:val="en-GB" w:eastAsia="en-US"/>
    </w:rPr>
  </w:style>
  <w:style w:type="character" w:styleId="CommentReference">
    <w:name w:val="annotation reference"/>
    <w:basedOn w:val="DefaultParagraphFont"/>
    <w:uiPriority w:val="99"/>
    <w:semiHidden/>
    <w:unhideWhenUsed/>
    <w:rsid w:val="00F465DC"/>
    <w:rPr>
      <w:sz w:val="16"/>
      <w:szCs w:val="16"/>
    </w:rPr>
  </w:style>
  <w:style w:type="paragraph" w:styleId="CommentText">
    <w:name w:val="annotation text"/>
    <w:basedOn w:val="Normal"/>
    <w:link w:val="CommentTextChar"/>
    <w:uiPriority w:val="99"/>
    <w:unhideWhenUsed/>
    <w:rsid w:val="00F465DC"/>
    <w:rPr>
      <w:rFonts w:ascii="Calibri" w:eastAsiaTheme="minorHAnsi" w:hAnsi="Calibri"/>
      <w:sz w:val="20"/>
      <w:szCs w:val="20"/>
      <w:lang w:val="en-GB" w:eastAsia="en-US"/>
    </w:rPr>
  </w:style>
  <w:style w:type="character" w:customStyle="1" w:styleId="CommentTextChar">
    <w:name w:val="Comment Text Char"/>
    <w:basedOn w:val="DefaultParagraphFont"/>
    <w:link w:val="CommentText"/>
    <w:uiPriority w:val="99"/>
    <w:rsid w:val="00F465DC"/>
    <w:rPr>
      <w:rFonts w:ascii="Calibri" w:eastAsiaTheme="minorHAnsi" w:hAnsi="Calibri"/>
      <w:lang w:val="en-GB" w:eastAsia="en-US"/>
    </w:rPr>
  </w:style>
  <w:style w:type="paragraph" w:styleId="CommentSubject">
    <w:name w:val="annotation subject"/>
    <w:basedOn w:val="CommentText"/>
    <w:next w:val="CommentText"/>
    <w:link w:val="CommentSubjectChar"/>
    <w:uiPriority w:val="99"/>
    <w:semiHidden/>
    <w:unhideWhenUsed/>
    <w:rsid w:val="00F465DC"/>
    <w:rPr>
      <w:b/>
      <w:bCs/>
    </w:rPr>
  </w:style>
  <w:style w:type="character" w:customStyle="1" w:styleId="CommentSubjectChar">
    <w:name w:val="Comment Subject Char"/>
    <w:basedOn w:val="CommentTextChar"/>
    <w:link w:val="CommentSubject"/>
    <w:uiPriority w:val="99"/>
    <w:semiHidden/>
    <w:rsid w:val="00F465DC"/>
    <w:rPr>
      <w:rFonts w:ascii="Calibri" w:eastAsiaTheme="minorHAnsi" w:hAnsi="Calibri"/>
      <w:b/>
      <w:bCs/>
      <w:lang w:val="en-GB" w:eastAsia="en-US"/>
    </w:rPr>
  </w:style>
  <w:style w:type="paragraph" w:customStyle="1" w:styleId="Aufgezhlt1Absatz">
    <w:name w:val="Aufgezählt 1 Absatz"/>
    <w:qFormat/>
    <w:rsid w:val="00F465DC"/>
    <w:pPr>
      <w:numPr>
        <w:numId w:val="2"/>
      </w:numPr>
      <w:spacing w:line="280" w:lineRule="exact"/>
    </w:pPr>
    <w:rPr>
      <w:rFonts w:ascii="Arial" w:eastAsia="SimSun" w:hAnsi="Arial"/>
      <w:sz w:val="21"/>
      <w:szCs w:val="24"/>
      <w:lang w:val="de-AT" w:eastAsia="zh-CN"/>
    </w:rPr>
  </w:style>
  <w:style w:type="paragraph" w:customStyle="1" w:styleId="Aufgezhlt2Absatz">
    <w:name w:val="Aufgezählt 2 Absatz"/>
    <w:qFormat/>
    <w:rsid w:val="00F465DC"/>
    <w:pPr>
      <w:numPr>
        <w:ilvl w:val="1"/>
        <w:numId w:val="2"/>
      </w:numPr>
      <w:spacing w:line="280" w:lineRule="exact"/>
    </w:pPr>
    <w:rPr>
      <w:rFonts w:ascii="Arial" w:eastAsia="SimSun" w:hAnsi="Arial"/>
      <w:sz w:val="21"/>
      <w:szCs w:val="24"/>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544">
      <w:bodyDiv w:val="1"/>
      <w:marLeft w:val="0"/>
      <w:marRight w:val="0"/>
      <w:marTop w:val="0"/>
      <w:marBottom w:val="0"/>
      <w:divBdr>
        <w:top w:val="none" w:sz="0" w:space="0" w:color="auto"/>
        <w:left w:val="none" w:sz="0" w:space="0" w:color="auto"/>
        <w:bottom w:val="none" w:sz="0" w:space="0" w:color="auto"/>
        <w:right w:val="none" w:sz="0" w:space="0" w:color="auto"/>
      </w:divBdr>
      <w:divsChild>
        <w:div w:id="1578128904">
          <w:marLeft w:val="0"/>
          <w:marRight w:val="0"/>
          <w:marTop w:val="0"/>
          <w:marBottom w:val="0"/>
          <w:divBdr>
            <w:top w:val="none" w:sz="0" w:space="0" w:color="auto"/>
            <w:left w:val="none" w:sz="0" w:space="0" w:color="auto"/>
            <w:bottom w:val="none" w:sz="0" w:space="0" w:color="auto"/>
            <w:right w:val="none" w:sz="0" w:space="0" w:color="auto"/>
          </w:divBdr>
          <w:divsChild>
            <w:div w:id="83570864">
              <w:marLeft w:val="0"/>
              <w:marRight w:val="0"/>
              <w:marTop w:val="300"/>
              <w:marBottom w:val="0"/>
              <w:divBdr>
                <w:top w:val="none" w:sz="0" w:space="0" w:color="auto"/>
                <w:left w:val="none" w:sz="0" w:space="0" w:color="auto"/>
                <w:bottom w:val="none" w:sz="0" w:space="0" w:color="auto"/>
                <w:right w:val="none" w:sz="0" w:space="0" w:color="auto"/>
              </w:divBdr>
              <w:divsChild>
                <w:div w:id="1890844999">
                  <w:marLeft w:val="0"/>
                  <w:marRight w:val="450"/>
                  <w:marTop w:val="0"/>
                  <w:marBottom w:val="0"/>
                  <w:divBdr>
                    <w:top w:val="none" w:sz="0" w:space="0" w:color="auto"/>
                    <w:left w:val="none" w:sz="0" w:space="0" w:color="auto"/>
                    <w:bottom w:val="none" w:sz="0" w:space="0" w:color="auto"/>
                    <w:right w:val="none" w:sz="0" w:space="0" w:color="auto"/>
                  </w:divBdr>
                  <w:divsChild>
                    <w:div w:id="1859274860">
                      <w:marLeft w:val="0"/>
                      <w:marRight w:val="0"/>
                      <w:marTop w:val="0"/>
                      <w:marBottom w:val="0"/>
                      <w:divBdr>
                        <w:top w:val="none" w:sz="0" w:space="0" w:color="auto"/>
                        <w:left w:val="none" w:sz="0" w:space="0" w:color="auto"/>
                        <w:bottom w:val="none" w:sz="0" w:space="0" w:color="auto"/>
                        <w:right w:val="none" w:sz="0" w:space="0" w:color="auto"/>
                      </w:divBdr>
                      <w:divsChild>
                        <w:div w:id="497118452">
                          <w:marLeft w:val="0"/>
                          <w:marRight w:val="0"/>
                          <w:marTop w:val="0"/>
                          <w:marBottom w:val="0"/>
                          <w:divBdr>
                            <w:top w:val="none" w:sz="0" w:space="0" w:color="auto"/>
                            <w:left w:val="none" w:sz="0" w:space="0" w:color="auto"/>
                            <w:bottom w:val="none" w:sz="0" w:space="0" w:color="auto"/>
                            <w:right w:val="none" w:sz="0" w:space="0" w:color="auto"/>
                          </w:divBdr>
                          <w:divsChild>
                            <w:div w:id="1208759594">
                              <w:marLeft w:val="0"/>
                              <w:marRight w:val="0"/>
                              <w:marTop w:val="0"/>
                              <w:marBottom w:val="0"/>
                              <w:divBdr>
                                <w:top w:val="none" w:sz="0" w:space="0" w:color="auto"/>
                                <w:left w:val="none" w:sz="0" w:space="0" w:color="auto"/>
                                <w:bottom w:val="none" w:sz="0" w:space="0" w:color="auto"/>
                                <w:right w:val="none" w:sz="0" w:space="0" w:color="auto"/>
                              </w:divBdr>
                              <w:divsChild>
                                <w:div w:id="620188756">
                                  <w:marLeft w:val="0"/>
                                  <w:marRight w:val="0"/>
                                  <w:marTop w:val="0"/>
                                  <w:marBottom w:val="0"/>
                                  <w:divBdr>
                                    <w:top w:val="none" w:sz="0" w:space="0" w:color="auto"/>
                                    <w:left w:val="none" w:sz="0" w:space="0" w:color="auto"/>
                                    <w:bottom w:val="none" w:sz="0" w:space="0" w:color="auto"/>
                                    <w:right w:val="none" w:sz="0" w:space="0" w:color="auto"/>
                                  </w:divBdr>
                                </w:div>
                                <w:div w:id="722486719">
                                  <w:marLeft w:val="0"/>
                                  <w:marRight w:val="0"/>
                                  <w:marTop w:val="0"/>
                                  <w:marBottom w:val="0"/>
                                  <w:divBdr>
                                    <w:top w:val="none" w:sz="0" w:space="0" w:color="auto"/>
                                    <w:left w:val="none" w:sz="0" w:space="0" w:color="auto"/>
                                    <w:bottom w:val="none" w:sz="0" w:space="0" w:color="auto"/>
                                    <w:right w:val="none" w:sz="0" w:space="0" w:color="auto"/>
                                  </w:divBdr>
                                </w:div>
                                <w:div w:id="1577594962">
                                  <w:marLeft w:val="0"/>
                                  <w:marRight w:val="0"/>
                                  <w:marTop w:val="0"/>
                                  <w:marBottom w:val="0"/>
                                  <w:divBdr>
                                    <w:top w:val="none" w:sz="0" w:space="0" w:color="auto"/>
                                    <w:left w:val="none" w:sz="0" w:space="0" w:color="auto"/>
                                    <w:bottom w:val="none" w:sz="0" w:space="0" w:color="auto"/>
                                    <w:right w:val="none" w:sz="0" w:space="0" w:color="auto"/>
                                  </w:divBdr>
                                </w:div>
                                <w:div w:id="16063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9374">
      <w:bodyDiv w:val="1"/>
      <w:marLeft w:val="0"/>
      <w:marRight w:val="0"/>
      <w:marTop w:val="0"/>
      <w:marBottom w:val="0"/>
      <w:divBdr>
        <w:top w:val="none" w:sz="0" w:space="0" w:color="auto"/>
        <w:left w:val="none" w:sz="0" w:space="0" w:color="auto"/>
        <w:bottom w:val="none" w:sz="0" w:space="0" w:color="auto"/>
        <w:right w:val="none" w:sz="0" w:space="0" w:color="auto"/>
      </w:divBdr>
      <w:divsChild>
        <w:div w:id="87626043">
          <w:marLeft w:val="0"/>
          <w:marRight w:val="0"/>
          <w:marTop w:val="450"/>
          <w:marBottom w:val="450"/>
          <w:divBdr>
            <w:top w:val="none" w:sz="0" w:space="0" w:color="auto"/>
            <w:left w:val="none" w:sz="0" w:space="0" w:color="auto"/>
            <w:bottom w:val="none" w:sz="0" w:space="0" w:color="auto"/>
            <w:right w:val="none" w:sz="0" w:space="0" w:color="auto"/>
          </w:divBdr>
          <w:divsChild>
            <w:div w:id="1437486849">
              <w:marLeft w:val="0"/>
              <w:marRight w:val="0"/>
              <w:marTop w:val="0"/>
              <w:marBottom w:val="0"/>
              <w:divBdr>
                <w:top w:val="none" w:sz="0" w:space="0" w:color="auto"/>
                <w:left w:val="none" w:sz="0" w:space="0" w:color="auto"/>
                <w:bottom w:val="none" w:sz="0" w:space="0" w:color="auto"/>
                <w:right w:val="none" w:sz="0" w:space="0" w:color="auto"/>
              </w:divBdr>
              <w:divsChild>
                <w:div w:id="2045061876">
                  <w:marLeft w:val="0"/>
                  <w:marRight w:val="0"/>
                  <w:marTop w:val="0"/>
                  <w:marBottom w:val="0"/>
                  <w:divBdr>
                    <w:top w:val="none" w:sz="0" w:space="0" w:color="auto"/>
                    <w:left w:val="none" w:sz="0" w:space="0" w:color="auto"/>
                    <w:bottom w:val="none" w:sz="0" w:space="0" w:color="auto"/>
                    <w:right w:val="none" w:sz="0" w:space="0" w:color="auto"/>
                  </w:divBdr>
                  <w:divsChild>
                    <w:div w:id="5088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4030">
      <w:bodyDiv w:val="1"/>
      <w:marLeft w:val="0"/>
      <w:marRight w:val="0"/>
      <w:marTop w:val="0"/>
      <w:marBottom w:val="0"/>
      <w:divBdr>
        <w:top w:val="none" w:sz="0" w:space="0" w:color="auto"/>
        <w:left w:val="none" w:sz="0" w:space="0" w:color="auto"/>
        <w:bottom w:val="none" w:sz="0" w:space="0" w:color="auto"/>
        <w:right w:val="none" w:sz="0" w:space="0" w:color="auto"/>
      </w:divBdr>
    </w:div>
    <w:div w:id="54205864">
      <w:bodyDiv w:val="1"/>
      <w:marLeft w:val="0"/>
      <w:marRight w:val="0"/>
      <w:marTop w:val="0"/>
      <w:marBottom w:val="0"/>
      <w:divBdr>
        <w:top w:val="none" w:sz="0" w:space="0" w:color="auto"/>
        <w:left w:val="none" w:sz="0" w:space="0" w:color="auto"/>
        <w:bottom w:val="none" w:sz="0" w:space="0" w:color="auto"/>
        <w:right w:val="none" w:sz="0" w:space="0" w:color="auto"/>
      </w:divBdr>
    </w:div>
    <w:div w:id="90902528">
      <w:bodyDiv w:val="1"/>
      <w:marLeft w:val="0"/>
      <w:marRight w:val="0"/>
      <w:marTop w:val="0"/>
      <w:marBottom w:val="0"/>
      <w:divBdr>
        <w:top w:val="none" w:sz="0" w:space="0" w:color="auto"/>
        <w:left w:val="none" w:sz="0" w:space="0" w:color="auto"/>
        <w:bottom w:val="none" w:sz="0" w:space="0" w:color="auto"/>
        <w:right w:val="none" w:sz="0" w:space="0" w:color="auto"/>
      </w:divBdr>
    </w:div>
    <w:div w:id="100030776">
      <w:bodyDiv w:val="1"/>
      <w:marLeft w:val="0"/>
      <w:marRight w:val="0"/>
      <w:marTop w:val="0"/>
      <w:marBottom w:val="0"/>
      <w:divBdr>
        <w:top w:val="none" w:sz="0" w:space="0" w:color="auto"/>
        <w:left w:val="none" w:sz="0" w:space="0" w:color="auto"/>
        <w:bottom w:val="none" w:sz="0" w:space="0" w:color="auto"/>
        <w:right w:val="none" w:sz="0" w:space="0" w:color="auto"/>
      </w:divBdr>
    </w:div>
    <w:div w:id="191385761">
      <w:bodyDiv w:val="1"/>
      <w:marLeft w:val="0"/>
      <w:marRight w:val="0"/>
      <w:marTop w:val="0"/>
      <w:marBottom w:val="0"/>
      <w:divBdr>
        <w:top w:val="none" w:sz="0" w:space="0" w:color="auto"/>
        <w:left w:val="none" w:sz="0" w:space="0" w:color="auto"/>
        <w:bottom w:val="none" w:sz="0" w:space="0" w:color="auto"/>
        <w:right w:val="none" w:sz="0" w:space="0" w:color="auto"/>
      </w:divBdr>
    </w:div>
    <w:div w:id="206069593">
      <w:bodyDiv w:val="1"/>
      <w:marLeft w:val="0"/>
      <w:marRight w:val="0"/>
      <w:marTop w:val="0"/>
      <w:marBottom w:val="0"/>
      <w:divBdr>
        <w:top w:val="none" w:sz="0" w:space="0" w:color="auto"/>
        <w:left w:val="none" w:sz="0" w:space="0" w:color="auto"/>
        <w:bottom w:val="none" w:sz="0" w:space="0" w:color="auto"/>
        <w:right w:val="none" w:sz="0" w:space="0" w:color="auto"/>
      </w:divBdr>
    </w:div>
    <w:div w:id="394205200">
      <w:bodyDiv w:val="1"/>
      <w:marLeft w:val="0"/>
      <w:marRight w:val="0"/>
      <w:marTop w:val="0"/>
      <w:marBottom w:val="0"/>
      <w:divBdr>
        <w:top w:val="none" w:sz="0" w:space="0" w:color="auto"/>
        <w:left w:val="none" w:sz="0" w:space="0" w:color="auto"/>
        <w:bottom w:val="none" w:sz="0" w:space="0" w:color="auto"/>
        <w:right w:val="none" w:sz="0" w:space="0" w:color="auto"/>
      </w:divBdr>
    </w:div>
    <w:div w:id="623854925">
      <w:bodyDiv w:val="1"/>
      <w:marLeft w:val="0"/>
      <w:marRight w:val="0"/>
      <w:marTop w:val="0"/>
      <w:marBottom w:val="0"/>
      <w:divBdr>
        <w:top w:val="none" w:sz="0" w:space="0" w:color="auto"/>
        <w:left w:val="none" w:sz="0" w:space="0" w:color="auto"/>
        <w:bottom w:val="none" w:sz="0" w:space="0" w:color="auto"/>
        <w:right w:val="none" w:sz="0" w:space="0" w:color="auto"/>
      </w:divBdr>
    </w:div>
    <w:div w:id="625820399">
      <w:bodyDiv w:val="1"/>
      <w:marLeft w:val="0"/>
      <w:marRight w:val="0"/>
      <w:marTop w:val="0"/>
      <w:marBottom w:val="0"/>
      <w:divBdr>
        <w:top w:val="none" w:sz="0" w:space="0" w:color="auto"/>
        <w:left w:val="none" w:sz="0" w:space="0" w:color="auto"/>
        <w:bottom w:val="none" w:sz="0" w:space="0" w:color="auto"/>
        <w:right w:val="none" w:sz="0" w:space="0" w:color="auto"/>
      </w:divBdr>
    </w:div>
    <w:div w:id="699282505">
      <w:bodyDiv w:val="1"/>
      <w:marLeft w:val="0"/>
      <w:marRight w:val="0"/>
      <w:marTop w:val="0"/>
      <w:marBottom w:val="0"/>
      <w:divBdr>
        <w:top w:val="none" w:sz="0" w:space="0" w:color="auto"/>
        <w:left w:val="none" w:sz="0" w:space="0" w:color="auto"/>
        <w:bottom w:val="none" w:sz="0" w:space="0" w:color="auto"/>
        <w:right w:val="none" w:sz="0" w:space="0" w:color="auto"/>
      </w:divBdr>
    </w:div>
    <w:div w:id="727268326">
      <w:bodyDiv w:val="1"/>
      <w:marLeft w:val="0"/>
      <w:marRight w:val="0"/>
      <w:marTop w:val="0"/>
      <w:marBottom w:val="0"/>
      <w:divBdr>
        <w:top w:val="none" w:sz="0" w:space="0" w:color="auto"/>
        <w:left w:val="none" w:sz="0" w:space="0" w:color="auto"/>
        <w:bottom w:val="none" w:sz="0" w:space="0" w:color="auto"/>
        <w:right w:val="none" w:sz="0" w:space="0" w:color="auto"/>
      </w:divBdr>
    </w:div>
    <w:div w:id="741174437">
      <w:bodyDiv w:val="1"/>
      <w:marLeft w:val="0"/>
      <w:marRight w:val="0"/>
      <w:marTop w:val="0"/>
      <w:marBottom w:val="0"/>
      <w:divBdr>
        <w:top w:val="none" w:sz="0" w:space="0" w:color="auto"/>
        <w:left w:val="none" w:sz="0" w:space="0" w:color="auto"/>
        <w:bottom w:val="none" w:sz="0" w:space="0" w:color="auto"/>
        <w:right w:val="none" w:sz="0" w:space="0" w:color="auto"/>
      </w:divBdr>
      <w:divsChild>
        <w:div w:id="2043826439">
          <w:marLeft w:val="0"/>
          <w:marRight w:val="0"/>
          <w:marTop w:val="0"/>
          <w:marBottom w:val="0"/>
          <w:divBdr>
            <w:top w:val="none" w:sz="0" w:space="0" w:color="auto"/>
            <w:left w:val="none" w:sz="0" w:space="0" w:color="auto"/>
            <w:bottom w:val="none" w:sz="0" w:space="0" w:color="auto"/>
            <w:right w:val="none" w:sz="0" w:space="0" w:color="auto"/>
          </w:divBdr>
          <w:divsChild>
            <w:div w:id="1380670193">
              <w:marLeft w:val="0"/>
              <w:marRight w:val="0"/>
              <w:marTop w:val="0"/>
              <w:marBottom w:val="0"/>
              <w:divBdr>
                <w:top w:val="none" w:sz="0" w:space="0" w:color="auto"/>
                <w:left w:val="none" w:sz="0" w:space="0" w:color="auto"/>
                <w:bottom w:val="none" w:sz="0" w:space="0" w:color="auto"/>
                <w:right w:val="none" w:sz="0" w:space="0" w:color="auto"/>
              </w:divBdr>
              <w:divsChild>
                <w:div w:id="279067741">
                  <w:marLeft w:val="0"/>
                  <w:marRight w:val="0"/>
                  <w:marTop w:val="0"/>
                  <w:marBottom w:val="0"/>
                  <w:divBdr>
                    <w:top w:val="none" w:sz="0" w:space="0" w:color="auto"/>
                    <w:left w:val="none" w:sz="0" w:space="0" w:color="auto"/>
                    <w:bottom w:val="none" w:sz="0" w:space="0" w:color="auto"/>
                    <w:right w:val="none" w:sz="0" w:space="0" w:color="auto"/>
                  </w:divBdr>
                  <w:divsChild>
                    <w:div w:id="352194495">
                      <w:marLeft w:val="0"/>
                      <w:marRight w:val="0"/>
                      <w:marTop w:val="0"/>
                      <w:marBottom w:val="0"/>
                      <w:divBdr>
                        <w:top w:val="none" w:sz="0" w:space="0" w:color="auto"/>
                        <w:left w:val="none" w:sz="0" w:space="0" w:color="auto"/>
                        <w:bottom w:val="none" w:sz="0" w:space="0" w:color="auto"/>
                        <w:right w:val="none" w:sz="0" w:space="0" w:color="auto"/>
                      </w:divBdr>
                      <w:divsChild>
                        <w:div w:id="2101482805">
                          <w:marLeft w:val="0"/>
                          <w:marRight w:val="0"/>
                          <w:marTop w:val="0"/>
                          <w:marBottom w:val="0"/>
                          <w:divBdr>
                            <w:top w:val="none" w:sz="0" w:space="0" w:color="auto"/>
                            <w:left w:val="none" w:sz="0" w:space="0" w:color="auto"/>
                            <w:bottom w:val="none" w:sz="0" w:space="0" w:color="auto"/>
                            <w:right w:val="none" w:sz="0" w:space="0" w:color="auto"/>
                          </w:divBdr>
                          <w:divsChild>
                            <w:div w:id="282157079">
                              <w:marLeft w:val="0"/>
                              <w:marRight w:val="0"/>
                              <w:marTop w:val="0"/>
                              <w:marBottom w:val="0"/>
                              <w:divBdr>
                                <w:top w:val="none" w:sz="0" w:space="0" w:color="auto"/>
                                <w:left w:val="none" w:sz="0" w:space="0" w:color="auto"/>
                                <w:bottom w:val="none" w:sz="0" w:space="0" w:color="auto"/>
                                <w:right w:val="none" w:sz="0" w:space="0" w:color="auto"/>
                              </w:divBdr>
                              <w:divsChild>
                                <w:div w:id="94448096">
                                  <w:marLeft w:val="0"/>
                                  <w:marRight w:val="0"/>
                                  <w:marTop w:val="0"/>
                                  <w:marBottom w:val="0"/>
                                  <w:divBdr>
                                    <w:top w:val="none" w:sz="0" w:space="0" w:color="auto"/>
                                    <w:left w:val="none" w:sz="0" w:space="0" w:color="auto"/>
                                    <w:bottom w:val="none" w:sz="0" w:space="0" w:color="auto"/>
                                    <w:right w:val="none" w:sz="0" w:space="0" w:color="auto"/>
                                  </w:divBdr>
                                  <w:divsChild>
                                    <w:div w:id="1372530614">
                                      <w:marLeft w:val="0"/>
                                      <w:marRight w:val="0"/>
                                      <w:marTop w:val="0"/>
                                      <w:marBottom w:val="0"/>
                                      <w:divBdr>
                                        <w:top w:val="none" w:sz="0" w:space="0" w:color="auto"/>
                                        <w:left w:val="none" w:sz="0" w:space="0" w:color="auto"/>
                                        <w:bottom w:val="none" w:sz="0" w:space="0" w:color="auto"/>
                                        <w:right w:val="none" w:sz="0" w:space="0" w:color="auto"/>
                                      </w:divBdr>
                                      <w:divsChild>
                                        <w:div w:id="677775569">
                                          <w:marLeft w:val="0"/>
                                          <w:marRight w:val="0"/>
                                          <w:marTop w:val="0"/>
                                          <w:marBottom w:val="0"/>
                                          <w:divBdr>
                                            <w:top w:val="none" w:sz="0" w:space="0" w:color="auto"/>
                                            <w:left w:val="none" w:sz="0" w:space="0" w:color="auto"/>
                                            <w:bottom w:val="none" w:sz="0" w:space="0" w:color="auto"/>
                                            <w:right w:val="none" w:sz="0" w:space="0" w:color="auto"/>
                                          </w:divBdr>
                                          <w:divsChild>
                                            <w:div w:id="224489341">
                                              <w:marLeft w:val="0"/>
                                              <w:marRight w:val="0"/>
                                              <w:marTop w:val="0"/>
                                              <w:marBottom w:val="0"/>
                                              <w:divBdr>
                                                <w:top w:val="none" w:sz="0" w:space="0" w:color="auto"/>
                                                <w:left w:val="none" w:sz="0" w:space="0" w:color="auto"/>
                                                <w:bottom w:val="none" w:sz="0" w:space="0" w:color="auto"/>
                                                <w:right w:val="none" w:sz="0" w:space="0" w:color="auto"/>
                                              </w:divBdr>
                                              <w:divsChild>
                                                <w:div w:id="1075929876">
                                                  <w:marLeft w:val="0"/>
                                                  <w:marRight w:val="0"/>
                                                  <w:marTop w:val="0"/>
                                                  <w:marBottom w:val="300"/>
                                                  <w:divBdr>
                                                    <w:top w:val="none" w:sz="0" w:space="0" w:color="auto"/>
                                                    <w:left w:val="none" w:sz="0" w:space="0" w:color="auto"/>
                                                    <w:bottom w:val="none" w:sz="0" w:space="0" w:color="auto"/>
                                                    <w:right w:val="none" w:sz="0" w:space="0" w:color="auto"/>
                                                  </w:divBdr>
                                                  <w:divsChild>
                                                    <w:div w:id="749815714">
                                                      <w:marLeft w:val="0"/>
                                                      <w:marRight w:val="0"/>
                                                      <w:marTop w:val="0"/>
                                                      <w:marBottom w:val="0"/>
                                                      <w:divBdr>
                                                        <w:top w:val="single" w:sz="6" w:space="0" w:color="DDDDDD"/>
                                                        <w:left w:val="single" w:sz="6" w:space="0" w:color="DDDDDD"/>
                                                        <w:bottom w:val="single" w:sz="6" w:space="0" w:color="DDDDDD"/>
                                                        <w:right w:val="single" w:sz="6" w:space="0" w:color="DDDDDD"/>
                                                      </w:divBdr>
                                                      <w:divsChild>
                                                        <w:div w:id="12374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574186">
      <w:bodyDiv w:val="1"/>
      <w:marLeft w:val="0"/>
      <w:marRight w:val="0"/>
      <w:marTop w:val="0"/>
      <w:marBottom w:val="0"/>
      <w:divBdr>
        <w:top w:val="none" w:sz="0" w:space="0" w:color="auto"/>
        <w:left w:val="none" w:sz="0" w:space="0" w:color="auto"/>
        <w:bottom w:val="none" w:sz="0" w:space="0" w:color="auto"/>
        <w:right w:val="none" w:sz="0" w:space="0" w:color="auto"/>
      </w:divBdr>
    </w:div>
    <w:div w:id="869339794">
      <w:bodyDiv w:val="1"/>
      <w:marLeft w:val="0"/>
      <w:marRight w:val="0"/>
      <w:marTop w:val="0"/>
      <w:marBottom w:val="0"/>
      <w:divBdr>
        <w:top w:val="none" w:sz="0" w:space="0" w:color="auto"/>
        <w:left w:val="none" w:sz="0" w:space="0" w:color="auto"/>
        <w:bottom w:val="none" w:sz="0" w:space="0" w:color="auto"/>
        <w:right w:val="none" w:sz="0" w:space="0" w:color="auto"/>
      </w:divBdr>
    </w:div>
    <w:div w:id="893391191">
      <w:bodyDiv w:val="1"/>
      <w:marLeft w:val="0"/>
      <w:marRight w:val="0"/>
      <w:marTop w:val="0"/>
      <w:marBottom w:val="0"/>
      <w:divBdr>
        <w:top w:val="none" w:sz="0" w:space="0" w:color="auto"/>
        <w:left w:val="none" w:sz="0" w:space="0" w:color="auto"/>
        <w:bottom w:val="none" w:sz="0" w:space="0" w:color="auto"/>
        <w:right w:val="none" w:sz="0" w:space="0" w:color="auto"/>
      </w:divBdr>
    </w:div>
    <w:div w:id="943880221">
      <w:bodyDiv w:val="1"/>
      <w:marLeft w:val="0"/>
      <w:marRight w:val="0"/>
      <w:marTop w:val="0"/>
      <w:marBottom w:val="0"/>
      <w:divBdr>
        <w:top w:val="none" w:sz="0" w:space="0" w:color="auto"/>
        <w:left w:val="none" w:sz="0" w:space="0" w:color="auto"/>
        <w:bottom w:val="none" w:sz="0" w:space="0" w:color="auto"/>
        <w:right w:val="none" w:sz="0" w:space="0" w:color="auto"/>
      </w:divBdr>
    </w:div>
    <w:div w:id="955864889">
      <w:bodyDiv w:val="1"/>
      <w:marLeft w:val="0"/>
      <w:marRight w:val="0"/>
      <w:marTop w:val="0"/>
      <w:marBottom w:val="0"/>
      <w:divBdr>
        <w:top w:val="none" w:sz="0" w:space="0" w:color="auto"/>
        <w:left w:val="none" w:sz="0" w:space="0" w:color="auto"/>
        <w:bottom w:val="none" w:sz="0" w:space="0" w:color="auto"/>
        <w:right w:val="none" w:sz="0" w:space="0" w:color="auto"/>
      </w:divBdr>
    </w:div>
    <w:div w:id="963199821">
      <w:bodyDiv w:val="1"/>
      <w:marLeft w:val="0"/>
      <w:marRight w:val="0"/>
      <w:marTop w:val="0"/>
      <w:marBottom w:val="0"/>
      <w:divBdr>
        <w:top w:val="none" w:sz="0" w:space="0" w:color="auto"/>
        <w:left w:val="none" w:sz="0" w:space="0" w:color="auto"/>
        <w:bottom w:val="none" w:sz="0" w:space="0" w:color="auto"/>
        <w:right w:val="none" w:sz="0" w:space="0" w:color="auto"/>
      </w:divBdr>
    </w:div>
    <w:div w:id="1070735032">
      <w:bodyDiv w:val="1"/>
      <w:marLeft w:val="0"/>
      <w:marRight w:val="0"/>
      <w:marTop w:val="0"/>
      <w:marBottom w:val="0"/>
      <w:divBdr>
        <w:top w:val="none" w:sz="0" w:space="0" w:color="auto"/>
        <w:left w:val="none" w:sz="0" w:space="0" w:color="auto"/>
        <w:bottom w:val="none" w:sz="0" w:space="0" w:color="auto"/>
        <w:right w:val="none" w:sz="0" w:space="0" w:color="auto"/>
      </w:divBdr>
    </w:div>
    <w:div w:id="1078601500">
      <w:bodyDiv w:val="1"/>
      <w:marLeft w:val="0"/>
      <w:marRight w:val="0"/>
      <w:marTop w:val="0"/>
      <w:marBottom w:val="0"/>
      <w:divBdr>
        <w:top w:val="none" w:sz="0" w:space="0" w:color="auto"/>
        <w:left w:val="none" w:sz="0" w:space="0" w:color="auto"/>
        <w:bottom w:val="none" w:sz="0" w:space="0" w:color="auto"/>
        <w:right w:val="none" w:sz="0" w:space="0" w:color="auto"/>
      </w:divBdr>
    </w:div>
    <w:div w:id="1086028761">
      <w:bodyDiv w:val="1"/>
      <w:marLeft w:val="0"/>
      <w:marRight w:val="0"/>
      <w:marTop w:val="0"/>
      <w:marBottom w:val="0"/>
      <w:divBdr>
        <w:top w:val="none" w:sz="0" w:space="0" w:color="auto"/>
        <w:left w:val="none" w:sz="0" w:space="0" w:color="auto"/>
        <w:bottom w:val="none" w:sz="0" w:space="0" w:color="auto"/>
        <w:right w:val="none" w:sz="0" w:space="0" w:color="auto"/>
      </w:divBdr>
    </w:div>
    <w:div w:id="1098869327">
      <w:bodyDiv w:val="1"/>
      <w:marLeft w:val="0"/>
      <w:marRight w:val="0"/>
      <w:marTop w:val="0"/>
      <w:marBottom w:val="0"/>
      <w:divBdr>
        <w:top w:val="none" w:sz="0" w:space="0" w:color="auto"/>
        <w:left w:val="none" w:sz="0" w:space="0" w:color="auto"/>
        <w:bottom w:val="none" w:sz="0" w:space="0" w:color="auto"/>
        <w:right w:val="none" w:sz="0" w:space="0" w:color="auto"/>
      </w:divBdr>
      <w:divsChild>
        <w:div w:id="1380084271">
          <w:marLeft w:val="0"/>
          <w:marRight w:val="0"/>
          <w:marTop w:val="0"/>
          <w:marBottom w:val="0"/>
          <w:divBdr>
            <w:top w:val="none" w:sz="0" w:space="0" w:color="auto"/>
            <w:left w:val="none" w:sz="0" w:space="0" w:color="auto"/>
            <w:bottom w:val="none" w:sz="0" w:space="0" w:color="auto"/>
            <w:right w:val="none" w:sz="0" w:space="0" w:color="auto"/>
          </w:divBdr>
          <w:divsChild>
            <w:div w:id="42952089">
              <w:marLeft w:val="0"/>
              <w:marRight w:val="0"/>
              <w:marTop w:val="0"/>
              <w:marBottom w:val="0"/>
              <w:divBdr>
                <w:top w:val="none" w:sz="0" w:space="0" w:color="auto"/>
                <w:left w:val="none" w:sz="0" w:space="0" w:color="auto"/>
                <w:bottom w:val="none" w:sz="0" w:space="0" w:color="auto"/>
                <w:right w:val="none" w:sz="0" w:space="0" w:color="auto"/>
              </w:divBdr>
              <w:divsChild>
                <w:div w:id="724991822">
                  <w:marLeft w:val="0"/>
                  <w:marRight w:val="0"/>
                  <w:marTop w:val="0"/>
                  <w:marBottom w:val="0"/>
                  <w:divBdr>
                    <w:top w:val="none" w:sz="0" w:space="0" w:color="auto"/>
                    <w:left w:val="none" w:sz="0" w:space="0" w:color="auto"/>
                    <w:bottom w:val="none" w:sz="0" w:space="0" w:color="auto"/>
                    <w:right w:val="none" w:sz="0" w:space="0" w:color="auto"/>
                  </w:divBdr>
                  <w:divsChild>
                    <w:div w:id="128941096">
                      <w:marLeft w:val="0"/>
                      <w:marRight w:val="0"/>
                      <w:marTop w:val="0"/>
                      <w:marBottom w:val="0"/>
                      <w:divBdr>
                        <w:top w:val="none" w:sz="0" w:space="0" w:color="auto"/>
                        <w:left w:val="none" w:sz="0" w:space="0" w:color="auto"/>
                        <w:bottom w:val="none" w:sz="0" w:space="0" w:color="auto"/>
                        <w:right w:val="none" w:sz="0" w:space="0" w:color="auto"/>
                      </w:divBdr>
                      <w:divsChild>
                        <w:div w:id="910196021">
                          <w:marLeft w:val="0"/>
                          <w:marRight w:val="0"/>
                          <w:marTop w:val="0"/>
                          <w:marBottom w:val="0"/>
                          <w:divBdr>
                            <w:top w:val="none" w:sz="0" w:space="0" w:color="auto"/>
                            <w:left w:val="none" w:sz="0" w:space="0" w:color="auto"/>
                            <w:bottom w:val="none" w:sz="0" w:space="0" w:color="auto"/>
                            <w:right w:val="none" w:sz="0" w:space="0" w:color="auto"/>
                          </w:divBdr>
                        </w:div>
                        <w:div w:id="12988796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77199">
      <w:bodyDiv w:val="1"/>
      <w:marLeft w:val="0"/>
      <w:marRight w:val="0"/>
      <w:marTop w:val="0"/>
      <w:marBottom w:val="0"/>
      <w:divBdr>
        <w:top w:val="none" w:sz="0" w:space="0" w:color="auto"/>
        <w:left w:val="none" w:sz="0" w:space="0" w:color="auto"/>
        <w:bottom w:val="none" w:sz="0" w:space="0" w:color="auto"/>
        <w:right w:val="none" w:sz="0" w:space="0" w:color="auto"/>
      </w:divBdr>
    </w:div>
    <w:div w:id="1141074262">
      <w:bodyDiv w:val="1"/>
      <w:marLeft w:val="0"/>
      <w:marRight w:val="0"/>
      <w:marTop w:val="0"/>
      <w:marBottom w:val="0"/>
      <w:divBdr>
        <w:top w:val="none" w:sz="0" w:space="0" w:color="auto"/>
        <w:left w:val="none" w:sz="0" w:space="0" w:color="auto"/>
        <w:bottom w:val="none" w:sz="0" w:space="0" w:color="auto"/>
        <w:right w:val="none" w:sz="0" w:space="0" w:color="auto"/>
      </w:divBdr>
      <w:divsChild>
        <w:div w:id="826089442">
          <w:marLeft w:val="0"/>
          <w:marRight w:val="0"/>
          <w:marTop w:val="450"/>
          <w:marBottom w:val="450"/>
          <w:divBdr>
            <w:top w:val="none" w:sz="0" w:space="0" w:color="auto"/>
            <w:left w:val="none" w:sz="0" w:space="0" w:color="auto"/>
            <w:bottom w:val="none" w:sz="0" w:space="0" w:color="auto"/>
            <w:right w:val="none" w:sz="0" w:space="0" w:color="auto"/>
          </w:divBdr>
          <w:divsChild>
            <w:div w:id="1355109316">
              <w:marLeft w:val="0"/>
              <w:marRight w:val="0"/>
              <w:marTop w:val="0"/>
              <w:marBottom w:val="0"/>
              <w:divBdr>
                <w:top w:val="none" w:sz="0" w:space="0" w:color="auto"/>
                <w:left w:val="none" w:sz="0" w:space="0" w:color="auto"/>
                <w:bottom w:val="none" w:sz="0" w:space="0" w:color="auto"/>
                <w:right w:val="none" w:sz="0" w:space="0" w:color="auto"/>
              </w:divBdr>
              <w:divsChild>
                <w:div w:id="2078362891">
                  <w:marLeft w:val="0"/>
                  <w:marRight w:val="0"/>
                  <w:marTop w:val="0"/>
                  <w:marBottom w:val="0"/>
                  <w:divBdr>
                    <w:top w:val="none" w:sz="0" w:space="0" w:color="auto"/>
                    <w:left w:val="none" w:sz="0" w:space="0" w:color="auto"/>
                    <w:bottom w:val="none" w:sz="0" w:space="0" w:color="auto"/>
                    <w:right w:val="none" w:sz="0" w:space="0" w:color="auto"/>
                  </w:divBdr>
                  <w:divsChild>
                    <w:div w:id="1694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4027">
      <w:bodyDiv w:val="1"/>
      <w:marLeft w:val="0"/>
      <w:marRight w:val="0"/>
      <w:marTop w:val="0"/>
      <w:marBottom w:val="0"/>
      <w:divBdr>
        <w:top w:val="none" w:sz="0" w:space="0" w:color="auto"/>
        <w:left w:val="none" w:sz="0" w:space="0" w:color="auto"/>
        <w:bottom w:val="none" w:sz="0" w:space="0" w:color="auto"/>
        <w:right w:val="none" w:sz="0" w:space="0" w:color="auto"/>
      </w:divBdr>
      <w:divsChild>
        <w:div w:id="2085180237">
          <w:marLeft w:val="0"/>
          <w:marRight w:val="0"/>
          <w:marTop w:val="0"/>
          <w:marBottom w:val="0"/>
          <w:divBdr>
            <w:top w:val="none" w:sz="0" w:space="0" w:color="auto"/>
            <w:left w:val="none" w:sz="0" w:space="0" w:color="auto"/>
            <w:bottom w:val="none" w:sz="0" w:space="0" w:color="auto"/>
            <w:right w:val="none" w:sz="0" w:space="0" w:color="auto"/>
          </w:divBdr>
          <w:divsChild>
            <w:div w:id="901335108">
              <w:marLeft w:val="0"/>
              <w:marRight w:val="0"/>
              <w:marTop w:val="0"/>
              <w:marBottom w:val="0"/>
              <w:divBdr>
                <w:top w:val="none" w:sz="0" w:space="0" w:color="auto"/>
                <w:left w:val="none" w:sz="0" w:space="0" w:color="auto"/>
                <w:bottom w:val="none" w:sz="0" w:space="0" w:color="auto"/>
                <w:right w:val="none" w:sz="0" w:space="0" w:color="auto"/>
              </w:divBdr>
              <w:divsChild>
                <w:div w:id="1942378246">
                  <w:marLeft w:val="0"/>
                  <w:marRight w:val="0"/>
                  <w:marTop w:val="0"/>
                  <w:marBottom w:val="0"/>
                  <w:divBdr>
                    <w:top w:val="none" w:sz="0" w:space="0" w:color="auto"/>
                    <w:left w:val="none" w:sz="0" w:space="0" w:color="auto"/>
                    <w:bottom w:val="none" w:sz="0" w:space="0" w:color="auto"/>
                    <w:right w:val="none" w:sz="0" w:space="0" w:color="auto"/>
                  </w:divBdr>
                  <w:divsChild>
                    <w:div w:id="1257596331">
                      <w:marLeft w:val="0"/>
                      <w:marRight w:val="0"/>
                      <w:marTop w:val="0"/>
                      <w:marBottom w:val="0"/>
                      <w:divBdr>
                        <w:top w:val="none" w:sz="0" w:space="0" w:color="auto"/>
                        <w:left w:val="none" w:sz="0" w:space="0" w:color="auto"/>
                        <w:bottom w:val="none" w:sz="0" w:space="0" w:color="auto"/>
                        <w:right w:val="none" w:sz="0" w:space="0" w:color="auto"/>
                      </w:divBdr>
                      <w:divsChild>
                        <w:div w:id="12733918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2531">
      <w:bodyDiv w:val="1"/>
      <w:marLeft w:val="0"/>
      <w:marRight w:val="0"/>
      <w:marTop w:val="0"/>
      <w:marBottom w:val="0"/>
      <w:divBdr>
        <w:top w:val="none" w:sz="0" w:space="0" w:color="auto"/>
        <w:left w:val="none" w:sz="0" w:space="0" w:color="auto"/>
        <w:bottom w:val="none" w:sz="0" w:space="0" w:color="auto"/>
        <w:right w:val="none" w:sz="0" w:space="0" w:color="auto"/>
      </w:divBdr>
      <w:divsChild>
        <w:div w:id="79984001">
          <w:marLeft w:val="0"/>
          <w:marRight w:val="0"/>
          <w:marTop w:val="0"/>
          <w:marBottom w:val="150"/>
          <w:divBdr>
            <w:top w:val="none" w:sz="0" w:space="0" w:color="auto"/>
            <w:left w:val="none" w:sz="0" w:space="0" w:color="auto"/>
            <w:bottom w:val="none" w:sz="0" w:space="0" w:color="auto"/>
            <w:right w:val="none" w:sz="0" w:space="0" w:color="auto"/>
          </w:divBdr>
          <w:divsChild>
            <w:div w:id="1599751366">
              <w:marLeft w:val="0"/>
              <w:marRight w:val="0"/>
              <w:marTop w:val="0"/>
              <w:marBottom w:val="0"/>
              <w:divBdr>
                <w:top w:val="none" w:sz="0" w:space="0" w:color="auto"/>
                <w:left w:val="none" w:sz="0" w:space="0" w:color="auto"/>
                <w:bottom w:val="none" w:sz="0" w:space="0" w:color="auto"/>
                <w:right w:val="none" w:sz="0" w:space="0" w:color="auto"/>
              </w:divBdr>
            </w:div>
          </w:divsChild>
        </w:div>
        <w:div w:id="1403136628">
          <w:marLeft w:val="0"/>
          <w:marRight w:val="0"/>
          <w:marTop w:val="0"/>
          <w:marBottom w:val="150"/>
          <w:divBdr>
            <w:top w:val="none" w:sz="0" w:space="0" w:color="auto"/>
            <w:left w:val="none" w:sz="0" w:space="0" w:color="auto"/>
            <w:bottom w:val="none" w:sz="0" w:space="0" w:color="auto"/>
            <w:right w:val="none" w:sz="0" w:space="0" w:color="auto"/>
          </w:divBdr>
          <w:divsChild>
            <w:div w:id="2083137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433369">
      <w:bodyDiv w:val="1"/>
      <w:marLeft w:val="0"/>
      <w:marRight w:val="0"/>
      <w:marTop w:val="0"/>
      <w:marBottom w:val="0"/>
      <w:divBdr>
        <w:top w:val="none" w:sz="0" w:space="0" w:color="auto"/>
        <w:left w:val="none" w:sz="0" w:space="0" w:color="auto"/>
        <w:bottom w:val="none" w:sz="0" w:space="0" w:color="auto"/>
        <w:right w:val="none" w:sz="0" w:space="0" w:color="auto"/>
      </w:divBdr>
    </w:div>
    <w:div w:id="1257592608">
      <w:bodyDiv w:val="1"/>
      <w:marLeft w:val="0"/>
      <w:marRight w:val="0"/>
      <w:marTop w:val="0"/>
      <w:marBottom w:val="0"/>
      <w:divBdr>
        <w:top w:val="none" w:sz="0" w:space="0" w:color="auto"/>
        <w:left w:val="none" w:sz="0" w:space="0" w:color="auto"/>
        <w:bottom w:val="none" w:sz="0" w:space="0" w:color="auto"/>
        <w:right w:val="none" w:sz="0" w:space="0" w:color="auto"/>
      </w:divBdr>
    </w:div>
    <w:div w:id="1262297309">
      <w:bodyDiv w:val="1"/>
      <w:marLeft w:val="0"/>
      <w:marRight w:val="0"/>
      <w:marTop w:val="0"/>
      <w:marBottom w:val="0"/>
      <w:divBdr>
        <w:top w:val="none" w:sz="0" w:space="0" w:color="auto"/>
        <w:left w:val="none" w:sz="0" w:space="0" w:color="auto"/>
        <w:bottom w:val="none" w:sz="0" w:space="0" w:color="auto"/>
        <w:right w:val="none" w:sz="0" w:space="0" w:color="auto"/>
      </w:divBdr>
    </w:div>
    <w:div w:id="1403215775">
      <w:bodyDiv w:val="1"/>
      <w:marLeft w:val="0"/>
      <w:marRight w:val="0"/>
      <w:marTop w:val="0"/>
      <w:marBottom w:val="0"/>
      <w:divBdr>
        <w:top w:val="none" w:sz="0" w:space="0" w:color="auto"/>
        <w:left w:val="none" w:sz="0" w:space="0" w:color="auto"/>
        <w:bottom w:val="none" w:sz="0" w:space="0" w:color="auto"/>
        <w:right w:val="none" w:sz="0" w:space="0" w:color="auto"/>
      </w:divBdr>
      <w:divsChild>
        <w:div w:id="522937440">
          <w:marLeft w:val="0"/>
          <w:marRight w:val="0"/>
          <w:marTop w:val="0"/>
          <w:marBottom w:val="0"/>
          <w:divBdr>
            <w:top w:val="none" w:sz="0" w:space="0" w:color="auto"/>
            <w:left w:val="none" w:sz="0" w:space="0" w:color="auto"/>
            <w:bottom w:val="none" w:sz="0" w:space="0" w:color="auto"/>
            <w:right w:val="none" w:sz="0" w:space="0" w:color="auto"/>
          </w:divBdr>
          <w:divsChild>
            <w:div w:id="165442555">
              <w:marLeft w:val="0"/>
              <w:marRight w:val="0"/>
              <w:marTop w:val="300"/>
              <w:marBottom w:val="0"/>
              <w:divBdr>
                <w:top w:val="none" w:sz="0" w:space="0" w:color="auto"/>
                <w:left w:val="none" w:sz="0" w:space="0" w:color="auto"/>
                <w:bottom w:val="none" w:sz="0" w:space="0" w:color="auto"/>
                <w:right w:val="none" w:sz="0" w:space="0" w:color="auto"/>
              </w:divBdr>
              <w:divsChild>
                <w:div w:id="330450125">
                  <w:marLeft w:val="0"/>
                  <w:marRight w:val="450"/>
                  <w:marTop w:val="0"/>
                  <w:marBottom w:val="0"/>
                  <w:divBdr>
                    <w:top w:val="none" w:sz="0" w:space="0" w:color="auto"/>
                    <w:left w:val="none" w:sz="0" w:space="0" w:color="auto"/>
                    <w:bottom w:val="none" w:sz="0" w:space="0" w:color="auto"/>
                    <w:right w:val="none" w:sz="0" w:space="0" w:color="auto"/>
                  </w:divBdr>
                  <w:divsChild>
                    <w:div w:id="154224886">
                      <w:marLeft w:val="0"/>
                      <w:marRight w:val="0"/>
                      <w:marTop w:val="0"/>
                      <w:marBottom w:val="0"/>
                      <w:divBdr>
                        <w:top w:val="none" w:sz="0" w:space="0" w:color="auto"/>
                        <w:left w:val="none" w:sz="0" w:space="0" w:color="auto"/>
                        <w:bottom w:val="none" w:sz="0" w:space="0" w:color="auto"/>
                        <w:right w:val="none" w:sz="0" w:space="0" w:color="auto"/>
                      </w:divBdr>
                      <w:divsChild>
                        <w:div w:id="5286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17860">
      <w:bodyDiv w:val="1"/>
      <w:marLeft w:val="0"/>
      <w:marRight w:val="0"/>
      <w:marTop w:val="0"/>
      <w:marBottom w:val="0"/>
      <w:divBdr>
        <w:top w:val="none" w:sz="0" w:space="0" w:color="auto"/>
        <w:left w:val="none" w:sz="0" w:space="0" w:color="auto"/>
        <w:bottom w:val="none" w:sz="0" w:space="0" w:color="auto"/>
        <w:right w:val="none" w:sz="0" w:space="0" w:color="auto"/>
      </w:divBdr>
    </w:div>
    <w:div w:id="1511139919">
      <w:bodyDiv w:val="1"/>
      <w:marLeft w:val="0"/>
      <w:marRight w:val="0"/>
      <w:marTop w:val="0"/>
      <w:marBottom w:val="0"/>
      <w:divBdr>
        <w:top w:val="none" w:sz="0" w:space="0" w:color="auto"/>
        <w:left w:val="none" w:sz="0" w:space="0" w:color="auto"/>
        <w:bottom w:val="none" w:sz="0" w:space="0" w:color="auto"/>
        <w:right w:val="none" w:sz="0" w:space="0" w:color="auto"/>
      </w:divBdr>
    </w:div>
    <w:div w:id="1521624478">
      <w:bodyDiv w:val="1"/>
      <w:marLeft w:val="0"/>
      <w:marRight w:val="0"/>
      <w:marTop w:val="0"/>
      <w:marBottom w:val="0"/>
      <w:divBdr>
        <w:top w:val="none" w:sz="0" w:space="0" w:color="auto"/>
        <w:left w:val="none" w:sz="0" w:space="0" w:color="auto"/>
        <w:bottom w:val="none" w:sz="0" w:space="0" w:color="auto"/>
        <w:right w:val="none" w:sz="0" w:space="0" w:color="auto"/>
      </w:divBdr>
    </w:div>
    <w:div w:id="1522008775">
      <w:bodyDiv w:val="1"/>
      <w:marLeft w:val="0"/>
      <w:marRight w:val="0"/>
      <w:marTop w:val="0"/>
      <w:marBottom w:val="0"/>
      <w:divBdr>
        <w:top w:val="none" w:sz="0" w:space="0" w:color="auto"/>
        <w:left w:val="none" w:sz="0" w:space="0" w:color="auto"/>
        <w:bottom w:val="none" w:sz="0" w:space="0" w:color="auto"/>
        <w:right w:val="none" w:sz="0" w:space="0" w:color="auto"/>
      </w:divBdr>
      <w:divsChild>
        <w:div w:id="809246978">
          <w:marLeft w:val="0"/>
          <w:marRight w:val="0"/>
          <w:marTop w:val="0"/>
          <w:marBottom w:val="0"/>
          <w:divBdr>
            <w:top w:val="none" w:sz="0" w:space="0" w:color="auto"/>
            <w:left w:val="none" w:sz="0" w:space="0" w:color="auto"/>
            <w:bottom w:val="none" w:sz="0" w:space="0" w:color="auto"/>
            <w:right w:val="none" w:sz="0" w:space="0" w:color="auto"/>
          </w:divBdr>
          <w:divsChild>
            <w:div w:id="2029016762">
              <w:marLeft w:val="0"/>
              <w:marRight w:val="0"/>
              <w:marTop w:val="0"/>
              <w:marBottom w:val="0"/>
              <w:divBdr>
                <w:top w:val="none" w:sz="0" w:space="0" w:color="auto"/>
                <w:left w:val="none" w:sz="0" w:space="0" w:color="auto"/>
                <w:bottom w:val="none" w:sz="0" w:space="0" w:color="auto"/>
                <w:right w:val="none" w:sz="0" w:space="0" w:color="auto"/>
              </w:divBdr>
              <w:divsChild>
                <w:div w:id="882716705">
                  <w:marLeft w:val="0"/>
                  <w:marRight w:val="0"/>
                  <w:marTop w:val="0"/>
                  <w:marBottom w:val="0"/>
                  <w:divBdr>
                    <w:top w:val="none" w:sz="0" w:space="0" w:color="auto"/>
                    <w:left w:val="none" w:sz="0" w:space="0" w:color="auto"/>
                    <w:bottom w:val="none" w:sz="0" w:space="0" w:color="auto"/>
                    <w:right w:val="none" w:sz="0" w:space="0" w:color="auto"/>
                  </w:divBdr>
                  <w:divsChild>
                    <w:div w:id="441344618">
                      <w:marLeft w:val="0"/>
                      <w:marRight w:val="0"/>
                      <w:marTop w:val="0"/>
                      <w:marBottom w:val="0"/>
                      <w:divBdr>
                        <w:top w:val="none" w:sz="0" w:space="0" w:color="auto"/>
                        <w:left w:val="none" w:sz="0" w:space="0" w:color="auto"/>
                        <w:bottom w:val="none" w:sz="0" w:space="0" w:color="auto"/>
                        <w:right w:val="none" w:sz="0" w:space="0" w:color="auto"/>
                      </w:divBdr>
                      <w:divsChild>
                        <w:div w:id="1465152701">
                          <w:marLeft w:val="0"/>
                          <w:marRight w:val="0"/>
                          <w:marTop w:val="0"/>
                          <w:marBottom w:val="0"/>
                          <w:divBdr>
                            <w:top w:val="none" w:sz="0" w:space="0" w:color="auto"/>
                            <w:left w:val="none" w:sz="0" w:space="0" w:color="auto"/>
                            <w:bottom w:val="none" w:sz="0" w:space="0" w:color="auto"/>
                            <w:right w:val="none" w:sz="0" w:space="0" w:color="auto"/>
                          </w:divBdr>
                          <w:divsChild>
                            <w:div w:id="884490310">
                              <w:marLeft w:val="0"/>
                              <w:marRight w:val="0"/>
                              <w:marTop w:val="0"/>
                              <w:marBottom w:val="0"/>
                              <w:divBdr>
                                <w:top w:val="none" w:sz="0" w:space="0" w:color="auto"/>
                                <w:left w:val="none" w:sz="0" w:space="0" w:color="auto"/>
                                <w:bottom w:val="none" w:sz="0" w:space="0" w:color="auto"/>
                                <w:right w:val="none" w:sz="0" w:space="0" w:color="auto"/>
                              </w:divBdr>
                              <w:divsChild>
                                <w:div w:id="1840002143">
                                  <w:marLeft w:val="0"/>
                                  <w:marRight w:val="0"/>
                                  <w:marTop w:val="0"/>
                                  <w:marBottom w:val="0"/>
                                  <w:divBdr>
                                    <w:top w:val="none" w:sz="0" w:space="0" w:color="auto"/>
                                    <w:left w:val="none" w:sz="0" w:space="0" w:color="auto"/>
                                    <w:bottom w:val="none" w:sz="0" w:space="0" w:color="auto"/>
                                    <w:right w:val="none" w:sz="0" w:space="0" w:color="auto"/>
                                  </w:divBdr>
                                  <w:divsChild>
                                    <w:div w:id="33503364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719071">
      <w:bodyDiv w:val="1"/>
      <w:marLeft w:val="0"/>
      <w:marRight w:val="0"/>
      <w:marTop w:val="0"/>
      <w:marBottom w:val="0"/>
      <w:divBdr>
        <w:top w:val="none" w:sz="0" w:space="0" w:color="auto"/>
        <w:left w:val="none" w:sz="0" w:space="0" w:color="auto"/>
        <w:bottom w:val="none" w:sz="0" w:space="0" w:color="auto"/>
        <w:right w:val="none" w:sz="0" w:space="0" w:color="auto"/>
      </w:divBdr>
    </w:div>
    <w:div w:id="1606225902">
      <w:bodyDiv w:val="1"/>
      <w:marLeft w:val="0"/>
      <w:marRight w:val="0"/>
      <w:marTop w:val="0"/>
      <w:marBottom w:val="0"/>
      <w:divBdr>
        <w:top w:val="none" w:sz="0" w:space="0" w:color="auto"/>
        <w:left w:val="none" w:sz="0" w:space="0" w:color="auto"/>
        <w:bottom w:val="none" w:sz="0" w:space="0" w:color="auto"/>
        <w:right w:val="none" w:sz="0" w:space="0" w:color="auto"/>
      </w:divBdr>
    </w:div>
    <w:div w:id="1615285524">
      <w:bodyDiv w:val="1"/>
      <w:marLeft w:val="0"/>
      <w:marRight w:val="0"/>
      <w:marTop w:val="0"/>
      <w:marBottom w:val="0"/>
      <w:divBdr>
        <w:top w:val="none" w:sz="0" w:space="0" w:color="auto"/>
        <w:left w:val="none" w:sz="0" w:space="0" w:color="auto"/>
        <w:bottom w:val="none" w:sz="0" w:space="0" w:color="auto"/>
        <w:right w:val="none" w:sz="0" w:space="0" w:color="auto"/>
      </w:divBdr>
    </w:div>
    <w:div w:id="1704666524">
      <w:bodyDiv w:val="1"/>
      <w:marLeft w:val="0"/>
      <w:marRight w:val="0"/>
      <w:marTop w:val="0"/>
      <w:marBottom w:val="0"/>
      <w:divBdr>
        <w:top w:val="single" w:sz="2" w:space="0" w:color="0E5073"/>
        <w:left w:val="none" w:sz="0" w:space="0" w:color="auto"/>
        <w:bottom w:val="none" w:sz="0" w:space="0" w:color="auto"/>
        <w:right w:val="none" w:sz="0" w:space="0" w:color="auto"/>
      </w:divBdr>
      <w:divsChild>
        <w:div w:id="548224621">
          <w:marLeft w:val="0"/>
          <w:marRight w:val="0"/>
          <w:marTop w:val="0"/>
          <w:marBottom w:val="0"/>
          <w:divBdr>
            <w:top w:val="none" w:sz="0" w:space="0" w:color="auto"/>
            <w:left w:val="none" w:sz="0" w:space="0" w:color="auto"/>
            <w:bottom w:val="none" w:sz="0" w:space="0" w:color="auto"/>
            <w:right w:val="none" w:sz="0" w:space="0" w:color="auto"/>
          </w:divBdr>
          <w:divsChild>
            <w:div w:id="953169724">
              <w:marLeft w:val="0"/>
              <w:marRight w:val="0"/>
              <w:marTop w:val="0"/>
              <w:marBottom w:val="0"/>
              <w:divBdr>
                <w:top w:val="none" w:sz="0" w:space="0" w:color="auto"/>
                <w:left w:val="none" w:sz="0" w:space="0" w:color="auto"/>
                <w:bottom w:val="none" w:sz="0" w:space="0" w:color="auto"/>
                <w:right w:val="none" w:sz="0" w:space="0" w:color="auto"/>
              </w:divBdr>
              <w:divsChild>
                <w:div w:id="1442260953">
                  <w:marLeft w:val="0"/>
                  <w:marRight w:val="0"/>
                  <w:marTop w:val="0"/>
                  <w:marBottom w:val="0"/>
                  <w:divBdr>
                    <w:top w:val="none" w:sz="0" w:space="0" w:color="auto"/>
                    <w:left w:val="none" w:sz="0" w:space="0" w:color="auto"/>
                    <w:bottom w:val="none" w:sz="0" w:space="0" w:color="auto"/>
                    <w:right w:val="none" w:sz="0" w:space="0" w:color="auto"/>
                  </w:divBdr>
                  <w:divsChild>
                    <w:div w:id="733891614">
                      <w:marLeft w:val="0"/>
                      <w:marRight w:val="0"/>
                      <w:marTop w:val="0"/>
                      <w:marBottom w:val="0"/>
                      <w:divBdr>
                        <w:top w:val="none" w:sz="0" w:space="0" w:color="auto"/>
                        <w:left w:val="none" w:sz="0" w:space="0" w:color="auto"/>
                        <w:bottom w:val="none" w:sz="0" w:space="0" w:color="auto"/>
                        <w:right w:val="none" w:sz="0" w:space="0" w:color="auto"/>
                      </w:divBdr>
                      <w:divsChild>
                        <w:div w:id="1521698045">
                          <w:marLeft w:val="0"/>
                          <w:marRight w:val="0"/>
                          <w:marTop w:val="0"/>
                          <w:marBottom w:val="0"/>
                          <w:divBdr>
                            <w:top w:val="none" w:sz="0" w:space="0" w:color="auto"/>
                            <w:left w:val="none" w:sz="0" w:space="0" w:color="auto"/>
                            <w:bottom w:val="none" w:sz="0" w:space="0" w:color="auto"/>
                            <w:right w:val="none" w:sz="0" w:space="0" w:color="auto"/>
                          </w:divBdr>
                        </w:div>
                      </w:divsChild>
                    </w:div>
                    <w:div w:id="789011952">
                      <w:marLeft w:val="0"/>
                      <w:marRight w:val="0"/>
                      <w:marTop w:val="0"/>
                      <w:marBottom w:val="0"/>
                      <w:divBdr>
                        <w:top w:val="none" w:sz="0" w:space="0" w:color="auto"/>
                        <w:left w:val="none" w:sz="0" w:space="0" w:color="auto"/>
                        <w:bottom w:val="none" w:sz="0" w:space="0" w:color="auto"/>
                        <w:right w:val="none" w:sz="0" w:space="0" w:color="auto"/>
                      </w:divBdr>
                      <w:divsChild>
                        <w:div w:id="52294159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38259130">
                              <w:marLeft w:val="0"/>
                              <w:marRight w:val="0"/>
                              <w:marTop w:val="0"/>
                              <w:marBottom w:val="0"/>
                              <w:divBdr>
                                <w:top w:val="single" w:sz="6" w:space="0" w:color="EFEFEF"/>
                                <w:left w:val="single" w:sz="6" w:space="0" w:color="EFEFEF"/>
                                <w:bottom w:val="single" w:sz="6" w:space="0" w:color="EFEFEF"/>
                                <w:right w:val="single" w:sz="6" w:space="0" w:color="EFEFEF"/>
                              </w:divBdr>
                              <w:divsChild>
                                <w:div w:id="814957671">
                                  <w:marLeft w:val="0"/>
                                  <w:marRight w:val="0"/>
                                  <w:marTop w:val="0"/>
                                  <w:marBottom w:val="0"/>
                                  <w:divBdr>
                                    <w:top w:val="none" w:sz="0" w:space="0" w:color="auto"/>
                                    <w:left w:val="none" w:sz="0" w:space="0" w:color="auto"/>
                                    <w:bottom w:val="none" w:sz="0" w:space="0" w:color="auto"/>
                                    <w:right w:val="none" w:sz="0" w:space="0" w:color="auto"/>
                                  </w:divBdr>
                                  <w:divsChild>
                                    <w:div w:id="1436366126">
                                      <w:marLeft w:val="0"/>
                                      <w:marRight w:val="0"/>
                                      <w:marTop w:val="0"/>
                                      <w:marBottom w:val="0"/>
                                      <w:divBdr>
                                        <w:top w:val="none" w:sz="0" w:space="0" w:color="auto"/>
                                        <w:left w:val="none" w:sz="0" w:space="0" w:color="auto"/>
                                        <w:bottom w:val="none" w:sz="0" w:space="0" w:color="auto"/>
                                        <w:right w:val="none" w:sz="0" w:space="0" w:color="auto"/>
                                      </w:divBdr>
                                    </w:div>
                                  </w:divsChild>
                                </w:div>
                                <w:div w:id="2084184045">
                                  <w:marLeft w:val="0"/>
                                  <w:marRight w:val="0"/>
                                  <w:marTop w:val="0"/>
                                  <w:marBottom w:val="0"/>
                                  <w:divBdr>
                                    <w:top w:val="none" w:sz="0" w:space="0" w:color="auto"/>
                                    <w:left w:val="none" w:sz="0" w:space="0" w:color="auto"/>
                                    <w:bottom w:val="none" w:sz="0" w:space="0" w:color="auto"/>
                                    <w:right w:val="none" w:sz="0" w:space="0" w:color="auto"/>
                                  </w:divBdr>
                                  <w:divsChild>
                                    <w:div w:id="1114792426">
                                      <w:marLeft w:val="0"/>
                                      <w:marRight w:val="0"/>
                                      <w:marTop w:val="0"/>
                                      <w:marBottom w:val="0"/>
                                      <w:divBdr>
                                        <w:top w:val="none" w:sz="0" w:space="0" w:color="auto"/>
                                        <w:left w:val="none" w:sz="0" w:space="0" w:color="auto"/>
                                        <w:bottom w:val="none" w:sz="0" w:space="0" w:color="auto"/>
                                        <w:right w:val="none" w:sz="0" w:space="0" w:color="auto"/>
                                      </w:divBdr>
                                      <w:divsChild>
                                        <w:div w:id="746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276466">
      <w:bodyDiv w:val="1"/>
      <w:marLeft w:val="0"/>
      <w:marRight w:val="0"/>
      <w:marTop w:val="0"/>
      <w:marBottom w:val="0"/>
      <w:divBdr>
        <w:top w:val="none" w:sz="0" w:space="0" w:color="auto"/>
        <w:left w:val="none" w:sz="0" w:space="0" w:color="auto"/>
        <w:bottom w:val="none" w:sz="0" w:space="0" w:color="auto"/>
        <w:right w:val="none" w:sz="0" w:space="0" w:color="auto"/>
      </w:divBdr>
    </w:div>
    <w:div w:id="1831822578">
      <w:bodyDiv w:val="1"/>
      <w:marLeft w:val="0"/>
      <w:marRight w:val="0"/>
      <w:marTop w:val="0"/>
      <w:marBottom w:val="0"/>
      <w:divBdr>
        <w:top w:val="none" w:sz="0" w:space="0" w:color="auto"/>
        <w:left w:val="none" w:sz="0" w:space="0" w:color="auto"/>
        <w:bottom w:val="none" w:sz="0" w:space="0" w:color="auto"/>
        <w:right w:val="none" w:sz="0" w:space="0" w:color="auto"/>
      </w:divBdr>
    </w:div>
    <w:div w:id="1838690868">
      <w:bodyDiv w:val="1"/>
      <w:marLeft w:val="0"/>
      <w:marRight w:val="0"/>
      <w:marTop w:val="0"/>
      <w:marBottom w:val="0"/>
      <w:divBdr>
        <w:top w:val="none" w:sz="0" w:space="0" w:color="auto"/>
        <w:left w:val="none" w:sz="0" w:space="0" w:color="auto"/>
        <w:bottom w:val="none" w:sz="0" w:space="0" w:color="auto"/>
        <w:right w:val="none" w:sz="0" w:space="0" w:color="auto"/>
      </w:divBdr>
    </w:div>
    <w:div w:id="1841849325">
      <w:bodyDiv w:val="1"/>
      <w:marLeft w:val="0"/>
      <w:marRight w:val="0"/>
      <w:marTop w:val="0"/>
      <w:marBottom w:val="0"/>
      <w:divBdr>
        <w:top w:val="none" w:sz="0" w:space="0" w:color="auto"/>
        <w:left w:val="none" w:sz="0" w:space="0" w:color="auto"/>
        <w:bottom w:val="none" w:sz="0" w:space="0" w:color="auto"/>
        <w:right w:val="none" w:sz="0" w:space="0" w:color="auto"/>
      </w:divBdr>
    </w:div>
    <w:div w:id="1850365103">
      <w:bodyDiv w:val="1"/>
      <w:marLeft w:val="0"/>
      <w:marRight w:val="0"/>
      <w:marTop w:val="0"/>
      <w:marBottom w:val="0"/>
      <w:divBdr>
        <w:top w:val="none" w:sz="0" w:space="0" w:color="auto"/>
        <w:left w:val="none" w:sz="0" w:space="0" w:color="auto"/>
        <w:bottom w:val="none" w:sz="0" w:space="0" w:color="auto"/>
        <w:right w:val="none" w:sz="0" w:space="0" w:color="auto"/>
      </w:divBdr>
    </w:div>
    <w:div w:id="1851991821">
      <w:bodyDiv w:val="1"/>
      <w:marLeft w:val="0"/>
      <w:marRight w:val="0"/>
      <w:marTop w:val="0"/>
      <w:marBottom w:val="0"/>
      <w:divBdr>
        <w:top w:val="none" w:sz="0" w:space="0" w:color="auto"/>
        <w:left w:val="none" w:sz="0" w:space="0" w:color="auto"/>
        <w:bottom w:val="none" w:sz="0" w:space="0" w:color="auto"/>
        <w:right w:val="none" w:sz="0" w:space="0" w:color="auto"/>
      </w:divBdr>
      <w:divsChild>
        <w:div w:id="1334798883">
          <w:marLeft w:val="0"/>
          <w:marRight w:val="0"/>
          <w:marTop w:val="300"/>
          <w:marBottom w:val="0"/>
          <w:divBdr>
            <w:top w:val="none" w:sz="0" w:space="0" w:color="auto"/>
            <w:left w:val="none" w:sz="0" w:space="0" w:color="auto"/>
            <w:bottom w:val="none" w:sz="0" w:space="0" w:color="auto"/>
            <w:right w:val="none" w:sz="0" w:space="0" w:color="auto"/>
          </w:divBdr>
          <w:divsChild>
            <w:div w:id="1453282085">
              <w:marLeft w:val="0"/>
              <w:marRight w:val="0"/>
              <w:marTop w:val="0"/>
              <w:marBottom w:val="0"/>
              <w:divBdr>
                <w:top w:val="none" w:sz="0" w:space="0" w:color="auto"/>
                <w:left w:val="none" w:sz="0" w:space="0" w:color="auto"/>
                <w:bottom w:val="none" w:sz="0" w:space="0" w:color="auto"/>
                <w:right w:val="none" w:sz="0" w:space="0" w:color="auto"/>
              </w:divBdr>
              <w:divsChild>
                <w:div w:id="1686323283">
                  <w:marLeft w:val="0"/>
                  <w:marRight w:val="-3600"/>
                  <w:marTop w:val="0"/>
                  <w:marBottom w:val="0"/>
                  <w:divBdr>
                    <w:top w:val="none" w:sz="0" w:space="0" w:color="auto"/>
                    <w:left w:val="none" w:sz="0" w:space="0" w:color="auto"/>
                    <w:bottom w:val="none" w:sz="0" w:space="0" w:color="auto"/>
                    <w:right w:val="none" w:sz="0" w:space="0" w:color="auto"/>
                  </w:divBdr>
                  <w:divsChild>
                    <w:div w:id="1845238972">
                      <w:marLeft w:val="300"/>
                      <w:marRight w:val="4200"/>
                      <w:marTop w:val="0"/>
                      <w:marBottom w:val="540"/>
                      <w:divBdr>
                        <w:top w:val="none" w:sz="0" w:space="0" w:color="auto"/>
                        <w:left w:val="none" w:sz="0" w:space="0" w:color="auto"/>
                        <w:bottom w:val="none" w:sz="0" w:space="0" w:color="auto"/>
                        <w:right w:val="none" w:sz="0" w:space="0" w:color="auto"/>
                      </w:divBdr>
                      <w:divsChild>
                        <w:div w:id="1724407821">
                          <w:marLeft w:val="0"/>
                          <w:marRight w:val="0"/>
                          <w:marTop w:val="0"/>
                          <w:marBottom w:val="0"/>
                          <w:divBdr>
                            <w:top w:val="none" w:sz="0" w:space="0" w:color="auto"/>
                            <w:left w:val="none" w:sz="0" w:space="0" w:color="auto"/>
                            <w:bottom w:val="none" w:sz="0" w:space="0" w:color="auto"/>
                            <w:right w:val="none" w:sz="0" w:space="0" w:color="auto"/>
                          </w:divBdr>
                          <w:divsChild>
                            <w:div w:id="19378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95762">
      <w:bodyDiv w:val="1"/>
      <w:marLeft w:val="0"/>
      <w:marRight w:val="0"/>
      <w:marTop w:val="0"/>
      <w:marBottom w:val="0"/>
      <w:divBdr>
        <w:top w:val="none" w:sz="0" w:space="0" w:color="auto"/>
        <w:left w:val="none" w:sz="0" w:space="0" w:color="auto"/>
        <w:bottom w:val="none" w:sz="0" w:space="0" w:color="auto"/>
        <w:right w:val="none" w:sz="0" w:space="0" w:color="auto"/>
      </w:divBdr>
    </w:div>
    <w:div w:id="1966543897">
      <w:bodyDiv w:val="1"/>
      <w:marLeft w:val="0"/>
      <w:marRight w:val="0"/>
      <w:marTop w:val="0"/>
      <w:marBottom w:val="0"/>
      <w:divBdr>
        <w:top w:val="none" w:sz="0" w:space="0" w:color="auto"/>
        <w:left w:val="none" w:sz="0" w:space="0" w:color="auto"/>
        <w:bottom w:val="none" w:sz="0" w:space="0" w:color="auto"/>
        <w:right w:val="none" w:sz="0" w:space="0" w:color="auto"/>
      </w:divBdr>
    </w:div>
    <w:div w:id="1976446301">
      <w:bodyDiv w:val="1"/>
      <w:marLeft w:val="0"/>
      <w:marRight w:val="0"/>
      <w:marTop w:val="0"/>
      <w:marBottom w:val="0"/>
      <w:divBdr>
        <w:top w:val="none" w:sz="0" w:space="0" w:color="auto"/>
        <w:left w:val="none" w:sz="0" w:space="0" w:color="auto"/>
        <w:bottom w:val="none" w:sz="0" w:space="0" w:color="auto"/>
        <w:right w:val="none" w:sz="0" w:space="0" w:color="auto"/>
      </w:divBdr>
    </w:div>
    <w:div w:id="20664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itizen.ba"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Publications/WEO/Issues/2020/06/24/WEOUpdateJune2020?utm_medium=email&amp;utm_source=%20govdelivery" TargetMode="External"/><Relationship Id="rId1" Type="http://schemas.openxmlformats.org/officeDocument/2006/relationships/hyperlink" Target="http://www.vladar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ja_popovi&#263;\Desktop\Finansij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a:t>Извршење прихода 01.01.-31.03.2020. г.  у односу на исти период 2019. г.</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935179099205444"/>
          <c:y val="0.19813821677757251"/>
          <c:w val="0.8714885639295088"/>
          <c:h val="0.73259487179487182"/>
        </c:manualLayout>
      </c:layout>
      <c:barChart>
        <c:barDir val="col"/>
        <c:grouping val="clustered"/>
        <c:varyColors val="0"/>
        <c:ser>
          <c:idx val="0"/>
          <c:order val="0"/>
          <c:tx>
            <c:strRef>
              <c:f>'Zbirno analiza prihoda'!$D$3</c:f>
              <c:strCache>
                <c:ptCount val="1"/>
                <c:pt idx="0">
                  <c:v> 01.01. - 31.03.2020 у односу на исти период 2019. г.</c:v>
                </c:pt>
              </c:strCache>
            </c:strRef>
          </c:tx>
          <c:spPr>
            <a:solidFill>
              <a:schemeClr val="accent1"/>
            </a:solidFill>
            <a:ln>
              <a:noFill/>
            </a:ln>
            <a:effectLst/>
          </c:spPr>
          <c:invertIfNegative val="0"/>
          <c:dLbls>
            <c:dLbl>
              <c:idx val="3"/>
              <c:layout>
                <c:manualLayout>
                  <c:x val="-1.6095783330449951E-2"/>
                  <c:y val="-8.1402179025824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90-4F2E-AAD8-C68AD0CD3807}"/>
                </c:ext>
              </c:extLst>
            </c:dLbl>
            <c:dLbl>
              <c:idx val="4"/>
              <c:layout>
                <c:manualLayout>
                  <c:x val="1.8171493469619368E-2"/>
                  <c:y val="-0.100227790432801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90-4F2E-AAD8-C68AD0CD380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'Zbirno analiza prihoda'!$B$4:$B$10</c:f>
              <c:strCache>
                <c:ptCount val="7"/>
                <c:pt idx="0">
                  <c:v>Бања Лука</c:v>
                </c:pt>
                <c:pt idx="1">
                  <c:v>Приједор</c:v>
                </c:pt>
                <c:pt idx="2">
                  <c:v>Србац</c:v>
                </c:pt>
                <c:pt idx="3">
                  <c:v>Градишка</c:v>
                </c:pt>
                <c:pt idx="4">
                  <c:v>Лакташи</c:v>
                </c:pt>
                <c:pt idx="5">
                  <c:v>Фоча</c:v>
                </c:pt>
                <c:pt idx="6">
                  <c:v>Вишеград</c:v>
                </c:pt>
              </c:strCache>
            </c:strRef>
          </c:cat>
          <c:val>
            <c:numRef>
              <c:f>'Zbirno analiza prihoda'!$D$4:$D$10</c:f>
              <c:numCache>
                <c:formatCode>0.0%</c:formatCode>
                <c:ptCount val="7"/>
                <c:pt idx="0">
                  <c:v>-5.1999999999999998E-2</c:v>
                </c:pt>
                <c:pt idx="1">
                  <c:v>5.7000000000000002E-2</c:v>
                </c:pt>
                <c:pt idx="2">
                  <c:v>0.115</c:v>
                </c:pt>
                <c:pt idx="3">
                  <c:v>-4.0000000000000001E-3</c:v>
                </c:pt>
                <c:pt idx="4">
                  <c:v>-1E-3</c:v>
                </c:pt>
                <c:pt idx="5">
                  <c:v>-3.5999999999999997E-2</c:v>
                </c:pt>
                <c:pt idx="6">
                  <c:v>-3.6999999999999998E-2</c:v>
                </c:pt>
              </c:numCache>
            </c:numRef>
          </c:val>
          <c:extLst>
            <c:ext xmlns:c16="http://schemas.microsoft.com/office/drawing/2014/chart" uri="{C3380CC4-5D6E-409C-BE32-E72D297353CC}">
              <c16:uniqueId val="{00000002-2A90-4F2E-AAD8-C68AD0CD3807}"/>
            </c:ext>
          </c:extLst>
        </c:ser>
        <c:dLbls>
          <c:showLegendKey val="0"/>
          <c:showVal val="0"/>
          <c:showCatName val="0"/>
          <c:showSerName val="0"/>
          <c:showPercent val="0"/>
          <c:showBubbleSize val="0"/>
        </c:dLbls>
        <c:gapWidth val="219"/>
        <c:overlap val="-27"/>
        <c:axId val="869419119"/>
        <c:axId val="869414543"/>
      </c:barChart>
      <c:catAx>
        <c:axId val="869419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69414543"/>
        <c:crosses val="autoZero"/>
        <c:auto val="1"/>
        <c:lblAlgn val="ctr"/>
        <c:lblOffset val="100"/>
        <c:noMultiLvlLbl val="0"/>
      </c:catAx>
      <c:valAx>
        <c:axId val="8694145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69419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BA" sz="1100"/>
              <a:t>Извршење прихода 01.01. - 30.06.2020  у односу на исти период 2019. г.</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'Zbirno analiza prihoda'!$G$3</c:f>
              <c:strCache>
                <c:ptCount val="1"/>
                <c:pt idx="0">
                  <c:v>01.01. - 30.06.2020 у односу на исти период 2019. 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'Zbirno analiza prihoda'!$B$4:$B$10</c:f>
              <c:strCache>
                <c:ptCount val="7"/>
                <c:pt idx="0">
                  <c:v>Бања Лука</c:v>
                </c:pt>
                <c:pt idx="1">
                  <c:v>Приједор</c:v>
                </c:pt>
                <c:pt idx="2">
                  <c:v>Србац</c:v>
                </c:pt>
                <c:pt idx="3">
                  <c:v>Градишка</c:v>
                </c:pt>
                <c:pt idx="4">
                  <c:v>Лакташи</c:v>
                </c:pt>
                <c:pt idx="5">
                  <c:v>Фоча</c:v>
                </c:pt>
                <c:pt idx="6">
                  <c:v>Вишеград</c:v>
                </c:pt>
              </c:strCache>
            </c:strRef>
          </c:cat>
          <c:val>
            <c:numRef>
              <c:f>'Zbirno analiza prihoda'!$G$4:$G$10</c:f>
              <c:numCache>
                <c:formatCode>0.0%</c:formatCode>
                <c:ptCount val="7"/>
                <c:pt idx="0">
                  <c:v>-0.16200000000000001</c:v>
                </c:pt>
                <c:pt idx="1">
                  <c:v>-0.13300000000000001</c:v>
                </c:pt>
                <c:pt idx="2">
                  <c:v>-0.11600000000000001</c:v>
                </c:pt>
                <c:pt idx="3">
                  <c:v>-0.13</c:v>
                </c:pt>
                <c:pt idx="4">
                  <c:v>-0.15</c:v>
                </c:pt>
                <c:pt idx="5">
                  <c:v>-0.193</c:v>
                </c:pt>
                <c:pt idx="6">
                  <c:v>-0.107</c:v>
                </c:pt>
              </c:numCache>
            </c:numRef>
          </c:val>
          <c:extLst>
            <c:ext xmlns:c16="http://schemas.microsoft.com/office/drawing/2014/chart" uri="{C3380CC4-5D6E-409C-BE32-E72D297353CC}">
              <c16:uniqueId val="{00000000-3FC7-4163-90EE-56B2021A52F0}"/>
            </c:ext>
          </c:extLst>
        </c:ser>
        <c:dLbls>
          <c:showLegendKey val="0"/>
          <c:showVal val="0"/>
          <c:showCatName val="0"/>
          <c:showSerName val="0"/>
          <c:showPercent val="0"/>
          <c:showBubbleSize val="0"/>
        </c:dLbls>
        <c:gapWidth val="219"/>
        <c:overlap val="-27"/>
        <c:axId val="1600111999"/>
        <c:axId val="1668421247"/>
      </c:barChart>
      <c:catAx>
        <c:axId val="1600111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68421247"/>
        <c:crosses val="autoZero"/>
        <c:auto val="1"/>
        <c:lblAlgn val="ctr"/>
        <c:lblOffset val="100"/>
        <c:noMultiLvlLbl val="0"/>
      </c:catAx>
      <c:valAx>
        <c:axId val="16684212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00111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CECD-BEA0-479D-B355-57EA6A11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Finansije</Template>
  <TotalTime>1</TotalTime>
  <Pages>32</Pages>
  <Words>13918</Words>
  <Characters>79338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Број:</vt:lpstr>
    </vt:vector>
  </TitlesOfParts>
  <Company>Gradska uprava</Company>
  <LinksUpToDate>false</LinksUpToDate>
  <CharactersWithSpaces>93070</CharactersWithSpaces>
  <SharedDoc>false</SharedDoc>
  <HLinks>
    <vt:vector size="6" baseType="variant">
      <vt:variant>
        <vt:i4>4980776</vt:i4>
      </vt:variant>
      <vt:variant>
        <vt:i4>0</vt:i4>
      </vt:variant>
      <vt:variant>
        <vt:i4>0</vt:i4>
      </vt:variant>
      <vt:variant>
        <vt:i4>5</vt:i4>
      </vt:variant>
      <vt:variant>
        <vt:lpwstr>mailto:finansije@banjaluka.rs.ba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subject/>
  <dc:creator>dejanv</dc:creator>
  <cp:keywords/>
  <dc:description/>
  <cp:lastModifiedBy>Korisnik</cp:lastModifiedBy>
  <cp:revision>2</cp:revision>
  <cp:lastPrinted>2020-12-22T16:20:00Z</cp:lastPrinted>
  <dcterms:created xsi:type="dcterms:W3CDTF">2020-12-30T11:02:00Z</dcterms:created>
  <dcterms:modified xsi:type="dcterms:W3CDTF">2020-12-30T11:02:00Z</dcterms:modified>
</cp:coreProperties>
</file>