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9D08C" w14:textId="6F4916AA" w:rsidR="00A770B7" w:rsidRPr="004F6502" w:rsidRDefault="00A770B7" w:rsidP="00E371A6">
      <w:pPr>
        <w:spacing w:before="0"/>
        <w:jc w:val="center"/>
        <w:rPr>
          <w:rFonts w:ascii="Times New Roman" w:hAnsi="Times New Roman" w:cs="Times New Roman"/>
          <w:b/>
          <w:color w:val="44546A" w:themeColor="text2"/>
          <w:sz w:val="26"/>
          <w:szCs w:val="26"/>
        </w:rPr>
      </w:pPr>
      <w:r w:rsidRPr="004F6502">
        <w:rPr>
          <w:rFonts w:ascii="Times New Roman" w:hAnsi="Times New Roman" w:cs="Times New Roman"/>
          <w:b/>
          <w:color w:val="44546A" w:themeColor="text2"/>
          <w:sz w:val="26"/>
          <w:szCs w:val="26"/>
        </w:rPr>
        <w:t xml:space="preserve">INV GAF </w:t>
      </w:r>
      <w:r w:rsidR="005334C8" w:rsidRPr="004F6502">
        <w:rPr>
          <w:rFonts w:ascii="Times New Roman" w:hAnsi="Times New Roman" w:cs="Times New Roman"/>
          <w:b/>
          <w:color w:val="44546A" w:themeColor="text2"/>
          <w:sz w:val="26"/>
          <w:szCs w:val="26"/>
        </w:rPr>
        <w:t xml:space="preserve">template </w:t>
      </w:r>
      <w:r w:rsidRPr="004F6502">
        <w:rPr>
          <w:rFonts w:ascii="Times New Roman" w:hAnsi="Times New Roman" w:cs="Times New Roman"/>
          <w:b/>
          <w:color w:val="44546A" w:themeColor="text2"/>
          <w:sz w:val="26"/>
          <w:szCs w:val="26"/>
        </w:rPr>
        <w:t>&amp; Guideline</w:t>
      </w:r>
      <w:r w:rsidR="005334C8" w:rsidRPr="004F6502">
        <w:rPr>
          <w:rFonts w:ascii="Times New Roman" w:hAnsi="Times New Roman" w:cs="Times New Roman"/>
          <w:b/>
          <w:color w:val="44546A" w:themeColor="text2"/>
          <w:sz w:val="26"/>
          <w:szCs w:val="26"/>
        </w:rPr>
        <w:t>s</w:t>
      </w:r>
      <w:r w:rsidRPr="004F6502">
        <w:rPr>
          <w:rFonts w:ascii="Times New Roman" w:hAnsi="Times New Roman" w:cs="Times New Roman"/>
          <w:b/>
          <w:color w:val="44546A" w:themeColor="text2"/>
          <w:sz w:val="26"/>
          <w:szCs w:val="26"/>
        </w:rPr>
        <w:t xml:space="preserve"> </w:t>
      </w:r>
      <w:r w:rsidR="005334C8" w:rsidRPr="004F6502">
        <w:rPr>
          <w:rFonts w:ascii="Times New Roman" w:hAnsi="Times New Roman" w:cs="Times New Roman"/>
          <w:b/>
          <w:color w:val="44546A" w:themeColor="text2"/>
          <w:sz w:val="26"/>
          <w:szCs w:val="26"/>
        </w:rPr>
        <w:t>r</w:t>
      </w:r>
      <w:r w:rsidRPr="004F6502">
        <w:rPr>
          <w:rFonts w:ascii="Times New Roman" w:hAnsi="Times New Roman" w:cs="Times New Roman"/>
          <w:b/>
          <w:color w:val="44546A" w:themeColor="text2"/>
          <w:sz w:val="26"/>
          <w:szCs w:val="26"/>
        </w:rPr>
        <w:t xml:space="preserve">eview and </w:t>
      </w:r>
      <w:r w:rsidR="005334C8" w:rsidRPr="004F6502">
        <w:rPr>
          <w:rFonts w:ascii="Times New Roman" w:hAnsi="Times New Roman" w:cs="Times New Roman"/>
          <w:b/>
          <w:color w:val="44546A" w:themeColor="text2"/>
          <w:sz w:val="26"/>
          <w:szCs w:val="26"/>
        </w:rPr>
        <w:t>i</w:t>
      </w:r>
      <w:r w:rsidRPr="004F6502">
        <w:rPr>
          <w:rFonts w:ascii="Times New Roman" w:hAnsi="Times New Roman" w:cs="Times New Roman"/>
          <w:b/>
          <w:color w:val="44546A" w:themeColor="text2"/>
          <w:sz w:val="26"/>
          <w:szCs w:val="26"/>
        </w:rPr>
        <w:t>mprovement</w:t>
      </w:r>
      <w:r w:rsidR="00C01EE4" w:rsidRPr="004F6502">
        <w:rPr>
          <w:rFonts w:ascii="Times New Roman" w:hAnsi="Times New Roman" w:cs="Times New Roman"/>
          <w:b/>
          <w:color w:val="44546A" w:themeColor="text2"/>
          <w:sz w:val="26"/>
          <w:szCs w:val="26"/>
        </w:rPr>
        <w:t xml:space="preserve"> </w:t>
      </w:r>
    </w:p>
    <w:p w14:paraId="6C6246A6" w14:textId="1059B38C" w:rsidR="00A770B7" w:rsidRPr="004F6502" w:rsidRDefault="00A770B7" w:rsidP="00E371A6">
      <w:pPr>
        <w:spacing w:before="0"/>
        <w:jc w:val="center"/>
        <w:rPr>
          <w:rFonts w:ascii="Times New Roman" w:hAnsi="Times New Roman" w:cs="Times New Roman"/>
          <w:b/>
          <w:color w:val="44546A" w:themeColor="text2"/>
          <w:sz w:val="26"/>
          <w:szCs w:val="26"/>
        </w:rPr>
      </w:pPr>
      <w:r w:rsidRPr="004F6502">
        <w:rPr>
          <w:rFonts w:ascii="Times New Roman" w:hAnsi="Times New Roman" w:cs="Times New Roman"/>
          <w:b/>
          <w:color w:val="44546A" w:themeColor="text2"/>
          <w:sz w:val="26"/>
          <w:szCs w:val="26"/>
        </w:rPr>
        <w:t>Main changes overview</w:t>
      </w:r>
    </w:p>
    <w:p w14:paraId="39A0261B" w14:textId="651C335C" w:rsidR="00224782" w:rsidRPr="005334C8" w:rsidRDefault="00224782" w:rsidP="00224782">
      <w:pPr>
        <w:rPr>
          <w:rFonts w:ascii="Times New Roman" w:hAnsi="Times New Roman" w:cs="Times New Roman"/>
        </w:rPr>
      </w:pPr>
      <w:r w:rsidRPr="005334C8">
        <w:rPr>
          <w:rFonts w:ascii="Times New Roman" w:hAnsi="Times New Roman" w:cs="Times New Roman"/>
        </w:rPr>
        <w:t xml:space="preserve">This document explains the </w:t>
      </w:r>
      <w:r w:rsidR="0011155F" w:rsidRPr="005334C8">
        <w:rPr>
          <w:rFonts w:ascii="Times New Roman" w:hAnsi="Times New Roman" w:cs="Times New Roman"/>
        </w:rPr>
        <w:t>interventions</w:t>
      </w:r>
      <w:r w:rsidRPr="005334C8">
        <w:rPr>
          <w:rFonts w:ascii="Times New Roman" w:hAnsi="Times New Roman" w:cs="Times New Roman"/>
        </w:rPr>
        <w:t xml:space="preserve"> to the second revised version of </w:t>
      </w:r>
      <w:r w:rsidR="00C01EE4" w:rsidRPr="005334C8">
        <w:rPr>
          <w:rFonts w:ascii="Times New Roman" w:hAnsi="Times New Roman" w:cs="Times New Roman"/>
        </w:rPr>
        <w:t xml:space="preserve">the </w:t>
      </w:r>
      <w:r w:rsidRPr="005334C8">
        <w:rPr>
          <w:rFonts w:ascii="Times New Roman" w:hAnsi="Times New Roman" w:cs="Times New Roman"/>
        </w:rPr>
        <w:t>INV GAF Package</w:t>
      </w:r>
      <w:r w:rsidR="00C01EE4" w:rsidRPr="005334C8">
        <w:rPr>
          <w:rFonts w:ascii="Times New Roman" w:hAnsi="Times New Roman" w:cs="Times New Roman"/>
        </w:rPr>
        <w:t xml:space="preserve">, </w:t>
      </w:r>
      <w:r w:rsidRPr="005334C8">
        <w:rPr>
          <w:rFonts w:ascii="Times New Roman" w:hAnsi="Times New Roman" w:cs="Times New Roman"/>
        </w:rPr>
        <w:t>in response to the comments received</w:t>
      </w:r>
      <w:r w:rsidR="00C01EE4" w:rsidRPr="005334C8">
        <w:rPr>
          <w:rFonts w:ascii="Times New Roman" w:hAnsi="Times New Roman" w:cs="Times New Roman"/>
        </w:rPr>
        <w:t xml:space="preserve"> and</w:t>
      </w:r>
      <w:r w:rsidRPr="005334C8">
        <w:rPr>
          <w:rFonts w:ascii="Times New Roman" w:hAnsi="Times New Roman" w:cs="Times New Roman"/>
        </w:rPr>
        <w:t xml:space="preserve"> following the discussions </w:t>
      </w:r>
      <w:r w:rsidR="00C01EE4" w:rsidRPr="005334C8">
        <w:rPr>
          <w:rFonts w:ascii="Times New Roman" w:hAnsi="Times New Roman" w:cs="Times New Roman"/>
        </w:rPr>
        <w:t>at the virtual meeting from 1</w:t>
      </w:r>
      <w:r w:rsidR="00C01EE4" w:rsidRPr="005334C8">
        <w:rPr>
          <w:rFonts w:ascii="Times New Roman" w:hAnsi="Times New Roman" w:cs="Times New Roman"/>
          <w:vertAlign w:val="superscript"/>
        </w:rPr>
        <w:t>st</w:t>
      </w:r>
      <w:r w:rsidR="00C01EE4" w:rsidRPr="005334C8">
        <w:rPr>
          <w:rFonts w:ascii="Times New Roman" w:hAnsi="Times New Roman" w:cs="Times New Roman"/>
        </w:rPr>
        <w:t xml:space="preserve"> July 2020.</w:t>
      </w:r>
      <w:r w:rsidR="00E04BDF" w:rsidRPr="005334C8">
        <w:rPr>
          <w:rFonts w:ascii="Times New Roman" w:hAnsi="Times New Roman" w:cs="Times New Roman"/>
        </w:rPr>
        <w:t xml:space="preserve"> </w:t>
      </w:r>
    </w:p>
    <w:p w14:paraId="22C53117" w14:textId="69B1254A" w:rsidR="00D85224" w:rsidRPr="005334C8" w:rsidRDefault="00D85224" w:rsidP="00924293">
      <w:pPr>
        <w:shd w:val="clear" w:color="auto" w:fill="80A1B6"/>
        <w:spacing w:before="120" w:line="360" w:lineRule="auto"/>
        <w:rPr>
          <w:rFonts w:ascii="Times New Roman" w:hAnsi="Times New Roman" w:cs="Times New Roman"/>
          <w:b/>
          <w:bCs/>
          <w:color w:val="FFFFFF" w:themeColor="background1"/>
        </w:rPr>
      </w:pPr>
      <w:r w:rsidRPr="005334C8">
        <w:rPr>
          <w:rFonts w:ascii="Times New Roman" w:hAnsi="Times New Roman" w:cs="Times New Roman"/>
          <w:b/>
          <w:bCs/>
          <w:color w:val="FFFFFF" w:themeColor="background1"/>
        </w:rPr>
        <w:t xml:space="preserve">INV GAF </w:t>
      </w:r>
      <w:r w:rsidR="00012D9E" w:rsidRPr="005334C8">
        <w:rPr>
          <w:rFonts w:ascii="Times New Roman" w:hAnsi="Times New Roman" w:cs="Times New Roman"/>
          <w:b/>
          <w:bCs/>
          <w:color w:val="FFFFFF" w:themeColor="background1"/>
        </w:rPr>
        <w:t>Template</w:t>
      </w:r>
      <w:r w:rsidRPr="005334C8">
        <w:rPr>
          <w:rFonts w:ascii="Times New Roman" w:hAnsi="Times New Roman" w:cs="Times New Roman"/>
          <w:b/>
          <w:bCs/>
          <w:color w:val="FFFFFF" w:themeColor="background1"/>
        </w:rPr>
        <w:t xml:space="preserve"> </w:t>
      </w:r>
    </w:p>
    <w:tbl>
      <w:tblPr>
        <w:tblStyle w:val="GridTable1Light-Accent5"/>
        <w:tblW w:w="5000" w:type="pct"/>
        <w:tblLook w:val="04A0" w:firstRow="1" w:lastRow="0" w:firstColumn="1" w:lastColumn="0" w:noHBand="0" w:noVBand="1"/>
      </w:tblPr>
      <w:tblGrid>
        <w:gridCol w:w="1616"/>
        <w:gridCol w:w="8094"/>
      </w:tblGrid>
      <w:tr w:rsidR="004374D2" w:rsidRPr="005334C8" w14:paraId="73B02B19" w14:textId="77777777" w:rsidTr="009242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tcBorders>
              <w:top w:val="single" w:sz="4" w:space="0" w:color="80A1B6"/>
              <w:left w:val="single" w:sz="4" w:space="0" w:color="80A1B6"/>
              <w:bottom w:val="single" w:sz="12" w:space="0" w:color="80A1B6"/>
              <w:right w:val="single" w:sz="4" w:space="0" w:color="80A1B6"/>
            </w:tcBorders>
            <w:vAlign w:val="center"/>
          </w:tcPr>
          <w:p w14:paraId="352B6F85" w14:textId="77777777" w:rsidR="004374D2" w:rsidRPr="005334C8" w:rsidRDefault="004374D2" w:rsidP="00010FBD">
            <w:pPr>
              <w:spacing w:before="0"/>
              <w:jc w:val="left"/>
              <w:rPr>
                <w:rFonts w:ascii="Times New Roman" w:hAnsi="Times New Roman" w:cs="Times New Roman"/>
              </w:rPr>
            </w:pPr>
            <w:r w:rsidRPr="005334C8">
              <w:rPr>
                <w:rFonts w:ascii="Times New Roman" w:hAnsi="Times New Roman" w:cs="Times New Roman"/>
              </w:rPr>
              <w:t>Change</w:t>
            </w:r>
          </w:p>
        </w:tc>
        <w:tc>
          <w:tcPr>
            <w:tcW w:w="4168" w:type="pct"/>
            <w:tcBorders>
              <w:top w:val="single" w:sz="4" w:space="0" w:color="80A1B6"/>
              <w:left w:val="single" w:sz="4" w:space="0" w:color="80A1B6"/>
              <w:bottom w:val="single" w:sz="12" w:space="0" w:color="80A1B6"/>
              <w:right w:val="single" w:sz="4" w:space="0" w:color="80A1B6"/>
            </w:tcBorders>
            <w:vAlign w:val="center"/>
          </w:tcPr>
          <w:p w14:paraId="5E621443" w14:textId="77777777" w:rsidR="004374D2" w:rsidRPr="005334C8" w:rsidRDefault="004374D2" w:rsidP="00010FBD">
            <w:pPr>
              <w:spacing w:before="0" w:after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334C8">
              <w:rPr>
                <w:rFonts w:ascii="Times New Roman" w:hAnsi="Times New Roman" w:cs="Times New Roman"/>
              </w:rPr>
              <w:t>Description</w:t>
            </w:r>
          </w:p>
        </w:tc>
      </w:tr>
      <w:tr w:rsidR="001872B8" w:rsidRPr="005334C8" w14:paraId="5CCE1BFC" w14:textId="77777777" w:rsidTr="0011155F">
        <w:trPr>
          <w:trHeight w:val="1040"/>
        </w:trPr>
        <w:tc>
          <w:tcPr>
            <w:tcW w:w="832" w:type="pct"/>
            <w:tcBorders>
              <w:left w:val="single" w:sz="4" w:space="0" w:color="80A1B6"/>
              <w:right w:val="single" w:sz="4" w:space="0" w:color="80A1B6"/>
            </w:tcBorders>
          </w:tcPr>
          <w:p w14:paraId="459C5292" w14:textId="2F7915BC" w:rsidR="001872B8" w:rsidRDefault="001872B8" w:rsidP="00E02BBE">
            <w:pPr>
              <w:spacing w:before="0"/>
              <w:jc w:val="left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Key changes</w:t>
            </w:r>
          </w:p>
        </w:tc>
        <w:tc>
          <w:tcPr>
            <w:tcW w:w="4168" w:type="pct"/>
            <w:tcBorders>
              <w:left w:val="single" w:sz="4" w:space="0" w:color="80A1B6"/>
              <w:right w:val="single" w:sz="4" w:space="0" w:color="80A1B6"/>
            </w:tcBorders>
          </w:tcPr>
          <w:p w14:paraId="52E921EE" w14:textId="77777777" w:rsidR="001872B8" w:rsidRDefault="001872B8" w:rsidP="00E02BBE">
            <w:pPr>
              <w:spacing w:before="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following new sections </w:t>
            </w:r>
            <w:proofErr w:type="gramStart"/>
            <w:r>
              <w:rPr>
                <w:rFonts w:ascii="Times New Roman" w:hAnsi="Times New Roman" w:cs="Times New Roman"/>
              </w:rPr>
              <w:t>were introduced</w:t>
            </w:r>
            <w:proofErr w:type="gramEnd"/>
            <w:r>
              <w:rPr>
                <w:rFonts w:ascii="Times New Roman" w:hAnsi="Times New Roman" w:cs="Times New Roman"/>
              </w:rPr>
              <w:t xml:space="preserve"> in the template:</w:t>
            </w:r>
          </w:p>
          <w:p w14:paraId="2938572C" w14:textId="64AE1BE5" w:rsidR="001872B8" w:rsidRDefault="001872B8" w:rsidP="001872B8">
            <w:pPr>
              <w:pStyle w:val="ListParagraph"/>
              <w:numPr>
                <w:ilvl w:val="0"/>
                <w:numId w:val="21"/>
              </w:numPr>
              <w:spacing w:before="0" w:after="60"/>
              <w:rPr>
                <w:rFonts w:ascii="Times New Roman" w:hAnsi="Times New Roman" w:cs="Times New Roman"/>
              </w:rPr>
            </w:pPr>
            <w:r w:rsidRPr="00DF66A8">
              <w:rPr>
                <w:rFonts w:ascii="Times New Roman" w:hAnsi="Times New Roman" w:cs="Times New Roman"/>
                <w:i/>
                <w:iCs/>
              </w:rPr>
              <w:t>Section 4: Flagship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671086C" w14:textId="611F102A" w:rsidR="0026498D" w:rsidRPr="0026498D" w:rsidRDefault="0026498D" w:rsidP="001872B8">
            <w:pPr>
              <w:pStyle w:val="ListParagraph"/>
              <w:numPr>
                <w:ilvl w:val="0"/>
                <w:numId w:val="21"/>
              </w:numPr>
              <w:spacing w:before="0" w:after="60"/>
              <w:rPr>
                <w:rFonts w:ascii="Times New Roman" w:hAnsi="Times New Roman" w:cs="Times New Roman"/>
                <w:i/>
                <w:iCs/>
              </w:rPr>
            </w:pPr>
            <w:bookmarkStart w:id="0" w:name="_GoBack"/>
            <w:r w:rsidRPr="0026498D">
              <w:rPr>
                <w:rFonts w:ascii="Times New Roman" w:hAnsi="Times New Roman" w:cs="Times New Roman"/>
                <w:i/>
                <w:iCs/>
              </w:rPr>
              <w:t>Section 9: Project code;</w:t>
            </w:r>
          </w:p>
          <w:bookmarkEnd w:id="0"/>
          <w:p w14:paraId="56214DD6" w14:textId="2B014A1F" w:rsidR="004F529A" w:rsidRPr="00DF66A8" w:rsidRDefault="004F529A" w:rsidP="004F529A">
            <w:pPr>
              <w:pStyle w:val="ListParagraph"/>
              <w:numPr>
                <w:ilvl w:val="0"/>
                <w:numId w:val="21"/>
              </w:numPr>
              <w:spacing w:before="0" w:after="60"/>
              <w:rPr>
                <w:rFonts w:ascii="Times New Roman" w:hAnsi="Times New Roman" w:cs="Times New Roman"/>
                <w:i/>
                <w:iCs/>
              </w:rPr>
            </w:pPr>
            <w:r w:rsidRPr="00DF66A8">
              <w:rPr>
                <w:rFonts w:ascii="Times New Roman" w:hAnsi="Times New Roman" w:cs="Times New Roman"/>
                <w:i/>
                <w:iCs/>
              </w:rPr>
              <w:t xml:space="preserve">Section 16: Description of the Project and Action </w:t>
            </w:r>
          </w:p>
          <w:p w14:paraId="5E312A86" w14:textId="5419E7C3" w:rsidR="001872B8" w:rsidRDefault="004F529A" w:rsidP="004F529A">
            <w:pPr>
              <w:pStyle w:val="ListParagraph"/>
              <w:numPr>
                <w:ilvl w:val="0"/>
                <w:numId w:val="23"/>
              </w:numPr>
              <w:spacing w:before="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Sections 15 (Short description of the Project), 16 (Main objectives of the Project), 17 (Context of the Project) were reorganised as subsections;</w:t>
            </w:r>
          </w:p>
          <w:p w14:paraId="3887CDAC" w14:textId="43D477FF" w:rsidR="004F529A" w:rsidRDefault="004F529A" w:rsidP="004F529A">
            <w:pPr>
              <w:pStyle w:val="ListParagraph"/>
              <w:numPr>
                <w:ilvl w:val="0"/>
                <w:numId w:val="23"/>
              </w:numPr>
              <w:spacing w:before="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New subsections: 16.2 </w:t>
            </w:r>
            <w:r w:rsidRPr="004F529A">
              <w:rPr>
                <w:rFonts w:ascii="Times New Roman" w:hAnsi="Times New Roman" w:cs="Times New Roman"/>
              </w:rPr>
              <w:t>Needs/demand analysis (current and forecast)</w:t>
            </w:r>
            <w:r>
              <w:rPr>
                <w:rFonts w:ascii="Times New Roman" w:hAnsi="Times New Roman" w:cs="Times New Roman"/>
              </w:rPr>
              <w:t>, 16.6 Description of the Action</w:t>
            </w:r>
            <w:r w:rsidR="0099729F">
              <w:rPr>
                <w:rFonts w:ascii="Times New Roman" w:hAnsi="Times New Roman" w:cs="Times New Roman"/>
              </w:rPr>
              <w:t>;</w:t>
            </w:r>
          </w:p>
          <w:p w14:paraId="63122FBD" w14:textId="384A0DF8" w:rsidR="00DF66A8" w:rsidRDefault="00DF66A8" w:rsidP="00DF66A8">
            <w:pPr>
              <w:pStyle w:val="ListParagraph"/>
              <w:numPr>
                <w:ilvl w:val="0"/>
                <w:numId w:val="24"/>
              </w:numPr>
              <w:spacing w:before="0" w:after="60"/>
              <w:rPr>
                <w:rFonts w:ascii="Times New Roman" w:hAnsi="Times New Roman" w:cs="Times New Roman"/>
              </w:rPr>
            </w:pPr>
            <w:r w:rsidRPr="00DF66A8">
              <w:rPr>
                <w:rFonts w:ascii="Times New Roman" w:hAnsi="Times New Roman" w:cs="Times New Roman"/>
                <w:i/>
                <w:iCs/>
              </w:rPr>
              <w:t>Section 17: Indicative project status and planning</w:t>
            </w:r>
            <w:r>
              <w:rPr>
                <w:rFonts w:ascii="Times New Roman" w:hAnsi="Times New Roman" w:cs="Times New Roman"/>
              </w:rPr>
              <w:t xml:space="preserve"> replaces section 12 (Project stage) and Annex 2 (</w:t>
            </w:r>
            <w:r w:rsidRPr="00DF66A8">
              <w:rPr>
                <w:rFonts w:ascii="Times New Roman" w:hAnsi="Times New Roman" w:cs="Times New Roman"/>
              </w:rPr>
              <w:t>Stages under the implementation phase</w:t>
            </w:r>
            <w:r>
              <w:rPr>
                <w:rFonts w:ascii="Times New Roman" w:hAnsi="Times New Roman" w:cs="Times New Roman"/>
              </w:rPr>
              <w:t>)</w:t>
            </w:r>
            <w:r w:rsidR="0099729F">
              <w:rPr>
                <w:rFonts w:ascii="Times New Roman" w:hAnsi="Times New Roman" w:cs="Times New Roman"/>
              </w:rPr>
              <w:t>;</w:t>
            </w:r>
          </w:p>
          <w:p w14:paraId="53166A93" w14:textId="6932A6B9" w:rsidR="00510B93" w:rsidRPr="00510B93" w:rsidRDefault="00DF66A8" w:rsidP="00510B93">
            <w:pPr>
              <w:pStyle w:val="ListParagraph"/>
              <w:numPr>
                <w:ilvl w:val="0"/>
                <w:numId w:val="24"/>
              </w:numPr>
              <w:spacing w:before="0" w:after="60"/>
              <w:rPr>
                <w:rFonts w:ascii="Times New Roman" w:hAnsi="Times New Roman" w:cs="Times New Roman"/>
              </w:rPr>
            </w:pPr>
            <w:r w:rsidRPr="00DF66A8">
              <w:rPr>
                <w:rFonts w:ascii="Times New Roman" w:hAnsi="Times New Roman" w:cs="Times New Roman"/>
                <w:i/>
                <w:iCs/>
              </w:rPr>
              <w:t>Section 31: Indicative calendar of the Action</w:t>
            </w:r>
            <w:r>
              <w:rPr>
                <w:rFonts w:ascii="Times New Roman" w:hAnsi="Times New Roman" w:cs="Times New Roman"/>
              </w:rPr>
              <w:t xml:space="preserve"> replaces sections 32 (</w:t>
            </w:r>
            <w:r w:rsidRPr="00DF66A8">
              <w:rPr>
                <w:rFonts w:ascii="Times New Roman" w:hAnsi="Times New Roman" w:cs="Times New Roman"/>
              </w:rPr>
              <w:t xml:space="preserve">Indicative </w:t>
            </w:r>
            <w:r>
              <w:rPr>
                <w:rFonts w:ascii="Times New Roman" w:hAnsi="Times New Roman" w:cs="Times New Roman"/>
              </w:rPr>
              <w:t>p</w:t>
            </w:r>
            <w:r w:rsidRPr="00DF66A8">
              <w:rPr>
                <w:rFonts w:ascii="Times New Roman" w:hAnsi="Times New Roman" w:cs="Times New Roman"/>
              </w:rPr>
              <w:t xml:space="preserve">roject </w:t>
            </w:r>
            <w:r>
              <w:rPr>
                <w:rFonts w:ascii="Times New Roman" w:hAnsi="Times New Roman" w:cs="Times New Roman"/>
              </w:rPr>
              <w:t>c</w:t>
            </w:r>
            <w:r w:rsidRPr="00DF66A8">
              <w:rPr>
                <w:rFonts w:ascii="Times New Roman" w:hAnsi="Times New Roman" w:cs="Times New Roman"/>
              </w:rPr>
              <w:t>alenda</w:t>
            </w:r>
            <w:r>
              <w:rPr>
                <w:rFonts w:ascii="Times New Roman" w:hAnsi="Times New Roman" w:cs="Times New Roman"/>
              </w:rPr>
              <w:t>r) and 33 (</w:t>
            </w:r>
            <w:r w:rsidRPr="00DF66A8">
              <w:rPr>
                <w:rFonts w:ascii="Times New Roman" w:hAnsi="Times New Roman" w:cs="Times New Roman"/>
              </w:rPr>
              <w:t>Description of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66A8">
              <w:rPr>
                <w:rFonts w:ascii="Times New Roman" w:hAnsi="Times New Roman" w:cs="Times New Roman"/>
              </w:rPr>
              <w:t>procurement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66A8">
              <w:rPr>
                <w:rFonts w:ascii="Times New Roman" w:hAnsi="Times New Roman" w:cs="Times New Roman"/>
              </w:rPr>
              <w:t>procedure</w:t>
            </w:r>
            <w:r>
              <w:rPr>
                <w:rFonts w:ascii="Times New Roman" w:hAnsi="Times New Roman" w:cs="Times New Roman"/>
              </w:rPr>
              <w:t xml:space="preserve"> and procurement calendar)</w:t>
            </w:r>
            <w:r w:rsidR="00510B93">
              <w:rPr>
                <w:rFonts w:ascii="Times New Roman" w:hAnsi="Times New Roman" w:cs="Times New Roman"/>
              </w:rPr>
              <w:t>.</w:t>
            </w:r>
          </w:p>
          <w:p w14:paraId="6BD83FAD" w14:textId="116E6E56" w:rsidR="00507403" w:rsidRDefault="00507403" w:rsidP="00507403">
            <w:pPr>
              <w:spacing w:before="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Other main changes:</w:t>
            </w:r>
          </w:p>
          <w:p w14:paraId="2BF38555" w14:textId="16C4881A" w:rsidR="00925DD5" w:rsidRPr="00925DD5" w:rsidRDefault="00925DD5" w:rsidP="00925DD5">
            <w:pPr>
              <w:pStyle w:val="ListParagraph"/>
              <w:numPr>
                <w:ilvl w:val="0"/>
                <w:numId w:val="24"/>
              </w:numPr>
              <w:spacing w:before="0"/>
              <w:rPr>
                <w:rFonts w:ascii="Times New Roman" w:hAnsi="Times New Roman" w:cs="Times New Roman"/>
              </w:rPr>
            </w:pPr>
            <w:r w:rsidRPr="00925DD5">
              <w:rPr>
                <w:rFonts w:ascii="Times New Roman" w:hAnsi="Times New Roman" w:cs="Times New Roman"/>
                <w:i/>
                <w:iCs/>
              </w:rPr>
              <w:t>Section 5: Sectors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25DD5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eligible sectors </w:t>
            </w:r>
            <w:proofErr w:type="gramStart"/>
            <w:r>
              <w:rPr>
                <w:rFonts w:ascii="Times New Roman" w:hAnsi="Times New Roman" w:cs="Times New Roman"/>
              </w:rPr>
              <w:t>were amended</w:t>
            </w:r>
            <w:proofErr w:type="gramEnd"/>
            <w:r>
              <w:rPr>
                <w:rFonts w:ascii="Times New Roman" w:hAnsi="Times New Roman" w:cs="Times New Roman"/>
              </w:rPr>
              <w:t xml:space="preserve"> to those included in “</w:t>
            </w:r>
            <w:r w:rsidRPr="00925DD5">
              <w:rPr>
                <w:rFonts w:ascii="Times New Roman" w:hAnsi="Times New Roman" w:cs="Times New Roman"/>
              </w:rPr>
              <w:t>Doc 6 - Public blending - EU eligibility criteria aligned with the Economic and Investment Plan for the Western Balkans”</w:t>
            </w:r>
          </w:p>
          <w:p w14:paraId="21B672B8" w14:textId="54B7D858" w:rsidR="00507403" w:rsidRDefault="00507403" w:rsidP="00507403">
            <w:pPr>
              <w:pStyle w:val="ListParagraph"/>
              <w:numPr>
                <w:ilvl w:val="0"/>
                <w:numId w:val="24"/>
              </w:numPr>
              <w:spacing w:before="0"/>
              <w:ind w:left="714" w:hanging="357"/>
              <w:rPr>
                <w:rFonts w:ascii="Times New Roman" w:hAnsi="Times New Roman" w:cs="Times New Roman"/>
              </w:rPr>
            </w:pPr>
            <w:r w:rsidRPr="00351D3A">
              <w:rPr>
                <w:rFonts w:ascii="Times New Roman" w:hAnsi="Times New Roman" w:cs="Times New Roman"/>
                <w:i/>
                <w:iCs/>
              </w:rPr>
              <w:t>Section 23: Calculation of the WBIF investment grant</w:t>
            </w:r>
            <w:r w:rsidRPr="00351D3A">
              <w:rPr>
                <w:rFonts w:ascii="Times New Roman" w:hAnsi="Times New Roman" w:cs="Times New Roman"/>
              </w:rPr>
              <w:t xml:space="preserve"> – “Special evaluation/audit” </w:t>
            </w:r>
            <w:proofErr w:type="gramStart"/>
            <w:r w:rsidRPr="00351D3A">
              <w:rPr>
                <w:rFonts w:ascii="Times New Roman" w:hAnsi="Times New Roman" w:cs="Times New Roman"/>
              </w:rPr>
              <w:t>was removed</w:t>
            </w:r>
            <w:proofErr w:type="gramEnd"/>
            <w:r w:rsidRPr="00351D3A">
              <w:rPr>
                <w:rFonts w:ascii="Times New Roman" w:hAnsi="Times New Roman" w:cs="Times New Roman"/>
              </w:rPr>
              <w:t xml:space="preserve"> from the costs eligible for WBIF grant;</w:t>
            </w:r>
          </w:p>
          <w:p w14:paraId="191885B4" w14:textId="12CB9897" w:rsidR="00507403" w:rsidRPr="00507403" w:rsidRDefault="00507403" w:rsidP="00507403">
            <w:pPr>
              <w:pStyle w:val="ListParagraph"/>
              <w:numPr>
                <w:ilvl w:val="0"/>
                <w:numId w:val="24"/>
              </w:numPr>
              <w:spacing w:before="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“The </w:t>
            </w:r>
            <w:r w:rsidRPr="0099729F">
              <w:rPr>
                <w:rFonts w:ascii="Times New Roman" w:hAnsi="Times New Roman" w:cs="Times New Roman"/>
              </w:rPr>
              <w:t>final date for contracting</w:t>
            </w:r>
            <w:r>
              <w:rPr>
                <w:rFonts w:ascii="Times New Roman" w:hAnsi="Times New Roman" w:cs="Times New Roman"/>
              </w:rPr>
              <w:t>” and the “</w:t>
            </w:r>
            <w:r w:rsidRPr="0099729F">
              <w:rPr>
                <w:rFonts w:ascii="Times New Roman" w:hAnsi="Times New Roman" w:cs="Times New Roman"/>
              </w:rPr>
              <w:t>Final date of operational implementation of the Action [as per COM annual Financing decision]”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were introduced under </w:t>
            </w:r>
            <w:r w:rsidRPr="0099729F">
              <w:rPr>
                <w:rFonts w:ascii="Times New Roman" w:hAnsi="Times New Roman" w:cs="Times New Roman"/>
                <w:i/>
                <w:iCs/>
              </w:rPr>
              <w:t>Payment of the grant from the Joint Fund</w:t>
            </w:r>
            <w:r w:rsidR="00645A9C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="00645A9C" w:rsidRPr="00645A9C">
              <w:rPr>
                <w:rFonts w:ascii="Times New Roman" w:hAnsi="Times New Roman" w:cs="Times New Roman"/>
              </w:rPr>
              <w:t xml:space="preserve">as these deadlines are not available of </w:t>
            </w:r>
            <w:r w:rsidR="008F5067">
              <w:rPr>
                <w:rFonts w:ascii="Times New Roman" w:hAnsi="Times New Roman" w:cs="Times New Roman"/>
              </w:rPr>
              <w:t xml:space="preserve">at the </w:t>
            </w:r>
            <w:r w:rsidR="00645A9C" w:rsidRPr="00645A9C">
              <w:rPr>
                <w:rFonts w:ascii="Times New Roman" w:hAnsi="Times New Roman" w:cs="Times New Roman"/>
              </w:rPr>
              <w:t xml:space="preserve">submission </w:t>
            </w:r>
            <w:r w:rsidR="008F5067">
              <w:rPr>
                <w:rFonts w:ascii="Times New Roman" w:hAnsi="Times New Roman" w:cs="Times New Roman"/>
              </w:rPr>
              <w:t>and screening of applications</w:t>
            </w:r>
            <w:r w:rsidR="00645A9C" w:rsidRPr="00645A9C">
              <w:rPr>
                <w:rFonts w:ascii="Times New Roman" w:hAnsi="Times New Roman" w:cs="Times New Roman"/>
              </w:rPr>
              <w:t>.</w:t>
            </w:r>
            <w:r w:rsidR="00645A9C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</w:tr>
      <w:tr w:rsidR="00C00B15" w:rsidRPr="005334C8" w14:paraId="2DA2A14A" w14:textId="77777777" w:rsidTr="0011155F">
        <w:trPr>
          <w:trHeight w:val="10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tcBorders>
              <w:left w:val="single" w:sz="4" w:space="0" w:color="80A1B6"/>
              <w:right w:val="single" w:sz="4" w:space="0" w:color="80A1B6"/>
            </w:tcBorders>
          </w:tcPr>
          <w:p w14:paraId="52CC2ECD" w14:textId="72FA9EAB" w:rsidR="00C00B15" w:rsidRPr="005334C8" w:rsidRDefault="00CC1F48" w:rsidP="00E02BBE">
            <w:pPr>
              <w:spacing w:befor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New section headings</w:t>
            </w:r>
          </w:p>
        </w:tc>
        <w:tc>
          <w:tcPr>
            <w:tcW w:w="4168" w:type="pct"/>
            <w:tcBorders>
              <w:left w:val="single" w:sz="4" w:space="0" w:color="80A1B6"/>
              <w:right w:val="single" w:sz="4" w:space="0" w:color="80A1B6"/>
            </w:tcBorders>
          </w:tcPr>
          <w:p w14:paraId="31D599EF" w14:textId="77777777" w:rsidR="001872B8" w:rsidRDefault="00C00B15" w:rsidP="00E02BBE">
            <w:pPr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334C8">
              <w:rPr>
                <w:rFonts w:ascii="Times New Roman" w:hAnsi="Times New Roman" w:cs="Times New Roman"/>
              </w:rPr>
              <w:t xml:space="preserve">The </w:t>
            </w:r>
            <w:r w:rsidR="00CC1F48">
              <w:rPr>
                <w:rFonts w:ascii="Times New Roman" w:hAnsi="Times New Roman" w:cs="Times New Roman"/>
              </w:rPr>
              <w:t xml:space="preserve">headings of the following </w:t>
            </w:r>
            <w:r w:rsidRPr="005334C8">
              <w:rPr>
                <w:rFonts w:ascii="Times New Roman" w:hAnsi="Times New Roman" w:cs="Times New Roman"/>
              </w:rPr>
              <w:t xml:space="preserve">sections </w:t>
            </w:r>
            <w:proofErr w:type="gramStart"/>
            <w:r w:rsidR="00CC1F48">
              <w:rPr>
                <w:rFonts w:ascii="Times New Roman" w:hAnsi="Times New Roman" w:cs="Times New Roman"/>
              </w:rPr>
              <w:t>were slightly</w:t>
            </w:r>
            <w:r w:rsidRPr="005334C8">
              <w:rPr>
                <w:rFonts w:ascii="Times New Roman" w:hAnsi="Times New Roman" w:cs="Times New Roman"/>
              </w:rPr>
              <w:t xml:space="preserve"> changed</w:t>
            </w:r>
            <w:proofErr w:type="gramEnd"/>
            <w:r w:rsidRPr="005334C8">
              <w:rPr>
                <w:rFonts w:ascii="Times New Roman" w:hAnsi="Times New Roman" w:cs="Times New Roman"/>
              </w:rPr>
              <w:t>, as follows:</w:t>
            </w:r>
          </w:p>
          <w:p w14:paraId="1C679A91" w14:textId="6A061841" w:rsidR="00C00B15" w:rsidRDefault="001872B8" w:rsidP="001872B8">
            <w:pPr>
              <w:pStyle w:val="ListParagraph"/>
              <w:numPr>
                <w:ilvl w:val="0"/>
                <w:numId w:val="22"/>
              </w:numPr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9729F">
              <w:rPr>
                <w:rFonts w:ascii="Times New Roman" w:hAnsi="Times New Roman" w:cs="Times New Roman"/>
                <w:i/>
                <w:iCs/>
              </w:rPr>
              <w:t>Section 2</w:t>
            </w:r>
            <w:r w:rsidR="0099729F" w:rsidRPr="0099729F">
              <w:rPr>
                <w:rFonts w:ascii="Times New Roman" w:hAnsi="Times New Roman" w:cs="Times New Roman"/>
                <w:i/>
                <w:iCs/>
              </w:rPr>
              <w:t>:</w:t>
            </w:r>
            <w:r w:rsidRPr="0099729F">
              <w:rPr>
                <w:rFonts w:ascii="Times New Roman" w:hAnsi="Times New Roman" w:cs="Times New Roman"/>
                <w:i/>
                <w:iCs/>
              </w:rPr>
              <w:t xml:space="preserve"> Grant code</w:t>
            </w:r>
            <w:r>
              <w:rPr>
                <w:rFonts w:ascii="Times New Roman" w:hAnsi="Times New Roman" w:cs="Times New Roman"/>
              </w:rPr>
              <w:t xml:space="preserve"> instead of “</w:t>
            </w:r>
            <w:r w:rsidR="00C00B15" w:rsidRPr="001872B8">
              <w:rPr>
                <w:rFonts w:ascii="Times New Roman" w:hAnsi="Times New Roman" w:cs="Times New Roman"/>
              </w:rPr>
              <w:t>Grant number/code”</w:t>
            </w:r>
            <w:r w:rsidR="00B02580" w:rsidRPr="001872B8">
              <w:rPr>
                <w:rFonts w:ascii="Times New Roman" w:hAnsi="Times New Roman" w:cs="Times New Roman"/>
              </w:rPr>
              <w:t>;</w:t>
            </w:r>
          </w:p>
          <w:p w14:paraId="68533571" w14:textId="77F5307E" w:rsidR="00C00B15" w:rsidRDefault="004F529A" w:rsidP="004F529A">
            <w:pPr>
              <w:pStyle w:val="ListParagraph"/>
              <w:numPr>
                <w:ilvl w:val="0"/>
                <w:numId w:val="22"/>
              </w:numPr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9729F">
              <w:rPr>
                <w:rFonts w:ascii="Times New Roman" w:hAnsi="Times New Roman" w:cs="Times New Roman"/>
                <w:i/>
                <w:iCs/>
              </w:rPr>
              <w:t>Section 3: WBIF approval date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00B15" w:rsidRPr="004F529A">
              <w:rPr>
                <w:rFonts w:ascii="Times New Roman" w:hAnsi="Times New Roman" w:cs="Times New Roman"/>
              </w:rPr>
              <w:t xml:space="preserve">instead of “Date of Steering Committee”; </w:t>
            </w:r>
          </w:p>
          <w:p w14:paraId="5B4EF660" w14:textId="09DBC38A" w:rsidR="0099729F" w:rsidRDefault="0099729F" w:rsidP="004F529A">
            <w:pPr>
              <w:pStyle w:val="ListParagraph"/>
              <w:numPr>
                <w:ilvl w:val="0"/>
                <w:numId w:val="22"/>
              </w:numPr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9729F">
              <w:rPr>
                <w:rFonts w:ascii="Times New Roman" w:hAnsi="Times New Roman" w:cs="Times New Roman"/>
                <w:i/>
                <w:iCs/>
              </w:rPr>
              <w:t>Section 13: Total WBIF grant amount</w:t>
            </w:r>
            <w:r>
              <w:rPr>
                <w:rFonts w:ascii="Times New Roman" w:hAnsi="Times New Roman" w:cs="Times New Roman"/>
              </w:rPr>
              <w:t xml:space="preserve"> instead of “</w:t>
            </w:r>
            <w:r w:rsidRPr="0099729F">
              <w:rPr>
                <w:rFonts w:ascii="Times New Roman" w:hAnsi="Times New Roman" w:cs="Times New Roman"/>
              </w:rPr>
              <w:t>Grant amount requested</w:t>
            </w:r>
            <w:r>
              <w:rPr>
                <w:rFonts w:ascii="Times New Roman" w:hAnsi="Times New Roman" w:cs="Times New Roman"/>
              </w:rPr>
              <w:t>”</w:t>
            </w:r>
            <w:r w:rsidR="00BD1FCC">
              <w:rPr>
                <w:rFonts w:ascii="Times New Roman" w:hAnsi="Times New Roman" w:cs="Times New Roman"/>
              </w:rPr>
              <w:t>;</w:t>
            </w:r>
          </w:p>
          <w:p w14:paraId="5B4E5D36" w14:textId="77777777" w:rsidR="00E05E83" w:rsidRDefault="00D54727" w:rsidP="00D54727">
            <w:pPr>
              <w:pStyle w:val="ListParagraph"/>
              <w:numPr>
                <w:ilvl w:val="0"/>
                <w:numId w:val="22"/>
              </w:numPr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Section 18</w:t>
            </w:r>
            <w:r w:rsidR="00925DD5">
              <w:rPr>
                <w:rFonts w:ascii="Times New Roman" w:hAnsi="Times New Roman" w:cs="Times New Roman"/>
                <w:i/>
                <w:iCs/>
              </w:rPr>
              <w:t>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54727">
              <w:rPr>
                <w:rFonts w:ascii="Times New Roman" w:hAnsi="Times New Roman" w:cs="Times New Roman"/>
                <w:i/>
                <w:iCs/>
              </w:rPr>
              <w:t>Coherence with the WBIF objectives, EU policies, adopted national/sectoral strategies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54727">
              <w:rPr>
                <w:rFonts w:ascii="Times New Roman" w:hAnsi="Times New Roman" w:cs="Times New Roman"/>
              </w:rPr>
              <w:t xml:space="preserve">instead of “Coherence with the WBIF objectives and EU </w:t>
            </w:r>
            <w:r>
              <w:rPr>
                <w:rFonts w:ascii="Times New Roman" w:hAnsi="Times New Roman" w:cs="Times New Roman"/>
              </w:rPr>
              <w:t>p</w:t>
            </w:r>
            <w:r w:rsidRPr="00D54727">
              <w:rPr>
                <w:rFonts w:ascii="Times New Roman" w:hAnsi="Times New Roman" w:cs="Times New Roman"/>
              </w:rPr>
              <w:t>olicies</w:t>
            </w:r>
            <w:r>
              <w:rPr>
                <w:rFonts w:ascii="Times New Roman" w:hAnsi="Times New Roman" w:cs="Times New Roman"/>
              </w:rPr>
              <w:t>”</w:t>
            </w:r>
            <w:r w:rsidR="00BD1FCC">
              <w:rPr>
                <w:rFonts w:ascii="Times New Roman" w:hAnsi="Times New Roman" w:cs="Times New Roman"/>
              </w:rPr>
              <w:t>;</w:t>
            </w:r>
          </w:p>
          <w:p w14:paraId="21A7638B" w14:textId="466232BA" w:rsidR="00510B93" w:rsidRPr="00510B93" w:rsidRDefault="00510B93" w:rsidP="00510B93">
            <w:pPr>
              <w:pStyle w:val="ListParagraph"/>
              <w:numPr>
                <w:ilvl w:val="0"/>
                <w:numId w:val="22"/>
              </w:numPr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Section “</w:t>
            </w:r>
            <w:r w:rsidRPr="00510B93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pproval by the WBIF Steering Committee and by the EWBJF Assembly of Contributors” was changed to “Approval by the </w:t>
            </w:r>
            <w:r w:rsidRPr="00510B93">
              <w:rPr>
                <w:rFonts w:ascii="Times New Roman" w:hAnsi="Times New Roman" w:cs="Times New Roman"/>
              </w:rPr>
              <w:t>WBIF O</w:t>
            </w:r>
            <w:r>
              <w:rPr>
                <w:rFonts w:ascii="Times New Roman" w:hAnsi="Times New Roman" w:cs="Times New Roman"/>
              </w:rPr>
              <w:t xml:space="preserve">perational Board and by the Assembly of Contributors”. The signatories </w:t>
            </w:r>
            <w:proofErr w:type="gramStart"/>
            <w:r>
              <w:rPr>
                <w:rFonts w:ascii="Times New Roman" w:hAnsi="Times New Roman" w:cs="Times New Roman"/>
              </w:rPr>
              <w:t>were replaced</w:t>
            </w:r>
            <w:proofErr w:type="gramEnd"/>
            <w:r>
              <w:rPr>
                <w:rFonts w:ascii="Times New Roman" w:hAnsi="Times New Roman" w:cs="Times New Roman"/>
              </w:rPr>
              <w:t xml:space="preserve"> with “</w:t>
            </w:r>
            <w:r w:rsidRPr="00510B93">
              <w:rPr>
                <w:rFonts w:ascii="Times New Roman" w:hAnsi="Times New Roman" w:cs="Times New Roman"/>
              </w:rPr>
              <w:t>Signature of the Chair of the Operational Board and Assembly of Contributors - the European Commission</w:t>
            </w:r>
            <w:r>
              <w:rPr>
                <w:rFonts w:ascii="Times New Roman" w:hAnsi="Times New Roman" w:cs="Times New Roman"/>
              </w:rPr>
              <w:t>”</w:t>
            </w:r>
          </w:p>
        </w:tc>
      </w:tr>
      <w:tr w:rsidR="00BD1FCC" w:rsidRPr="005334C8" w14:paraId="5E84C201" w14:textId="77777777" w:rsidTr="00925DD5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tcBorders>
              <w:left w:val="single" w:sz="4" w:space="0" w:color="80A1B6"/>
              <w:right w:val="single" w:sz="4" w:space="0" w:color="80A1B6"/>
            </w:tcBorders>
          </w:tcPr>
          <w:p w14:paraId="416D7138" w14:textId="77777777" w:rsidR="00BD1FCC" w:rsidRDefault="00BD1FCC" w:rsidP="00E02BBE">
            <w:pPr>
              <w:spacing w:before="0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</w:rPr>
              <w:t>Improved/</w:t>
            </w:r>
          </w:p>
          <w:p w14:paraId="0263D63A" w14:textId="562BE52E" w:rsidR="00BD1FCC" w:rsidRDefault="00BD1FCC" w:rsidP="00E02BBE">
            <w:pPr>
              <w:spacing w:befor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restructured sections</w:t>
            </w:r>
          </w:p>
        </w:tc>
        <w:tc>
          <w:tcPr>
            <w:tcW w:w="4168" w:type="pct"/>
            <w:tcBorders>
              <w:left w:val="single" w:sz="4" w:space="0" w:color="80A1B6"/>
              <w:right w:val="single" w:sz="4" w:space="0" w:color="80A1B6"/>
            </w:tcBorders>
          </w:tcPr>
          <w:p w14:paraId="554B9B28" w14:textId="77777777" w:rsidR="00BD1FCC" w:rsidRPr="00BD1FCC" w:rsidRDefault="00BD1FCC" w:rsidP="00BD1FCC">
            <w:pPr>
              <w:pStyle w:val="ListParagraph"/>
              <w:numPr>
                <w:ilvl w:val="0"/>
                <w:numId w:val="25"/>
              </w:numPr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D1FCC">
              <w:rPr>
                <w:rFonts w:ascii="Times New Roman" w:hAnsi="Times New Roman" w:cs="Times New Roman"/>
                <w:i/>
                <w:iCs/>
              </w:rPr>
              <w:lastRenderedPageBreak/>
              <w:t>Section 21: Project budget and financing plan</w:t>
            </w:r>
            <w:r>
              <w:rPr>
                <w:rFonts w:ascii="Times New Roman" w:hAnsi="Times New Roman" w:cs="Times New Roman"/>
                <w:i/>
                <w:iCs/>
              </w:rPr>
              <w:t>:</w:t>
            </w:r>
          </w:p>
          <w:p w14:paraId="6798DD90" w14:textId="0D9B70CE" w:rsidR="00BD1FCC" w:rsidRDefault="00BD1FCC" w:rsidP="00BD1FCC">
            <w:pPr>
              <w:pStyle w:val="ListParagraph"/>
              <w:numPr>
                <w:ilvl w:val="0"/>
                <w:numId w:val="26"/>
              </w:numPr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Tender documents </w:t>
            </w:r>
            <w:proofErr w:type="gramStart"/>
            <w:r>
              <w:rPr>
                <w:rFonts w:ascii="Times New Roman" w:hAnsi="Times New Roman" w:cs="Times New Roman"/>
              </w:rPr>
              <w:t>were added</w:t>
            </w:r>
            <w:proofErr w:type="gramEnd"/>
            <w:r>
              <w:rPr>
                <w:rFonts w:ascii="Times New Roman" w:hAnsi="Times New Roman" w:cs="Times New Roman"/>
              </w:rPr>
              <w:t xml:space="preserve"> to cost component 3 “</w:t>
            </w:r>
            <w:r w:rsidRPr="00BD1FCC">
              <w:rPr>
                <w:rFonts w:ascii="Times New Roman" w:hAnsi="Times New Roman" w:cs="Times New Roman"/>
              </w:rPr>
              <w:t>Technical assistance for project preparation</w:t>
            </w:r>
            <w:r>
              <w:rPr>
                <w:rFonts w:ascii="Times New Roman" w:hAnsi="Times New Roman" w:cs="Times New Roman"/>
              </w:rPr>
              <w:t>”;</w:t>
            </w:r>
          </w:p>
          <w:p w14:paraId="18F1F18A" w14:textId="77777777" w:rsidR="00BD1FCC" w:rsidRDefault="004A454B" w:rsidP="00BD1FCC">
            <w:pPr>
              <w:pStyle w:val="ListParagraph"/>
              <w:numPr>
                <w:ilvl w:val="0"/>
                <w:numId w:val="26"/>
              </w:numPr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 new cost</w:t>
            </w:r>
            <w:proofErr w:type="gramEnd"/>
            <w:r>
              <w:rPr>
                <w:rFonts w:ascii="Times New Roman" w:hAnsi="Times New Roman" w:cs="Times New Roman"/>
              </w:rPr>
              <w:t xml:space="preserve"> component “</w:t>
            </w:r>
            <w:r w:rsidR="00BD1FCC" w:rsidRPr="00BD1FCC">
              <w:rPr>
                <w:rFonts w:ascii="Times New Roman" w:hAnsi="Times New Roman" w:cs="Times New Roman"/>
              </w:rPr>
              <w:t xml:space="preserve">Other (e.g. project design review/verification by </w:t>
            </w:r>
            <w:r>
              <w:rPr>
                <w:rFonts w:ascii="Times New Roman" w:hAnsi="Times New Roman" w:cs="Times New Roman"/>
              </w:rPr>
              <w:t>review</w:t>
            </w:r>
            <w:r w:rsidR="00BD1FCC" w:rsidRPr="00BD1FCC">
              <w:rPr>
                <w:rFonts w:ascii="Times New Roman" w:hAnsi="Times New Roman" w:cs="Times New Roman"/>
              </w:rPr>
              <w:t xml:space="preserve"> committee)</w:t>
            </w:r>
            <w:r>
              <w:rPr>
                <w:rFonts w:ascii="Times New Roman" w:hAnsi="Times New Roman" w:cs="Times New Roman"/>
              </w:rPr>
              <w:t>” was introduced in the budget;</w:t>
            </w:r>
          </w:p>
          <w:p w14:paraId="60F20CE9" w14:textId="77777777" w:rsidR="004A454B" w:rsidRDefault="004A454B" w:rsidP="004A454B">
            <w:pPr>
              <w:pStyle w:val="ListParagraph"/>
              <w:numPr>
                <w:ilvl w:val="0"/>
                <w:numId w:val="25"/>
              </w:numPr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C6125">
              <w:rPr>
                <w:rFonts w:ascii="Times New Roman" w:hAnsi="Times New Roman" w:cs="Times New Roman"/>
                <w:i/>
                <w:iCs/>
              </w:rPr>
              <w:t>Section 28: Project sustainability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was restructured</w:t>
            </w:r>
            <w:proofErr w:type="gramEnd"/>
            <w:r>
              <w:rPr>
                <w:rFonts w:ascii="Times New Roman" w:hAnsi="Times New Roman" w:cs="Times New Roman"/>
              </w:rPr>
              <w:t xml:space="preserve"> into four subsections - </w:t>
            </w:r>
            <w:r w:rsidR="008C6125">
              <w:rPr>
                <w:rFonts w:ascii="Times New Roman" w:hAnsi="Times New Roman" w:cs="Times New Roman"/>
              </w:rPr>
              <w:t>e</w:t>
            </w:r>
            <w:r w:rsidR="008C6125" w:rsidRPr="008C6125">
              <w:rPr>
                <w:rFonts w:ascii="Times New Roman" w:hAnsi="Times New Roman" w:cs="Times New Roman"/>
              </w:rPr>
              <w:t>conomic/financial viability</w:t>
            </w:r>
            <w:r w:rsidR="008C6125">
              <w:rPr>
                <w:rFonts w:ascii="Times New Roman" w:hAnsi="Times New Roman" w:cs="Times New Roman"/>
              </w:rPr>
              <w:t>, e</w:t>
            </w:r>
            <w:r w:rsidR="008C6125" w:rsidRPr="008C6125">
              <w:rPr>
                <w:rFonts w:ascii="Times New Roman" w:hAnsi="Times New Roman" w:cs="Times New Roman"/>
              </w:rPr>
              <w:t>nvironmental aspects</w:t>
            </w:r>
            <w:r w:rsidR="008C6125">
              <w:rPr>
                <w:rFonts w:ascii="Times New Roman" w:hAnsi="Times New Roman" w:cs="Times New Roman"/>
              </w:rPr>
              <w:t>, s</w:t>
            </w:r>
            <w:r w:rsidR="008C6125" w:rsidRPr="008C6125">
              <w:rPr>
                <w:rFonts w:ascii="Times New Roman" w:hAnsi="Times New Roman" w:cs="Times New Roman"/>
              </w:rPr>
              <w:t>ocial aspects</w:t>
            </w:r>
            <w:r w:rsidR="008C6125">
              <w:rPr>
                <w:rFonts w:ascii="Times New Roman" w:hAnsi="Times New Roman" w:cs="Times New Roman"/>
              </w:rPr>
              <w:t>, i</w:t>
            </w:r>
            <w:r w:rsidR="008C6125" w:rsidRPr="008C6125">
              <w:rPr>
                <w:rFonts w:ascii="Times New Roman" w:hAnsi="Times New Roman" w:cs="Times New Roman"/>
              </w:rPr>
              <w:t>nstitutional aspects</w:t>
            </w:r>
            <w:r w:rsidR="008C6125">
              <w:rPr>
                <w:rFonts w:ascii="Times New Roman" w:hAnsi="Times New Roman" w:cs="Times New Roman"/>
              </w:rPr>
              <w:t>;</w:t>
            </w:r>
          </w:p>
          <w:p w14:paraId="60B93591" w14:textId="77777777" w:rsidR="008C6125" w:rsidRPr="008C6125" w:rsidRDefault="008C6125" w:rsidP="004A454B">
            <w:pPr>
              <w:pStyle w:val="ListParagraph"/>
              <w:numPr>
                <w:ilvl w:val="0"/>
                <w:numId w:val="25"/>
              </w:numPr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8C6125">
              <w:rPr>
                <w:rFonts w:ascii="Times New Roman" w:hAnsi="Times New Roman" w:cs="Times New Roman"/>
                <w:i/>
                <w:iCs/>
              </w:rPr>
              <w:t>Section 29: Risk assessment categories</w:t>
            </w:r>
          </w:p>
          <w:p w14:paraId="55B10ABB" w14:textId="77777777" w:rsidR="008C6125" w:rsidRDefault="008C6125" w:rsidP="008C6125">
            <w:pPr>
              <w:pStyle w:val="ListParagraph"/>
              <w:numPr>
                <w:ilvl w:val="0"/>
                <w:numId w:val="27"/>
              </w:numPr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  <w:r w:rsidRPr="008C6125">
              <w:rPr>
                <w:rFonts w:ascii="Times New Roman" w:hAnsi="Times New Roman" w:cs="Times New Roman"/>
              </w:rPr>
              <w:t>Socio-economic, equality/gender, minority/vulnerable groups risks</w:t>
            </w:r>
            <w:r>
              <w:rPr>
                <w:rFonts w:ascii="Times New Roman" w:hAnsi="Times New Roman" w:cs="Times New Roman"/>
              </w:rPr>
              <w:t>” replaces “</w:t>
            </w:r>
            <w:r w:rsidRPr="008C6125">
              <w:rPr>
                <w:rFonts w:ascii="Times New Roman" w:hAnsi="Times New Roman" w:cs="Times New Roman"/>
              </w:rPr>
              <w:t>Social and gender equality</w:t>
            </w:r>
            <w:r>
              <w:rPr>
                <w:rFonts w:ascii="Times New Roman" w:hAnsi="Times New Roman" w:cs="Times New Roman"/>
              </w:rPr>
              <w:t>”;</w:t>
            </w:r>
          </w:p>
          <w:p w14:paraId="3FE36FD7" w14:textId="77777777" w:rsidR="008C6125" w:rsidRDefault="008C6125" w:rsidP="00F2438D">
            <w:pPr>
              <w:pStyle w:val="ListParagraph"/>
              <w:numPr>
                <w:ilvl w:val="0"/>
                <w:numId w:val="27"/>
              </w:numPr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new category “</w:t>
            </w:r>
            <w:r w:rsidRPr="008C6125">
              <w:rPr>
                <w:rFonts w:ascii="Times New Roman" w:hAnsi="Times New Roman" w:cs="Times New Roman"/>
              </w:rPr>
              <w:t>Operation risks</w:t>
            </w:r>
            <w:r>
              <w:rPr>
                <w:rFonts w:ascii="Times New Roman" w:hAnsi="Times New Roman" w:cs="Times New Roman"/>
              </w:rPr>
              <w:t xml:space="preserve">” </w:t>
            </w:r>
            <w:proofErr w:type="gramStart"/>
            <w:r>
              <w:rPr>
                <w:rFonts w:ascii="Times New Roman" w:hAnsi="Times New Roman" w:cs="Times New Roman"/>
              </w:rPr>
              <w:t>was introduced</w:t>
            </w:r>
            <w:proofErr w:type="gramEnd"/>
            <w:r>
              <w:rPr>
                <w:rFonts w:ascii="Times New Roman" w:hAnsi="Times New Roman" w:cs="Times New Roman"/>
              </w:rPr>
              <w:t xml:space="preserve"> in the template</w:t>
            </w:r>
            <w:r w:rsidR="00F2438D">
              <w:rPr>
                <w:rFonts w:ascii="Times New Roman" w:hAnsi="Times New Roman" w:cs="Times New Roman"/>
              </w:rPr>
              <w:t>.</w:t>
            </w:r>
          </w:p>
          <w:p w14:paraId="4B1E252B" w14:textId="166A487C" w:rsidR="000C6FBD" w:rsidRPr="000C6FBD" w:rsidRDefault="000C6FBD" w:rsidP="000C6FBD">
            <w:pPr>
              <w:pStyle w:val="ListParagraph"/>
              <w:numPr>
                <w:ilvl w:val="0"/>
                <w:numId w:val="31"/>
              </w:numPr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C6FBD">
              <w:rPr>
                <w:rFonts w:ascii="Times New Roman" w:hAnsi="Times New Roman" w:cs="Times New Roman"/>
                <w:i/>
                <w:iCs/>
              </w:rPr>
              <w:t>Section 30: Climate mitigation and adaptation aspects</w:t>
            </w:r>
            <w:r w:rsidRPr="000C6FBD">
              <w:rPr>
                <w:rFonts w:ascii="Times New Roman" w:hAnsi="Times New Roman" w:cs="Times New Roman"/>
              </w:rPr>
              <w:t xml:space="preserve"> – narrative description</w:t>
            </w:r>
            <w:r>
              <w:rPr>
                <w:rFonts w:ascii="Times New Roman" w:hAnsi="Times New Roman" w:cs="Times New Roman"/>
              </w:rPr>
              <w:t xml:space="preserve"> of climate change aspects </w:t>
            </w:r>
            <w:proofErr w:type="gramStart"/>
            <w:r>
              <w:rPr>
                <w:rFonts w:ascii="Times New Roman" w:hAnsi="Times New Roman" w:cs="Times New Roman"/>
              </w:rPr>
              <w:t>was added</w:t>
            </w:r>
            <w:proofErr w:type="gramEnd"/>
            <w:r>
              <w:rPr>
                <w:rFonts w:ascii="Times New Roman" w:hAnsi="Times New Roman" w:cs="Times New Roman"/>
              </w:rPr>
              <w:t xml:space="preserve"> to this section. </w:t>
            </w:r>
          </w:p>
        </w:tc>
      </w:tr>
      <w:tr w:rsidR="008C6125" w:rsidRPr="005334C8" w14:paraId="03AB44F2" w14:textId="77777777" w:rsidTr="008C6125">
        <w:trPr>
          <w:trHeight w:val="6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tcBorders>
              <w:left w:val="single" w:sz="4" w:space="0" w:color="80A1B6"/>
              <w:right w:val="single" w:sz="4" w:space="0" w:color="80A1B6"/>
            </w:tcBorders>
          </w:tcPr>
          <w:p w14:paraId="07BAF1EC" w14:textId="18F8A437" w:rsidR="008C6125" w:rsidRDefault="008C6125" w:rsidP="00E02BBE">
            <w:pPr>
              <w:spacing w:befor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Annexes</w:t>
            </w:r>
          </w:p>
        </w:tc>
        <w:tc>
          <w:tcPr>
            <w:tcW w:w="4168" w:type="pct"/>
            <w:tcBorders>
              <w:left w:val="single" w:sz="4" w:space="0" w:color="80A1B6"/>
              <w:right w:val="single" w:sz="4" w:space="0" w:color="80A1B6"/>
            </w:tcBorders>
          </w:tcPr>
          <w:p w14:paraId="1C90E3F2" w14:textId="347C96D6" w:rsidR="00131E33" w:rsidRDefault="00131E33" w:rsidP="00BD1FCC">
            <w:pPr>
              <w:pStyle w:val="ListParagraph"/>
              <w:numPr>
                <w:ilvl w:val="0"/>
                <w:numId w:val="25"/>
              </w:numPr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Annex 1: Key requirements checklist </w:t>
            </w:r>
            <w:proofErr w:type="gramStart"/>
            <w:r w:rsidRPr="00103A97">
              <w:rPr>
                <w:rFonts w:ascii="Times New Roman" w:hAnsi="Times New Roman" w:cs="Times New Roman"/>
              </w:rPr>
              <w:t>was updated</w:t>
            </w:r>
            <w:proofErr w:type="gramEnd"/>
            <w:r w:rsidRPr="00103A97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14:paraId="29DFA435" w14:textId="32810FC6" w:rsidR="00131E33" w:rsidRPr="00131E33" w:rsidRDefault="008C6125" w:rsidP="00131E33">
            <w:pPr>
              <w:pStyle w:val="ListParagraph"/>
              <w:numPr>
                <w:ilvl w:val="0"/>
                <w:numId w:val="25"/>
              </w:numPr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8C6125">
              <w:rPr>
                <w:rFonts w:ascii="Times New Roman" w:hAnsi="Times New Roman" w:cs="Times New Roman"/>
                <w:i/>
                <w:iCs/>
              </w:rPr>
              <w:t xml:space="preserve">Annex 2: Communication and visibility plan template </w:t>
            </w:r>
            <w:proofErr w:type="gramStart"/>
            <w:r w:rsidRPr="008C6125">
              <w:rPr>
                <w:rFonts w:ascii="Times New Roman" w:hAnsi="Times New Roman" w:cs="Times New Roman"/>
              </w:rPr>
              <w:t>was slightly revised</w:t>
            </w:r>
            <w:proofErr w:type="gramEnd"/>
            <w:r w:rsidRPr="008C6125">
              <w:rPr>
                <w:rFonts w:ascii="Times New Roman" w:hAnsi="Times New Roman" w:cs="Times New Roman"/>
              </w:rPr>
              <w:t xml:space="preserve"> in line with the “WBIF Communication and Visibility Guidelines”</w:t>
            </w:r>
            <w:r w:rsidR="00F2438D">
              <w:rPr>
                <w:rFonts w:ascii="Times New Roman" w:hAnsi="Times New Roman" w:cs="Times New Roman"/>
              </w:rPr>
              <w:t>.</w:t>
            </w:r>
          </w:p>
        </w:tc>
      </w:tr>
      <w:tr w:rsidR="00F2438D" w:rsidRPr="005334C8" w14:paraId="07836FA3" w14:textId="77777777" w:rsidTr="008C6125">
        <w:trPr>
          <w:trHeight w:val="6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tcBorders>
              <w:left w:val="single" w:sz="4" w:space="0" w:color="80A1B6"/>
              <w:right w:val="single" w:sz="4" w:space="0" w:color="80A1B6"/>
            </w:tcBorders>
          </w:tcPr>
          <w:p w14:paraId="72710812" w14:textId="5DD22A06" w:rsidR="00F2438D" w:rsidRDefault="00F2438D" w:rsidP="00E02BBE">
            <w:pPr>
              <w:spacing w:befor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Instructions included in the template</w:t>
            </w:r>
          </w:p>
        </w:tc>
        <w:tc>
          <w:tcPr>
            <w:tcW w:w="4168" w:type="pct"/>
            <w:tcBorders>
              <w:left w:val="single" w:sz="4" w:space="0" w:color="80A1B6"/>
              <w:right w:val="single" w:sz="4" w:space="0" w:color="80A1B6"/>
            </w:tcBorders>
          </w:tcPr>
          <w:p w14:paraId="754F8A8E" w14:textId="70918526" w:rsidR="00F2438D" w:rsidRPr="008C6125" w:rsidRDefault="00F2438D" w:rsidP="00BD1FCC">
            <w:pPr>
              <w:pStyle w:val="ListParagraph"/>
              <w:numPr>
                <w:ilvl w:val="0"/>
                <w:numId w:val="25"/>
              </w:numPr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All the instructions included in the template were amended accordingly and drop-down lists were included in sections </w:t>
            </w:r>
            <w:r w:rsidRPr="00F2438D">
              <w:rPr>
                <w:rFonts w:ascii="Times New Roman" w:hAnsi="Times New Roman" w:cs="Times New Roman"/>
                <w:i/>
                <w:iCs/>
              </w:rPr>
              <w:t>4 (Flagship)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F2438D">
              <w:rPr>
                <w:rFonts w:ascii="Times New Roman" w:hAnsi="Times New Roman" w:cs="Times New Roman"/>
                <w:i/>
                <w:iCs/>
              </w:rPr>
              <w:t>5 (Sector)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F2438D">
              <w:rPr>
                <w:rFonts w:ascii="Times New Roman" w:hAnsi="Times New Roman" w:cs="Times New Roman"/>
                <w:i/>
                <w:iCs/>
              </w:rPr>
              <w:t>7 (Beneficiary country)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F2438D">
              <w:rPr>
                <w:rFonts w:ascii="Times New Roman" w:hAnsi="Times New Roman" w:cs="Times New Roman"/>
                <w:i/>
                <w:iCs/>
              </w:rPr>
              <w:t>10 (Lead Financial Institution)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F2438D">
              <w:rPr>
                <w:rFonts w:ascii="Times New Roman" w:hAnsi="Times New Roman" w:cs="Times New Roman"/>
                <w:i/>
                <w:iCs/>
              </w:rPr>
              <w:t>11 (Co-financiers)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F2438D">
              <w:rPr>
                <w:rFonts w:ascii="Times New Roman" w:hAnsi="Times New Roman" w:cs="Times New Roman"/>
                <w:i/>
                <w:iCs/>
              </w:rPr>
              <w:t>17 (Indicative project status and planning)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</w:tbl>
    <w:p w14:paraId="3505582C" w14:textId="0F5A7E80" w:rsidR="00AA3313" w:rsidRPr="005334C8" w:rsidRDefault="00012D9E" w:rsidP="00183083">
      <w:pPr>
        <w:shd w:val="clear" w:color="auto" w:fill="80A1B6"/>
        <w:spacing w:before="120" w:after="120" w:line="360" w:lineRule="auto"/>
        <w:rPr>
          <w:rFonts w:ascii="Times New Roman" w:hAnsi="Times New Roman" w:cs="Times New Roman"/>
          <w:b/>
          <w:bCs/>
          <w:color w:val="FFFFFF" w:themeColor="background1"/>
        </w:rPr>
      </w:pPr>
      <w:r w:rsidRPr="005334C8">
        <w:rPr>
          <w:rFonts w:ascii="Times New Roman" w:hAnsi="Times New Roman" w:cs="Times New Roman"/>
          <w:b/>
          <w:bCs/>
          <w:color w:val="FFFFFF" w:themeColor="background1"/>
        </w:rPr>
        <w:t xml:space="preserve">INV GAF </w:t>
      </w:r>
      <w:r w:rsidR="00D85224" w:rsidRPr="005334C8">
        <w:rPr>
          <w:rFonts w:ascii="Times New Roman" w:hAnsi="Times New Roman" w:cs="Times New Roman"/>
          <w:b/>
          <w:bCs/>
          <w:color w:val="FFFFFF" w:themeColor="background1"/>
        </w:rPr>
        <w:t>Guidelines</w:t>
      </w:r>
    </w:p>
    <w:tbl>
      <w:tblPr>
        <w:tblStyle w:val="GridTable1Light-Accent5"/>
        <w:tblW w:w="5000" w:type="pct"/>
        <w:tblBorders>
          <w:top w:val="single" w:sz="4" w:space="0" w:color="80A1B6"/>
          <w:left w:val="single" w:sz="4" w:space="0" w:color="80A1B6"/>
          <w:bottom w:val="single" w:sz="4" w:space="0" w:color="80A1B6"/>
          <w:right w:val="single" w:sz="4" w:space="0" w:color="80A1B6"/>
          <w:insideH w:val="single" w:sz="4" w:space="0" w:color="80A1B6"/>
          <w:insideV w:val="single" w:sz="4" w:space="0" w:color="80A1B6"/>
        </w:tblBorders>
        <w:tblLook w:val="04A0" w:firstRow="1" w:lastRow="0" w:firstColumn="1" w:lastColumn="0" w:noHBand="0" w:noVBand="1"/>
      </w:tblPr>
      <w:tblGrid>
        <w:gridCol w:w="1886"/>
        <w:gridCol w:w="7824"/>
      </w:tblGrid>
      <w:tr w:rsidR="00CF1A03" w:rsidRPr="005334C8" w14:paraId="2E7C9ADB" w14:textId="77777777" w:rsidTr="00010F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  <w:tcBorders>
              <w:bottom w:val="none" w:sz="0" w:space="0" w:color="auto"/>
            </w:tcBorders>
            <w:vAlign w:val="center"/>
          </w:tcPr>
          <w:p w14:paraId="2724E2EB" w14:textId="77777777" w:rsidR="00CF1A03" w:rsidRPr="005334C8" w:rsidRDefault="00CF1A03" w:rsidP="00C0183B">
            <w:pPr>
              <w:spacing w:before="0"/>
              <w:jc w:val="left"/>
              <w:rPr>
                <w:rFonts w:ascii="Times New Roman" w:hAnsi="Times New Roman" w:cs="Times New Roman"/>
              </w:rPr>
            </w:pPr>
            <w:r w:rsidRPr="005334C8">
              <w:rPr>
                <w:rFonts w:ascii="Times New Roman" w:hAnsi="Times New Roman" w:cs="Times New Roman"/>
              </w:rPr>
              <w:t>Change</w:t>
            </w:r>
          </w:p>
        </w:tc>
        <w:tc>
          <w:tcPr>
            <w:tcW w:w="4029" w:type="pct"/>
            <w:tcBorders>
              <w:bottom w:val="none" w:sz="0" w:space="0" w:color="auto"/>
            </w:tcBorders>
            <w:vAlign w:val="center"/>
          </w:tcPr>
          <w:p w14:paraId="4D220DEA" w14:textId="77777777" w:rsidR="00CF1A03" w:rsidRPr="005334C8" w:rsidRDefault="00CF1A03" w:rsidP="00C0183B">
            <w:pPr>
              <w:spacing w:before="0" w:after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334C8">
              <w:rPr>
                <w:rFonts w:ascii="Times New Roman" w:hAnsi="Times New Roman" w:cs="Times New Roman"/>
              </w:rPr>
              <w:t>Description</w:t>
            </w:r>
          </w:p>
        </w:tc>
      </w:tr>
      <w:tr w:rsidR="00CF1A03" w:rsidRPr="005334C8" w14:paraId="6EF87310" w14:textId="77777777" w:rsidTr="00F2438D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</w:tcPr>
          <w:p w14:paraId="7D4D9D05" w14:textId="7E7825D0" w:rsidR="00CF1A03" w:rsidRPr="005334C8" w:rsidRDefault="00CF1A03" w:rsidP="00CF1A03">
            <w:pPr>
              <w:spacing w:before="0"/>
              <w:rPr>
                <w:rFonts w:ascii="Times New Roman" w:hAnsi="Times New Roman" w:cs="Times New Roman"/>
              </w:rPr>
            </w:pPr>
            <w:r w:rsidRPr="005334C8">
              <w:rPr>
                <w:rFonts w:ascii="Times New Roman" w:hAnsi="Times New Roman" w:cs="Times New Roman"/>
              </w:rPr>
              <w:t xml:space="preserve">Structure </w:t>
            </w:r>
          </w:p>
        </w:tc>
        <w:tc>
          <w:tcPr>
            <w:tcW w:w="4029" w:type="pct"/>
          </w:tcPr>
          <w:p w14:paraId="25815DCE" w14:textId="3FD86EAB" w:rsidR="00CF1A03" w:rsidRPr="00F2438D" w:rsidRDefault="00CF1A03" w:rsidP="00F2438D">
            <w:pPr>
              <w:numPr>
                <w:ilvl w:val="0"/>
                <w:numId w:val="29"/>
              </w:numPr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334C8">
              <w:rPr>
                <w:rFonts w:ascii="Times New Roman" w:hAnsi="Times New Roman" w:cs="Times New Roman"/>
              </w:rPr>
              <w:t>The sections and subsections of the Guidelines reordered/reorganised according to the updated INV GAF template</w:t>
            </w:r>
            <w:r w:rsidR="00F2438D">
              <w:rPr>
                <w:rFonts w:ascii="Times New Roman" w:hAnsi="Times New Roman" w:cs="Times New Roman"/>
              </w:rPr>
              <w:t>.</w:t>
            </w:r>
          </w:p>
        </w:tc>
      </w:tr>
      <w:tr w:rsidR="00925DD5" w:rsidRPr="005334C8" w14:paraId="46B2406C" w14:textId="77777777" w:rsidTr="00F2438D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</w:tcPr>
          <w:p w14:paraId="00873F4B" w14:textId="31857ADF" w:rsidR="00925DD5" w:rsidRPr="005334C8" w:rsidRDefault="00925DD5" w:rsidP="00CF1A03">
            <w:pPr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Maximum co-financing rates</w:t>
            </w:r>
          </w:p>
        </w:tc>
        <w:tc>
          <w:tcPr>
            <w:tcW w:w="4029" w:type="pct"/>
          </w:tcPr>
          <w:p w14:paraId="5F93DDD6" w14:textId="23B8F4F9" w:rsidR="00925DD5" w:rsidRPr="00925DD5" w:rsidRDefault="00925DD5" w:rsidP="00925DD5">
            <w:pPr>
              <w:numPr>
                <w:ilvl w:val="0"/>
                <w:numId w:val="29"/>
              </w:numPr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maximum co-financing rates were amended </w:t>
            </w:r>
            <w:r w:rsidR="00F44414">
              <w:rPr>
                <w:rFonts w:ascii="Times New Roman" w:hAnsi="Times New Roman" w:cs="Times New Roman"/>
              </w:rPr>
              <w:t xml:space="preserve">to those </w:t>
            </w:r>
            <w:r>
              <w:rPr>
                <w:rFonts w:ascii="Times New Roman" w:hAnsi="Times New Roman" w:cs="Times New Roman"/>
              </w:rPr>
              <w:t>specified in “</w:t>
            </w:r>
            <w:r w:rsidRPr="00925DD5">
              <w:rPr>
                <w:rFonts w:ascii="Times New Roman" w:hAnsi="Times New Roman" w:cs="Times New Roman"/>
              </w:rPr>
              <w:t>Doc 7. WBIF public blending EU co-financing rates aligned with the Economic and Investment Plan for the Western Balkans</w:t>
            </w:r>
            <w:r>
              <w:rPr>
                <w:rFonts w:ascii="Times New Roman" w:hAnsi="Times New Roman" w:cs="Times New Roman"/>
              </w:rPr>
              <w:t>”</w:t>
            </w:r>
          </w:p>
        </w:tc>
      </w:tr>
      <w:tr w:rsidR="00DA2F30" w:rsidRPr="005334C8" w14:paraId="473CACAC" w14:textId="77777777" w:rsidTr="00010FBD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</w:tcPr>
          <w:p w14:paraId="0DBDFEDA" w14:textId="2CA5B960" w:rsidR="00DA2F30" w:rsidRPr="005334C8" w:rsidRDefault="00F2438D" w:rsidP="00CF1A03">
            <w:pPr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Improved sections</w:t>
            </w:r>
          </w:p>
        </w:tc>
        <w:tc>
          <w:tcPr>
            <w:tcW w:w="4029" w:type="pct"/>
          </w:tcPr>
          <w:p w14:paraId="27E55BA4" w14:textId="342033C2" w:rsidR="005031BC" w:rsidRPr="005031BC" w:rsidRDefault="005031BC" w:rsidP="005031BC">
            <w:pPr>
              <w:pStyle w:val="ListParagraph"/>
              <w:numPr>
                <w:ilvl w:val="0"/>
                <w:numId w:val="29"/>
              </w:numPr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The instructions </w:t>
            </w:r>
            <w:proofErr w:type="gramStart"/>
            <w:r>
              <w:rPr>
                <w:rFonts w:ascii="Times New Roman" w:hAnsi="Times New Roman" w:cs="Times New Roman"/>
              </w:rPr>
              <w:t>were revised</w:t>
            </w:r>
            <w:proofErr w:type="gramEnd"/>
            <w:r>
              <w:rPr>
                <w:rFonts w:ascii="Times New Roman" w:hAnsi="Times New Roman" w:cs="Times New Roman"/>
              </w:rPr>
              <w:t xml:space="preserve"> for the sections; </w:t>
            </w:r>
            <w:r w:rsidR="00F2438D">
              <w:rPr>
                <w:rFonts w:ascii="Times New Roman" w:hAnsi="Times New Roman" w:cs="Times New Roman"/>
              </w:rPr>
              <w:t xml:space="preserve"> </w:t>
            </w:r>
          </w:p>
          <w:p w14:paraId="39A03185" w14:textId="4F2CC4BE" w:rsidR="005031BC" w:rsidRPr="00D11660" w:rsidRDefault="00507403" w:rsidP="00925DD5">
            <w:pPr>
              <w:pStyle w:val="ListParagraph"/>
              <w:numPr>
                <w:ilvl w:val="0"/>
                <w:numId w:val="29"/>
              </w:numPr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="005031BC">
              <w:rPr>
                <w:rFonts w:ascii="Times New Roman" w:hAnsi="Times New Roman" w:cs="Times New Roman"/>
              </w:rPr>
              <w:t xml:space="preserve">laborate instructions, notes and or/examples were in included for </w:t>
            </w:r>
            <w:r w:rsidR="00A73FC5">
              <w:rPr>
                <w:rFonts w:ascii="Times New Roman" w:hAnsi="Times New Roman" w:cs="Times New Roman"/>
              </w:rPr>
              <w:t xml:space="preserve">the following sections: </w:t>
            </w:r>
          </w:p>
          <w:p w14:paraId="0F5CD6FB" w14:textId="7AE866D3" w:rsidR="00D11660" w:rsidRPr="00D11660" w:rsidRDefault="00A73FC5" w:rsidP="00D11660">
            <w:pPr>
              <w:pStyle w:val="ListParagraph"/>
              <w:numPr>
                <w:ilvl w:val="0"/>
                <w:numId w:val="30"/>
              </w:numPr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Section 16: </w:t>
            </w:r>
            <w:r w:rsidR="00D11660">
              <w:rPr>
                <w:rFonts w:ascii="Times New Roman" w:hAnsi="Times New Roman" w:cs="Times New Roman"/>
              </w:rPr>
              <w:t>Main objectives of the Project in terms of outputs and outcomes, definition of the Project’s socio-economic objectives and n</w:t>
            </w:r>
            <w:r w:rsidR="00D11660" w:rsidRPr="00D11660">
              <w:rPr>
                <w:rFonts w:ascii="Times New Roman" w:hAnsi="Times New Roman" w:cs="Times New Roman"/>
              </w:rPr>
              <w:t>eeds/demand analysis (current and forecast)</w:t>
            </w:r>
            <w:r w:rsidR="00D1166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D11660">
              <w:rPr>
                <w:rFonts w:ascii="Times New Roman" w:hAnsi="Times New Roman" w:cs="Times New Roman"/>
              </w:rPr>
              <w:t>were explicitly introduced</w:t>
            </w:r>
            <w:proofErr w:type="gramEnd"/>
            <w:r w:rsidR="00D11660">
              <w:rPr>
                <w:rFonts w:ascii="Times New Roman" w:hAnsi="Times New Roman" w:cs="Times New Roman"/>
              </w:rPr>
              <w:t>;</w:t>
            </w:r>
          </w:p>
          <w:p w14:paraId="378A3E15" w14:textId="57C870FD" w:rsidR="00D11660" w:rsidRPr="00D11660" w:rsidRDefault="00A73FC5" w:rsidP="00D11660">
            <w:pPr>
              <w:pStyle w:val="ListParagraph"/>
              <w:numPr>
                <w:ilvl w:val="0"/>
                <w:numId w:val="3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Section 17: </w:t>
            </w:r>
            <w:r w:rsidR="00D11660" w:rsidRPr="00D11660">
              <w:rPr>
                <w:rFonts w:ascii="Times New Roman" w:hAnsi="Times New Roman" w:cs="Times New Roman"/>
              </w:rPr>
              <w:t xml:space="preserve">Maturity requirements </w:t>
            </w:r>
            <w:r w:rsidR="00D11660">
              <w:rPr>
                <w:rFonts w:ascii="Times New Roman" w:hAnsi="Times New Roman" w:cs="Times New Roman"/>
              </w:rPr>
              <w:t>and the classification of projects based on the paper “</w:t>
            </w:r>
            <w:r w:rsidR="00D11660" w:rsidRPr="00D11660">
              <w:rPr>
                <w:rFonts w:ascii="Times New Roman" w:hAnsi="Times New Roman" w:cs="Times New Roman"/>
              </w:rPr>
              <w:t>Restricted Task Force 2015</w:t>
            </w:r>
            <w:r w:rsidR="00D11660">
              <w:rPr>
                <w:rFonts w:ascii="Times New Roman" w:hAnsi="Times New Roman" w:cs="Times New Roman"/>
              </w:rPr>
              <w:t xml:space="preserve">”, additional clarifications on </w:t>
            </w:r>
            <w:r w:rsidR="00D11660" w:rsidRPr="00D11660">
              <w:rPr>
                <w:rFonts w:ascii="Times New Roman" w:hAnsi="Times New Roman" w:cs="Times New Roman"/>
              </w:rPr>
              <w:t>environmental permit, land availability, procurement procedure</w:t>
            </w:r>
            <w:r w:rsidR="00F44414">
              <w:rPr>
                <w:rFonts w:ascii="Times New Roman" w:hAnsi="Times New Roman" w:cs="Times New Roman"/>
              </w:rPr>
              <w:t>s</w:t>
            </w:r>
            <w:r w:rsidR="00D11660" w:rsidRPr="00D11660">
              <w:rPr>
                <w:rFonts w:ascii="Times New Roman" w:hAnsi="Times New Roman" w:cs="Times New Roman"/>
              </w:rPr>
              <w:t>, construction permit</w:t>
            </w:r>
            <w:r w:rsidR="00D1166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D11660">
              <w:rPr>
                <w:rFonts w:ascii="Times New Roman" w:hAnsi="Times New Roman" w:cs="Times New Roman"/>
              </w:rPr>
              <w:t xml:space="preserve">were </w:t>
            </w:r>
            <w:r w:rsidR="00F44414">
              <w:rPr>
                <w:rFonts w:ascii="Times New Roman" w:hAnsi="Times New Roman" w:cs="Times New Roman"/>
              </w:rPr>
              <w:t>included</w:t>
            </w:r>
            <w:proofErr w:type="gramEnd"/>
            <w:r w:rsidR="00A33333">
              <w:rPr>
                <w:rFonts w:ascii="Times New Roman" w:hAnsi="Times New Roman" w:cs="Times New Roman"/>
              </w:rPr>
              <w:t>;</w:t>
            </w:r>
          </w:p>
          <w:p w14:paraId="311CB426" w14:textId="3B1FD29D" w:rsidR="00D11660" w:rsidRPr="00D11660" w:rsidRDefault="00A73FC5" w:rsidP="00D11660">
            <w:pPr>
              <w:pStyle w:val="ListParagraph"/>
              <w:numPr>
                <w:ilvl w:val="0"/>
                <w:numId w:val="3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Section 31: </w:t>
            </w:r>
            <w:r w:rsidR="00D11660">
              <w:rPr>
                <w:rFonts w:ascii="Times New Roman" w:hAnsi="Times New Roman" w:cs="Times New Roman"/>
              </w:rPr>
              <w:t>K</w:t>
            </w:r>
            <w:r w:rsidR="00D11660" w:rsidRPr="00D11660">
              <w:rPr>
                <w:rFonts w:ascii="Times New Roman" w:hAnsi="Times New Roman" w:cs="Times New Roman"/>
              </w:rPr>
              <w:t xml:space="preserve">ey </w:t>
            </w:r>
            <w:r w:rsidR="00D11660">
              <w:rPr>
                <w:rFonts w:ascii="Times New Roman" w:hAnsi="Times New Roman" w:cs="Times New Roman"/>
              </w:rPr>
              <w:t xml:space="preserve">expected </w:t>
            </w:r>
            <w:r w:rsidR="00D11660" w:rsidRPr="00D11660">
              <w:rPr>
                <w:rFonts w:ascii="Times New Roman" w:hAnsi="Times New Roman" w:cs="Times New Roman"/>
              </w:rPr>
              <w:t xml:space="preserve">milestones for the </w:t>
            </w:r>
            <w:r w:rsidR="00D11660">
              <w:rPr>
                <w:rFonts w:ascii="Times New Roman" w:hAnsi="Times New Roman" w:cs="Times New Roman"/>
              </w:rPr>
              <w:t xml:space="preserve">procurement and implementation of the </w:t>
            </w:r>
            <w:r w:rsidR="00D11660" w:rsidRPr="00D11660">
              <w:rPr>
                <w:rFonts w:ascii="Times New Roman" w:hAnsi="Times New Roman" w:cs="Times New Roman"/>
              </w:rPr>
              <w:t xml:space="preserve">Action </w:t>
            </w:r>
            <w:proofErr w:type="gramStart"/>
            <w:r w:rsidR="00D11660">
              <w:rPr>
                <w:rFonts w:ascii="Times New Roman" w:hAnsi="Times New Roman" w:cs="Times New Roman"/>
              </w:rPr>
              <w:t xml:space="preserve">were </w:t>
            </w:r>
            <w:r>
              <w:rPr>
                <w:rFonts w:ascii="Times New Roman" w:hAnsi="Times New Roman" w:cs="Times New Roman"/>
              </w:rPr>
              <w:t>specified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D11660" w:rsidRPr="00D11660">
              <w:rPr>
                <w:rFonts w:ascii="Times New Roman" w:hAnsi="Times New Roman" w:cs="Times New Roman"/>
              </w:rPr>
              <w:t xml:space="preserve">to ensure that planned activities are realistically implementable within the foreseen period and </w:t>
            </w:r>
            <w:r w:rsidR="00D11660">
              <w:rPr>
                <w:rFonts w:ascii="Times New Roman" w:hAnsi="Times New Roman" w:cs="Times New Roman"/>
              </w:rPr>
              <w:t xml:space="preserve">are </w:t>
            </w:r>
            <w:r w:rsidR="00D11660" w:rsidRPr="00D11660">
              <w:rPr>
                <w:rFonts w:ascii="Times New Roman" w:hAnsi="Times New Roman" w:cs="Times New Roman"/>
              </w:rPr>
              <w:t>logically sequenced;</w:t>
            </w:r>
          </w:p>
          <w:p w14:paraId="4CE6A45F" w14:textId="586A0D1A" w:rsidR="00D11660" w:rsidRPr="00925DD5" w:rsidRDefault="001F307A" w:rsidP="00D11660">
            <w:pPr>
              <w:pStyle w:val="ListParagraph"/>
              <w:numPr>
                <w:ilvl w:val="0"/>
                <w:numId w:val="30"/>
              </w:numPr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Section 18: Additional </w:t>
            </w:r>
            <w:r w:rsidR="00944EC9">
              <w:rPr>
                <w:rFonts w:ascii="Times New Roman" w:hAnsi="Times New Roman" w:cs="Times New Roman"/>
              </w:rPr>
              <w:t>instructions</w:t>
            </w:r>
            <w:r>
              <w:rPr>
                <w:rFonts w:ascii="Times New Roman" w:hAnsi="Times New Roman" w:cs="Times New Roman"/>
              </w:rPr>
              <w:t xml:space="preserve"> on </w:t>
            </w:r>
            <w:r w:rsidR="00944EC9">
              <w:rPr>
                <w:rFonts w:ascii="Times New Roman" w:hAnsi="Times New Roman" w:cs="Times New Roman"/>
              </w:rPr>
              <w:t>how to demonstrate the Project</w:t>
            </w:r>
            <w:r w:rsidR="00F44414">
              <w:rPr>
                <w:rFonts w:ascii="Times New Roman" w:hAnsi="Times New Roman" w:cs="Times New Roman"/>
              </w:rPr>
              <w:t>’</w:t>
            </w:r>
            <w:r w:rsidR="00944EC9">
              <w:rPr>
                <w:rFonts w:ascii="Times New Roman" w:hAnsi="Times New Roman" w:cs="Times New Roman"/>
              </w:rPr>
              <w:t xml:space="preserve">s coherence with the </w:t>
            </w:r>
            <w:r w:rsidRPr="001F307A">
              <w:rPr>
                <w:rFonts w:ascii="Times New Roman" w:hAnsi="Times New Roman" w:cs="Times New Roman"/>
              </w:rPr>
              <w:t xml:space="preserve">particularities of </w:t>
            </w:r>
            <w:r w:rsidR="00944EC9">
              <w:rPr>
                <w:rFonts w:ascii="Times New Roman" w:hAnsi="Times New Roman" w:cs="Times New Roman"/>
              </w:rPr>
              <w:t xml:space="preserve">the </w:t>
            </w:r>
            <w:r>
              <w:rPr>
                <w:rFonts w:ascii="Times New Roman" w:hAnsi="Times New Roman" w:cs="Times New Roman"/>
              </w:rPr>
              <w:t xml:space="preserve">WBIF </w:t>
            </w:r>
            <w:r w:rsidRPr="001F307A">
              <w:rPr>
                <w:rFonts w:ascii="Times New Roman" w:hAnsi="Times New Roman" w:cs="Times New Roman"/>
              </w:rPr>
              <w:t>objectives, EU policies, adopted national/sectoral strategies strategic frameworks</w:t>
            </w:r>
            <w:r>
              <w:rPr>
                <w:rFonts w:ascii="Times New Roman" w:hAnsi="Times New Roman" w:cs="Times New Roman"/>
              </w:rPr>
              <w:t>, policies and plans</w:t>
            </w:r>
            <w:r w:rsidR="00A33333">
              <w:rPr>
                <w:rFonts w:ascii="Times New Roman" w:hAnsi="Times New Roman" w:cs="Times New Roman"/>
              </w:rPr>
              <w:t>;</w:t>
            </w:r>
          </w:p>
        </w:tc>
      </w:tr>
      <w:tr w:rsidR="001D2714" w:rsidRPr="005334C8" w14:paraId="261ABDDA" w14:textId="77777777" w:rsidTr="00010FBD">
        <w:trPr>
          <w:trHeight w:val="19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</w:tcPr>
          <w:p w14:paraId="61E2DD19" w14:textId="5FD88B22" w:rsidR="001D2714" w:rsidRPr="005334C8" w:rsidRDefault="001D2714" w:rsidP="00CF1A03">
            <w:pPr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4029" w:type="pct"/>
          </w:tcPr>
          <w:p w14:paraId="705BB2C1" w14:textId="3405F14C" w:rsidR="00FE2DFA" w:rsidRDefault="001F307A" w:rsidP="00FE2DFA">
            <w:pPr>
              <w:numPr>
                <w:ilvl w:val="1"/>
                <w:numId w:val="6"/>
              </w:numPr>
              <w:spacing w:before="0" w:after="60"/>
              <w:ind w:left="7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Section 21: </w:t>
            </w:r>
            <w:r w:rsidR="00944EC9">
              <w:rPr>
                <w:rFonts w:ascii="Times New Roman" w:hAnsi="Times New Roman" w:cs="Times New Roman"/>
              </w:rPr>
              <w:t xml:space="preserve">Additional clarifications </w:t>
            </w:r>
            <w:r w:rsidR="00F44414">
              <w:rPr>
                <w:rFonts w:ascii="Times New Roman" w:hAnsi="Times New Roman" w:cs="Times New Roman"/>
              </w:rPr>
              <w:t xml:space="preserve">for filling in </w:t>
            </w:r>
            <w:r>
              <w:rPr>
                <w:rFonts w:ascii="Times New Roman" w:hAnsi="Times New Roman" w:cs="Times New Roman"/>
              </w:rPr>
              <w:t>the project budget and financing plan</w:t>
            </w:r>
            <w:r w:rsidR="00944EC9">
              <w:rPr>
                <w:rFonts w:ascii="Times New Roman" w:hAnsi="Times New Roman" w:cs="Times New Roman"/>
              </w:rPr>
              <w:t>. T</w:t>
            </w:r>
            <w:r>
              <w:rPr>
                <w:rFonts w:ascii="Times New Roman" w:hAnsi="Times New Roman" w:cs="Times New Roman"/>
              </w:rPr>
              <w:t>he categories of eligible and non-eligible costs were updated</w:t>
            </w:r>
            <w:r w:rsidR="00944EC9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costs for evaluation and audit</w:t>
            </w:r>
            <w:r w:rsidR="00944EC9">
              <w:rPr>
                <w:rFonts w:ascii="Times New Roman" w:hAnsi="Times New Roman" w:cs="Times New Roman"/>
              </w:rPr>
              <w:t>, as well as for t</w:t>
            </w:r>
            <w:r w:rsidR="00944EC9" w:rsidRPr="00944EC9">
              <w:rPr>
                <w:rFonts w:ascii="Times New Roman" w:hAnsi="Times New Roman" w:cs="Times New Roman"/>
              </w:rPr>
              <w:t>echnical review, check and verification of project design(s) as per the national legislation and other activities specific to urban planning and/or land ownership (e.g. preparation of urban plans, documentation for land expropriation, etc.)</w:t>
            </w:r>
            <w:r w:rsidR="00944EC9">
              <w:rPr>
                <w:rFonts w:ascii="Times New Roman" w:hAnsi="Times New Roman" w:cs="Times New Roman"/>
              </w:rPr>
              <w:t xml:space="preserve"> were moved under non-eligible costs</w:t>
            </w:r>
            <w:r w:rsidR="00A33333">
              <w:rPr>
                <w:rFonts w:ascii="Times New Roman" w:hAnsi="Times New Roman" w:cs="Times New Roman"/>
              </w:rPr>
              <w:t>;</w:t>
            </w:r>
          </w:p>
          <w:p w14:paraId="3AB13EE1" w14:textId="4FFC6B32" w:rsidR="00F3392F" w:rsidRDefault="00944EC9" w:rsidP="00944EC9">
            <w:pPr>
              <w:numPr>
                <w:ilvl w:val="1"/>
                <w:numId w:val="6"/>
              </w:numPr>
              <w:spacing w:before="0" w:after="60"/>
              <w:ind w:left="7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Sections 18, 25 and 29: </w:t>
            </w:r>
            <w:r w:rsidR="00A33333">
              <w:rPr>
                <w:rFonts w:ascii="Times New Roman" w:hAnsi="Times New Roman" w:cs="Times New Roman"/>
              </w:rPr>
              <w:t>C</w:t>
            </w:r>
            <w:r w:rsidR="00F3392F" w:rsidRPr="00944EC9">
              <w:rPr>
                <w:rFonts w:ascii="Times New Roman" w:hAnsi="Times New Roman" w:cs="Times New Roman"/>
              </w:rPr>
              <w:t xml:space="preserve">ross-cutting issues, </w:t>
            </w:r>
            <w:r>
              <w:rPr>
                <w:rFonts w:ascii="Times New Roman" w:hAnsi="Times New Roman" w:cs="Times New Roman"/>
              </w:rPr>
              <w:t>such as</w:t>
            </w:r>
            <w:r w:rsidR="00F3392F" w:rsidRPr="00944EC9">
              <w:rPr>
                <w:rFonts w:ascii="Times New Roman" w:hAnsi="Times New Roman" w:cs="Times New Roman"/>
              </w:rPr>
              <w:t xml:space="preserve"> gender equality and equal opportunities, the rights of minorities and/or vulnerable groups </w:t>
            </w:r>
            <w:proofErr w:type="gramStart"/>
            <w:r>
              <w:rPr>
                <w:rFonts w:ascii="Times New Roman" w:hAnsi="Times New Roman" w:cs="Times New Roman"/>
              </w:rPr>
              <w:t xml:space="preserve">were explicitly </w:t>
            </w:r>
            <w:r w:rsidR="00F3392F" w:rsidRPr="00944EC9">
              <w:rPr>
                <w:rFonts w:ascii="Times New Roman" w:hAnsi="Times New Roman" w:cs="Times New Roman"/>
              </w:rPr>
              <w:t>introduced</w:t>
            </w:r>
            <w:proofErr w:type="gramEnd"/>
            <w:r w:rsidR="00F3392F" w:rsidRPr="00944E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as elements that should be considered to demonstrate compliance </w:t>
            </w:r>
            <w:r w:rsidR="00F3392F" w:rsidRPr="00944EC9">
              <w:rPr>
                <w:rFonts w:ascii="Times New Roman" w:hAnsi="Times New Roman" w:cs="Times New Roman"/>
              </w:rPr>
              <w:t>with EU social standards</w:t>
            </w:r>
            <w:r w:rsidR="00A33333">
              <w:rPr>
                <w:rFonts w:ascii="Times New Roman" w:hAnsi="Times New Roman" w:cs="Times New Roman"/>
              </w:rPr>
              <w:t>;</w:t>
            </w:r>
          </w:p>
          <w:p w14:paraId="53EA21C0" w14:textId="7DEF371E" w:rsidR="00944EC9" w:rsidRPr="00944EC9" w:rsidRDefault="00944EC9" w:rsidP="00944EC9">
            <w:pPr>
              <w:numPr>
                <w:ilvl w:val="1"/>
                <w:numId w:val="6"/>
              </w:numPr>
              <w:spacing w:before="0" w:after="60"/>
              <w:ind w:left="7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Section 2</w:t>
            </w:r>
            <w:r w:rsidR="00A3333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: The instructions for risk assessment </w:t>
            </w:r>
            <w:r w:rsidR="00A33333">
              <w:rPr>
                <w:rFonts w:ascii="Times New Roman" w:hAnsi="Times New Roman" w:cs="Times New Roman"/>
              </w:rPr>
              <w:t xml:space="preserve">categories </w:t>
            </w:r>
            <w:proofErr w:type="gramStart"/>
            <w:r w:rsidR="00A33333">
              <w:rPr>
                <w:rFonts w:ascii="Times New Roman" w:hAnsi="Times New Roman" w:cs="Times New Roman"/>
              </w:rPr>
              <w:t>were updated</w:t>
            </w:r>
            <w:proofErr w:type="gramEnd"/>
            <w:r w:rsidR="00A33333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6604B14" w14:textId="6306C56D" w:rsidR="00E1213F" w:rsidRPr="00A33333" w:rsidRDefault="00A33333" w:rsidP="00A77C5E">
            <w:pPr>
              <w:numPr>
                <w:ilvl w:val="1"/>
                <w:numId w:val="6"/>
              </w:numPr>
              <w:spacing w:before="0" w:after="60"/>
              <w:ind w:left="7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33333">
              <w:rPr>
                <w:rFonts w:ascii="Times New Roman" w:hAnsi="Times New Roman" w:cs="Times New Roman"/>
              </w:rPr>
              <w:t xml:space="preserve">Section 27: </w:t>
            </w:r>
            <w:r>
              <w:rPr>
                <w:rFonts w:ascii="Times New Roman" w:hAnsi="Times New Roman" w:cs="Times New Roman"/>
              </w:rPr>
              <w:t>C</w:t>
            </w:r>
            <w:r w:rsidRPr="00A33333">
              <w:rPr>
                <w:rFonts w:ascii="Times New Roman" w:hAnsi="Times New Roman" w:cs="Times New Roman"/>
              </w:rPr>
              <w:t xml:space="preserve">ross-sector indicators </w:t>
            </w:r>
            <w:proofErr w:type="gramStart"/>
            <w:r w:rsidRPr="00A33333">
              <w:rPr>
                <w:rFonts w:ascii="Times New Roman" w:hAnsi="Times New Roman" w:cs="Times New Roman"/>
              </w:rPr>
              <w:t>were revised</w:t>
            </w:r>
            <w:proofErr w:type="gramEnd"/>
            <w:r w:rsidRPr="00A33333">
              <w:rPr>
                <w:rFonts w:ascii="Times New Roman" w:hAnsi="Times New Roman" w:cs="Times New Roman"/>
              </w:rPr>
              <w:t xml:space="preserve"> to take account of </w:t>
            </w:r>
            <w:r w:rsidR="00E1213F" w:rsidRPr="00A33333">
              <w:rPr>
                <w:rFonts w:ascii="Times New Roman" w:hAnsi="Times New Roman" w:cs="Times New Roman"/>
              </w:rPr>
              <w:t xml:space="preserve">gender equality and equal opportunities, and additional specific indicators </w:t>
            </w:r>
            <w:r>
              <w:rPr>
                <w:rFonts w:ascii="Times New Roman" w:hAnsi="Times New Roman" w:cs="Times New Roman"/>
              </w:rPr>
              <w:t xml:space="preserve">were </w:t>
            </w:r>
            <w:r w:rsidR="00E1213F" w:rsidRPr="00A33333">
              <w:rPr>
                <w:rFonts w:ascii="Times New Roman" w:hAnsi="Times New Roman" w:cs="Times New Roman"/>
              </w:rPr>
              <w:t>introduced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150C714" w14:textId="5250D2D8" w:rsidR="00F93116" w:rsidRDefault="00A33333" w:rsidP="00E1213F">
            <w:pPr>
              <w:numPr>
                <w:ilvl w:val="1"/>
                <w:numId w:val="6"/>
              </w:numPr>
              <w:spacing w:before="0" w:after="60"/>
              <w:ind w:left="7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Annex 4: Additional indicators for </w:t>
            </w:r>
            <w:r w:rsidR="00F44414">
              <w:rPr>
                <w:rFonts w:ascii="Times New Roman" w:hAnsi="Times New Roman" w:cs="Times New Roman"/>
              </w:rPr>
              <w:t xml:space="preserve">the </w:t>
            </w:r>
            <w:r>
              <w:rPr>
                <w:rFonts w:ascii="Times New Roman" w:hAnsi="Times New Roman" w:cs="Times New Roman"/>
              </w:rPr>
              <w:t>environment and s</w:t>
            </w:r>
            <w:r w:rsidR="00E1213F" w:rsidRPr="005334C8">
              <w:rPr>
                <w:rFonts w:ascii="Times New Roman" w:hAnsi="Times New Roman" w:cs="Times New Roman"/>
              </w:rPr>
              <w:t xml:space="preserve">ocial </w:t>
            </w:r>
            <w:r>
              <w:rPr>
                <w:rFonts w:ascii="Times New Roman" w:hAnsi="Times New Roman" w:cs="Times New Roman"/>
              </w:rPr>
              <w:t>s</w:t>
            </w:r>
            <w:r w:rsidR="00E1213F" w:rsidRPr="005334C8">
              <w:rPr>
                <w:rFonts w:ascii="Times New Roman" w:hAnsi="Times New Roman" w:cs="Times New Roman"/>
              </w:rPr>
              <w:t>ectors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5748FCE5" w14:textId="3D211827" w:rsidR="00FE2DFA" w:rsidRPr="00A33333" w:rsidRDefault="00A33333" w:rsidP="00A33333">
            <w:pPr>
              <w:numPr>
                <w:ilvl w:val="1"/>
                <w:numId w:val="6"/>
              </w:numPr>
              <w:spacing w:before="0" w:after="60"/>
              <w:ind w:left="7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Annex 6: The WBIF screening and assessment grid </w:t>
            </w:r>
            <w:proofErr w:type="gramStart"/>
            <w:r>
              <w:rPr>
                <w:rFonts w:ascii="Times New Roman" w:hAnsi="Times New Roman" w:cs="Times New Roman"/>
              </w:rPr>
              <w:t>was updated</w:t>
            </w:r>
            <w:proofErr w:type="gramEnd"/>
            <w:r>
              <w:rPr>
                <w:rFonts w:ascii="Times New Roman" w:hAnsi="Times New Roman" w:cs="Times New Roman"/>
              </w:rPr>
              <w:t xml:space="preserve"> to the revised INV GAF template. </w:t>
            </w:r>
          </w:p>
        </w:tc>
      </w:tr>
    </w:tbl>
    <w:p w14:paraId="432AFBF2" w14:textId="45C9530B" w:rsidR="00E6360E" w:rsidRPr="005334C8" w:rsidRDefault="00E6360E" w:rsidP="003263D4">
      <w:pPr>
        <w:rPr>
          <w:rFonts w:ascii="Times New Roman" w:hAnsi="Times New Roman" w:cs="Times New Roman"/>
        </w:rPr>
      </w:pPr>
    </w:p>
    <w:sectPr w:rsidR="00E6360E" w:rsidRPr="005334C8" w:rsidSect="008C7669">
      <w:headerReference w:type="default" r:id="rId7"/>
      <w:pgSz w:w="12240" w:h="15840"/>
      <w:pgMar w:top="1351" w:right="108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5443D" w14:textId="77777777" w:rsidR="0019386A" w:rsidRDefault="0019386A" w:rsidP="002408F8">
      <w:pPr>
        <w:spacing w:before="0" w:line="240" w:lineRule="auto"/>
      </w:pPr>
      <w:r>
        <w:separator/>
      </w:r>
    </w:p>
  </w:endnote>
  <w:endnote w:type="continuationSeparator" w:id="0">
    <w:p w14:paraId="14289AC5" w14:textId="77777777" w:rsidR="0019386A" w:rsidRDefault="0019386A" w:rsidP="002408F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8EE7DD" w14:textId="77777777" w:rsidR="0019386A" w:rsidRDefault="0019386A" w:rsidP="002408F8">
      <w:pPr>
        <w:spacing w:before="0" w:line="240" w:lineRule="auto"/>
      </w:pPr>
      <w:r>
        <w:separator/>
      </w:r>
    </w:p>
  </w:footnote>
  <w:footnote w:type="continuationSeparator" w:id="0">
    <w:p w14:paraId="7E81EBC6" w14:textId="77777777" w:rsidR="0019386A" w:rsidRDefault="0019386A" w:rsidP="002408F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69EE8" w14:textId="6C3CE2AF" w:rsidR="00010FBD" w:rsidRDefault="00010FBD">
    <w:pPr>
      <w:pStyle w:val="Header"/>
    </w:pPr>
    <w:r w:rsidRPr="000365B4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3DA35FB1" wp14:editId="0F34B3B7">
          <wp:simplePos x="0" y="0"/>
          <wp:positionH relativeFrom="column">
            <wp:posOffset>4441683</wp:posOffset>
          </wp:positionH>
          <wp:positionV relativeFrom="paragraph">
            <wp:posOffset>-284063</wp:posOffset>
          </wp:positionV>
          <wp:extent cx="1664970" cy="516255"/>
          <wp:effectExtent l="0" t="0" r="0" b="0"/>
          <wp:wrapThrough wrapText="bothSides">
            <wp:wrapPolygon edited="0">
              <wp:start x="0" y="0"/>
              <wp:lineTo x="0" y="20723"/>
              <wp:lineTo x="21254" y="20723"/>
              <wp:lineTo x="21254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970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FD99F4" w14:textId="77777777" w:rsidR="00010FBD" w:rsidRDefault="00010FBD">
    <w:pPr>
      <w:pStyle w:val="Header"/>
    </w:pPr>
  </w:p>
  <w:p w14:paraId="76D275B4" w14:textId="6F67628E" w:rsidR="00185CB6" w:rsidRDefault="00185C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5208E"/>
    <w:multiLevelType w:val="hybridMultilevel"/>
    <w:tmpl w:val="1C08C3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67610"/>
    <w:multiLevelType w:val="hybridMultilevel"/>
    <w:tmpl w:val="E3E0A7A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B648B8"/>
    <w:multiLevelType w:val="hybridMultilevel"/>
    <w:tmpl w:val="A15845F2"/>
    <w:lvl w:ilvl="0" w:tplc="09D82072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C0853"/>
    <w:multiLevelType w:val="hybridMultilevel"/>
    <w:tmpl w:val="254C216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7F66E7"/>
    <w:multiLevelType w:val="hybridMultilevel"/>
    <w:tmpl w:val="D2F80B34"/>
    <w:lvl w:ilvl="0" w:tplc="D6ECC9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A04A6C"/>
    <w:multiLevelType w:val="hybridMultilevel"/>
    <w:tmpl w:val="3F342E10"/>
    <w:lvl w:ilvl="0" w:tplc="991C4A0C">
      <w:start w:val="1"/>
      <w:numFmt w:val="decimal"/>
      <w:lvlText w:val="%1."/>
      <w:lvlJc w:val="center"/>
      <w:pPr>
        <w:ind w:left="340" w:hanging="34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14D62"/>
    <w:multiLevelType w:val="hybridMultilevel"/>
    <w:tmpl w:val="6682FB2E"/>
    <w:lvl w:ilvl="0" w:tplc="04090005">
      <w:start w:val="1"/>
      <w:numFmt w:val="bullet"/>
      <w:lvlText w:val=""/>
      <w:lvlJc w:val="left"/>
      <w:pPr>
        <w:ind w:left="340" w:hanging="340"/>
      </w:pPr>
      <w:rPr>
        <w:rFonts w:ascii="Wingdings" w:hAnsi="Wingdings" w:hint="default"/>
        <w:sz w:val="1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EE27E4"/>
    <w:multiLevelType w:val="hybridMultilevel"/>
    <w:tmpl w:val="AC8AAFF6"/>
    <w:lvl w:ilvl="0" w:tplc="F940D3B0">
      <w:start w:val="1"/>
      <w:numFmt w:val="bullet"/>
      <w:lvlText w:val=""/>
      <w:lvlJc w:val="left"/>
      <w:pPr>
        <w:ind w:left="340" w:hanging="34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734DF4"/>
    <w:multiLevelType w:val="hybridMultilevel"/>
    <w:tmpl w:val="7870C0A8"/>
    <w:lvl w:ilvl="0" w:tplc="831E83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82C2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FA9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867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44CB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AEE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1AF8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F0A2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1613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38846D5C"/>
    <w:multiLevelType w:val="hybridMultilevel"/>
    <w:tmpl w:val="85E420D8"/>
    <w:lvl w:ilvl="0" w:tplc="AB6CF416">
      <w:start w:val="1"/>
      <w:numFmt w:val="bullet"/>
      <w:lvlText w:val=""/>
      <w:lvlJc w:val="left"/>
      <w:pPr>
        <w:ind w:left="340" w:hanging="34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C1221"/>
    <w:multiLevelType w:val="hybridMultilevel"/>
    <w:tmpl w:val="3CEA28E0"/>
    <w:lvl w:ilvl="0" w:tplc="A290E7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B4662E">
      <w:start w:val="14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143B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AC2C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6807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1E8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788E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128B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D0F8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B0B5843"/>
    <w:multiLevelType w:val="hybridMultilevel"/>
    <w:tmpl w:val="DE20216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00302FA"/>
    <w:multiLevelType w:val="hybridMultilevel"/>
    <w:tmpl w:val="CECE4F8C"/>
    <w:lvl w:ilvl="0" w:tplc="0809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422D7FEA"/>
    <w:multiLevelType w:val="hybridMultilevel"/>
    <w:tmpl w:val="B79A2008"/>
    <w:lvl w:ilvl="0" w:tplc="C804C6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224695"/>
    <w:multiLevelType w:val="hybridMultilevel"/>
    <w:tmpl w:val="C840DE3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8E363C2"/>
    <w:multiLevelType w:val="hybridMultilevel"/>
    <w:tmpl w:val="8D52FC7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116C7"/>
    <w:multiLevelType w:val="hybridMultilevel"/>
    <w:tmpl w:val="F1EA34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C60625"/>
    <w:multiLevelType w:val="hybridMultilevel"/>
    <w:tmpl w:val="7DE65F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C744AD"/>
    <w:multiLevelType w:val="hybridMultilevel"/>
    <w:tmpl w:val="3BCC9232"/>
    <w:lvl w:ilvl="0" w:tplc="D70C6D5E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1C0904"/>
    <w:multiLevelType w:val="hybridMultilevel"/>
    <w:tmpl w:val="3188AE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83CCF"/>
    <w:multiLevelType w:val="hybridMultilevel"/>
    <w:tmpl w:val="F5EAAF1C"/>
    <w:lvl w:ilvl="0" w:tplc="3D10E09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2774BE0"/>
    <w:multiLevelType w:val="hybridMultilevel"/>
    <w:tmpl w:val="256852AC"/>
    <w:lvl w:ilvl="0" w:tplc="30929866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583DC8"/>
    <w:multiLevelType w:val="hybridMultilevel"/>
    <w:tmpl w:val="B030C150"/>
    <w:lvl w:ilvl="0" w:tplc="08090001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sz w:val="1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7A73E1"/>
    <w:multiLevelType w:val="hybridMultilevel"/>
    <w:tmpl w:val="819A80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9212B"/>
    <w:multiLevelType w:val="hybridMultilevel"/>
    <w:tmpl w:val="4B3CA3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7E2F3E"/>
    <w:multiLevelType w:val="hybridMultilevel"/>
    <w:tmpl w:val="1076BA72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6" w15:restartNumberingAfterBreak="0">
    <w:nsid w:val="6D034D00"/>
    <w:multiLevelType w:val="hybridMultilevel"/>
    <w:tmpl w:val="746E20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A54299"/>
    <w:multiLevelType w:val="multilevel"/>
    <w:tmpl w:val="CA4087E6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667" w:hanging="72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 w15:restartNumberingAfterBreak="0">
    <w:nsid w:val="793379CD"/>
    <w:multiLevelType w:val="hybridMultilevel"/>
    <w:tmpl w:val="9B686638"/>
    <w:lvl w:ilvl="0" w:tplc="A8A43F4C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D462EC"/>
    <w:multiLevelType w:val="hybridMultilevel"/>
    <w:tmpl w:val="7D98947E"/>
    <w:lvl w:ilvl="0" w:tplc="51A0D3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DEE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803C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EAA4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BE5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1E6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800D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3287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F684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3"/>
  </w:num>
  <w:num w:numId="2">
    <w:abstractNumId w:val="28"/>
  </w:num>
  <w:num w:numId="3">
    <w:abstractNumId w:val="18"/>
  </w:num>
  <w:num w:numId="4">
    <w:abstractNumId w:val="21"/>
  </w:num>
  <w:num w:numId="5">
    <w:abstractNumId w:val="2"/>
  </w:num>
  <w:num w:numId="6">
    <w:abstractNumId w:val="6"/>
  </w:num>
  <w:num w:numId="7">
    <w:abstractNumId w:val="5"/>
  </w:num>
  <w:num w:numId="8">
    <w:abstractNumId w:val="7"/>
  </w:num>
  <w:num w:numId="9">
    <w:abstractNumId w:val="23"/>
  </w:num>
  <w:num w:numId="10">
    <w:abstractNumId w:val="4"/>
  </w:num>
  <w:num w:numId="11">
    <w:abstractNumId w:val="8"/>
  </w:num>
  <w:num w:numId="12">
    <w:abstractNumId w:val="10"/>
  </w:num>
  <w:num w:numId="13">
    <w:abstractNumId w:val="9"/>
  </w:num>
  <w:num w:numId="14">
    <w:abstractNumId w:val="20"/>
  </w:num>
  <w:num w:numId="15">
    <w:abstractNumId w:val="27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"/>
  </w:num>
  <w:num w:numId="19">
    <w:abstractNumId w:val="0"/>
  </w:num>
  <w:num w:numId="20">
    <w:abstractNumId w:val="15"/>
  </w:num>
  <w:num w:numId="21">
    <w:abstractNumId w:val="17"/>
  </w:num>
  <w:num w:numId="22">
    <w:abstractNumId w:val="25"/>
  </w:num>
  <w:num w:numId="23">
    <w:abstractNumId w:val="14"/>
  </w:num>
  <w:num w:numId="24">
    <w:abstractNumId w:val="19"/>
  </w:num>
  <w:num w:numId="25">
    <w:abstractNumId w:val="26"/>
  </w:num>
  <w:num w:numId="26">
    <w:abstractNumId w:val="11"/>
  </w:num>
  <w:num w:numId="27">
    <w:abstractNumId w:val="3"/>
  </w:num>
  <w:num w:numId="28">
    <w:abstractNumId w:val="24"/>
  </w:num>
  <w:num w:numId="29">
    <w:abstractNumId w:val="22"/>
  </w:num>
  <w:num w:numId="30">
    <w:abstractNumId w:val="12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2MTUzMLe0MDEzsrBU0lEKTi0uzszPAykwNK8FACjhExctAAAA"/>
  </w:docVars>
  <w:rsids>
    <w:rsidRoot w:val="00D85224"/>
    <w:rsid w:val="00001370"/>
    <w:rsid w:val="0000546F"/>
    <w:rsid w:val="00010FBD"/>
    <w:rsid w:val="00012D9E"/>
    <w:rsid w:val="00044FC7"/>
    <w:rsid w:val="00063BDC"/>
    <w:rsid w:val="000729AC"/>
    <w:rsid w:val="0009411C"/>
    <w:rsid w:val="000B69EB"/>
    <w:rsid w:val="000C6FBD"/>
    <w:rsid w:val="000D1906"/>
    <w:rsid w:val="000D7534"/>
    <w:rsid w:val="00102E32"/>
    <w:rsid w:val="00103A97"/>
    <w:rsid w:val="0011155F"/>
    <w:rsid w:val="0011450E"/>
    <w:rsid w:val="00125A28"/>
    <w:rsid w:val="00131E33"/>
    <w:rsid w:val="00145D4C"/>
    <w:rsid w:val="00150415"/>
    <w:rsid w:val="00161E5C"/>
    <w:rsid w:val="001636DE"/>
    <w:rsid w:val="001742DA"/>
    <w:rsid w:val="00175596"/>
    <w:rsid w:val="00182B47"/>
    <w:rsid w:val="00183083"/>
    <w:rsid w:val="00185CB6"/>
    <w:rsid w:val="001872B8"/>
    <w:rsid w:val="0019386A"/>
    <w:rsid w:val="001B15EF"/>
    <w:rsid w:val="001D2714"/>
    <w:rsid w:val="001E48F8"/>
    <w:rsid w:val="001F307A"/>
    <w:rsid w:val="00224782"/>
    <w:rsid w:val="002408F8"/>
    <w:rsid w:val="00264086"/>
    <w:rsid w:val="0026498D"/>
    <w:rsid w:val="00271799"/>
    <w:rsid w:val="0027274B"/>
    <w:rsid w:val="002759A4"/>
    <w:rsid w:val="002761AE"/>
    <w:rsid w:val="002A000C"/>
    <w:rsid w:val="002C4589"/>
    <w:rsid w:val="002D5416"/>
    <w:rsid w:val="002D731D"/>
    <w:rsid w:val="00305768"/>
    <w:rsid w:val="003263D4"/>
    <w:rsid w:val="00330E96"/>
    <w:rsid w:val="003316CC"/>
    <w:rsid w:val="00351D3A"/>
    <w:rsid w:val="003542BB"/>
    <w:rsid w:val="0035709F"/>
    <w:rsid w:val="00380CDA"/>
    <w:rsid w:val="003A68CE"/>
    <w:rsid w:val="003E6AD7"/>
    <w:rsid w:val="003F3EDE"/>
    <w:rsid w:val="003F75D4"/>
    <w:rsid w:val="00401C7C"/>
    <w:rsid w:val="00417827"/>
    <w:rsid w:val="00434848"/>
    <w:rsid w:val="004374D2"/>
    <w:rsid w:val="004374F8"/>
    <w:rsid w:val="00437ABF"/>
    <w:rsid w:val="004618E4"/>
    <w:rsid w:val="0046322A"/>
    <w:rsid w:val="004917B9"/>
    <w:rsid w:val="0049325C"/>
    <w:rsid w:val="004958C5"/>
    <w:rsid w:val="004A454B"/>
    <w:rsid w:val="004B31DD"/>
    <w:rsid w:val="004D2797"/>
    <w:rsid w:val="004D56AF"/>
    <w:rsid w:val="004F0ED4"/>
    <w:rsid w:val="004F21DE"/>
    <w:rsid w:val="004F529A"/>
    <w:rsid w:val="004F6502"/>
    <w:rsid w:val="005031BC"/>
    <w:rsid w:val="00507403"/>
    <w:rsid w:val="00510B93"/>
    <w:rsid w:val="00511D35"/>
    <w:rsid w:val="0051284C"/>
    <w:rsid w:val="0052078D"/>
    <w:rsid w:val="005216F8"/>
    <w:rsid w:val="00524DE3"/>
    <w:rsid w:val="00525753"/>
    <w:rsid w:val="005334C8"/>
    <w:rsid w:val="00534A56"/>
    <w:rsid w:val="0053517D"/>
    <w:rsid w:val="005424ED"/>
    <w:rsid w:val="00544F71"/>
    <w:rsid w:val="005520E2"/>
    <w:rsid w:val="00574074"/>
    <w:rsid w:val="00587203"/>
    <w:rsid w:val="005E3369"/>
    <w:rsid w:val="005E527B"/>
    <w:rsid w:val="005F2F4C"/>
    <w:rsid w:val="005F429B"/>
    <w:rsid w:val="005F5627"/>
    <w:rsid w:val="00612099"/>
    <w:rsid w:val="00614698"/>
    <w:rsid w:val="00644756"/>
    <w:rsid w:val="00645A9C"/>
    <w:rsid w:val="0065776C"/>
    <w:rsid w:val="00657DCC"/>
    <w:rsid w:val="00667E86"/>
    <w:rsid w:val="00675F67"/>
    <w:rsid w:val="006D0E7D"/>
    <w:rsid w:val="006D12CB"/>
    <w:rsid w:val="006D12FE"/>
    <w:rsid w:val="00714E9B"/>
    <w:rsid w:val="00783B80"/>
    <w:rsid w:val="00785329"/>
    <w:rsid w:val="00790F2A"/>
    <w:rsid w:val="007A01B9"/>
    <w:rsid w:val="007C5645"/>
    <w:rsid w:val="007E3CDF"/>
    <w:rsid w:val="007E652A"/>
    <w:rsid w:val="007F3551"/>
    <w:rsid w:val="00806C45"/>
    <w:rsid w:val="00862FA3"/>
    <w:rsid w:val="008778F2"/>
    <w:rsid w:val="008965A9"/>
    <w:rsid w:val="008A21CA"/>
    <w:rsid w:val="008A7AEA"/>
    <w:rsid w:val="008C5655"/>
    <w:rsid w:val="008C6125"/>
    <w:rsid w:val="008C7669"/>
    <w:rsid w:val="008D26F3"/>
    <w:rsid w:val="008E08A0"/>
    <w:rsid w:val="008F293F"/>
    <w:rsid w:val="008F5067"/>
    <w:rsid w:val="00924293"/>
    <w:rsid w:val="00925DD5"/>
    <w:rsid w:val="00944EC9"/>
    <w:rsid w:val="00946247"/>
    <w:rsid w:val="0095618F"/>
    <w:rsid w:val="0097041A"/>
    <w:rsid w:val="0099729F"/>
    <w:rsid w:val="009C2A55"/>
    <w:rsid w:val="009E5F63"/>
    <w:rsid w:val="009F2302"/>
    <w:rsid w:val="00A00FE3"/>
    <w:rsid w:val="00A33333"/>
    <w:rsid w:val="00A36CCC"/>
    <w:rsid w:val="00A701F7"/>
    <w:rsid w:val="00A70553"/>
    <w:rsid w:val="00A73FC5"/>
    <w:rsid w:val="00A770B7"/>
    <w:rsid w:val="00A80B1F"/>
    <w:rsid w:val="00A91EBB"/>
    <w:rsid w:val="00AA28D7"/>
    <w:rsid w:val="00AA3313"/>
    <w:rsid w:val="00AB2BEB"/>
    <w:rsid w:val="00AC015F"/>
    <w:rsid w:val="00B02580"/>
    <w:rsid w:val="00B10B2A"/>
    <w:rsid w:val="00B10B9D"/>
    <w:rsid w:val="00B526C7"/>
    <w:rsid w:val="00B65172"/>
    <w:rsid w:val="00B9069D"/>
    <w:rsid w:val="00BA5933"/>
    <w:rsid w:val="00BC4BBF"/>
    <w:rsid w:val="00BD0BDB"/>
    <w:rsid w:val="00BD1FCC"/>
    <w:rsid w:val="00BD6BE4"/>
    <w:rsid w:val="00C00B15"/>
    <w:rsid w:val="00C01EE4"/>
    <w:rsid w:val="00C101B2"/>
    <w:rsid w:val="00C21377"/>
    <w:rsid w:val="00C33565"/>
    <w:rsid w:val="00C547BE"/>
    <w:rsid w:val="00C62BDD"/>
    <w:rsid w:val="00C70800"/>
    <w:rsid w:val="00CC1F48"/>
    <w:rsid w:val="00CD4DCB"/>
    <w:rsid w:val="00CE60C2"/>
    <w:rsid w:val="00CF1A03"/>
    <w:rsid w:val="00D02F0C"/>
    <w:rsid w:val="00D11660"/>
    <w:rsid w:val="00D15A75"/>
    <w:rsid w:val="00D27BF4"/>
    <w:rsid w:val="00D31277"/>
    <w:rsid w:val="00D34383"/>
    <w:rsid w:val="00D50F2D"/>
    <w:rsid w:val="00D54727"/>
    <w:rsid w:val="00D61E35"/>
    <w:rsid w:val="00D65495"/>
    <w:rsid w:val="00D70D79"/>
    <w:rsid w:val="00D85224"/>
    <w:rsid w:val="00D92729"/>
    <w:rsid w:val="00DA2F30"/>
    <w:rsid w:val="00DC17FE"/>
    <w:rsid w:val="00DD79C0"/>
    <w:rsid w:val="00DE2372"/>
    <w:rsid w:val="00DF66A8"/>
    <w:rsid w:val="00E04BDF"/>
    <w:rsid w:val="00E05E83"/>
    <w:rsid w:val="00E11AA4"/>
    <w:rsid w:val="00E1213F"/>
    <w:rsid w:val="00E259C3"/>
    <w:rsid w:val="00E27604"/>
    <w:rsid w:val="00E371A6"/>
    <w:rsid w:val="00E541D9"/>
    <w:rsid w:val="00E623EB"/>
    <w:rsid w:val="00E6360E"/>
    <w:rsid w:val="00E7113E"/>
    <w:rsid w:val="00E919E2"/>
    <w:rsid w:val="00EA2DD0"/>
    <w:rsid w:val="00EC4D99"/>
    <w:rsid w:val="00ED0F7D"/>
    <w:rsid w:val="00ED2273"/>
    <w:rsid w:val="00EE2EF9"/>
    <w:rsid w:val="00F03951"/>
    <w:rsid w:val="00F159B5"/>
    <w:rsid w:val="00F16C4B"/>
    <w:rsid w:val="00F2438D"/>
    <w:rsid w:val="00F3392F"/>
    <w:rsid w:val="00F365B8"/>
    <w:rsid w:val="00F44414"/>
    <w:rsid w:val="00F44EC8"/>
    <w:rsid w:val="00F72174"/>
    <w:rsid w:val="00F776DB"/>
    <w:rsid w:val="00F82B07"/>
    <w:rsid w:val="00F86D81"/>
    <w:rsid w:val="00F93116"/>
    <w:rsid w:val="00FE2DFA"/>
    <w:rsid w:val="00FE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0374D5"/>
  <w15:chartTrackingRefBased/>
  <w15:docId w15:val="{A3E679EA-137D-431D-B457-4C823A5A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224"/>
    <w:pPr>
      <w:spacing w:before="200" w:after="0" w:line="276" w:lineRule="auto"/>
      <w:jc w:val="both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2A55"/>
    <w:pPr>
      <w:keepNext/>
      <w:keepLines/>
      <w:numPr>
        <w:numId w:val="15"/>
      </w:numPr>
      <w:spacing w:before="480" w:after="120"/>
      <w:jc w:val="left"/>
      <w:outlineLvl w:val="0"/>
    </w:pPr>
    <w:rPr>
      <w:rFonts w:ascii="Arial" w:eastAsiaTheme="majorEastAsia" w:hAnsi="Arial" w:cstheme="majorBidi"/>
      <w:b/>
      <w:bCs/>
      <w:color w:val="2F5496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9C2A55"/>
    <w:pPr>
      <w:keepNext/>
      <w:keepLines/>
      <w:numPr>
        <w:ilvl w:val="2"/>
        <w:numId w:val="15"/>
      </w:numPr>
      <w:spacing w:after="120"/>
      <w:jc w:val="left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le/Figure Heading,List Paragraph1,Bullets,List Paragraph (numbered (a)),Akapit z listą BS,Listeafsnit,Dot pt,No Spacing1,List Paragraph Char Char Char,Indicator Text,Numbered Para 1,Bullet 1,F5 List Paragraph,Bullet Points,MAIN CONTENT"/>
    <w:basedOn w:val="Normal"/>
    <w:link w:val="ListParagraphChar"/>
    <w:uiPriority w:val="34"/>
    <w:qFormat/>
    <w:rsid w:val="00D85224"/>
    <w:pPr>
      <w:ind w:left="720"/>
      <w:contextualSpacing/>
    </w:pPr>
  </w:style>
  <w:style w:type="character" w:customStyle="1" w:styleId="ListParagraphChar">
    <w:name w:val="List Paragraph Char"/>
    <w:aliases w:val="Table/Figure Heading Char,List Paragraph1 Char,Bullets Char,List Paragraph (numbered (a)) Char,Akapit z listą BS Char,Listeafsnit Char,Dot pt Char,No Spacing1 Char,List Paragraph Char Char Char Char,Indicator Text Char,Bullet 1 Char"/>
    <w:link w:val="ListParagraph"/>
    <w:uiPriority w:val="34"/>
    <w:locked/>
    <w:rsid w:val="00D85224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4D2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4D2"/>
    <w:rPr>
      <w:rFonts w:ascii="Segoe UI" w:hAnsi="Segoe UI" w:cs="Segoe UI"/>
      <w:sz w:val="18"/>
      <w:szCs w:val="18"/>
      <w:lang w:val="en-GB"/>
    </w:rPr>
  </w:style>
  <w:style w:type="character" w:customStyle="1" w:styleId="tlid-translation">
    <w:name w:val="tlid-translation"/>
    <w:basedOn w:val="DefaultParagraphFont"/>
    <w:rsid w:val="004917B9"/>
  </w:style>
  <w:style w:type="character" w:styleId="Hyperlink">
    <w:name w:val="Hyperlink"/>
    <w:uiPriority w:val="99"/>
    <w:unhideWhenUsed/>
    <w:rsid w:val="00F72174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2408F8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8F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408F8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08F8"/>
    <w:rPr>
      <w:lang w:val="en-GB"/>
    </w:rPr>
  </w:style>
  <w:style w:type="table" w:styleId="GridTable1Light-Accent5">
    <w:name w:val="Grid Table 1 Light Accent 5"/>
    <w:basedOn w:val="TableNormal"/>
    <w:uiPriority w:val="46"/>
    <w:rsid w:val="00CF1A0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99"/>
    <w:rsid w:val="001E4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48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9C2A55"/>
    <w:rPr>
      <w:rFonts w:ascii="Arial" w:eastAsiaTheme="majorEastAsia" w:hAnsi="Arial" w:cstheme="majorBidi"/>
      <w:b/>
      <w:bCs/>
      <w:color w:val="2F5496" w:themeColor="accent1" w:themeShade="BF"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9C2A55"/>
    <w:rPr>
      <w:rFonts w:ascii="Arial" w:eastAsiaTheme="majorEastAsia" w:hAnsi="Arial" w:cstheme="majorBidi"/>
      <w:b/>
      <w:bCs/>
      <w:sz w:val="20"/>
      <w:lang w:val="en-GB"/>
    </w:rPr>
  </w:style>
  <w:style w:type="paragraph" w:styleId="CommentText">
    <w:name w:val="annotation text"/>
    <w:basedOn w:val="Normal"/>
    <w:link w:val="CommentTextChar"/>
    <w:uiPriority w:val="99"/>
    <w:rsid w:val="00CE60C2"/>
    <w:pPr>
      <w:spacing w:before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60C2"/>
    <w:rPr>
      <w:rFonts w:ascii="Times New Roman" w:eastAsia="Times New Roman" w:hAnsi="Times New Roman" w:cs="Times New Roman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6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6557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63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49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29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46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90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3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97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96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8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238565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17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019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44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50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56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94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Elena Postolache</cp:lastModifiedBy>
  <cp:revision>40</cp:revision>
  <dcterms:created xsi:type="dcterms:W3CDTF">2020-07-19T12:27:00Z</dcterms:created>
  <dcterms:modified xsi:type="dcterms:W3CDTF">2021-01-08T06:32:00Z</dcterms:modified>
</cp:coreProperties>
</file>