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D960" w14:textId="77777777" w:rsidR="0042608C" w:rsidRDefault="0042608C" w:rsidP="00DE2D78">
      <w:pPr>
        <w:pStyle w:val="Naslov1"/>
        <w:rPr>
          <w:noProof/>
          <w:sz w:val="40"/>
          <w:szCs w:val="40"/>
          <w:lang w:val="sr-Cyrl-CS"/>
        </w:rPr>
      </w:pPr>
    </w:p>
    <w:p w14:paraId="4D381829" w14:textId="566BFEFB" w:rsidR="00DE7A74" w:rsidRPr="00244121" w:rsidRDefault="00244121" w:rsidP="00DE2D78">
      <w:pPr>
        <w:pStyle w:val="Naslov1"/>
        <w:rPr>
          <w:noProof/>
          <w:sz w:val="40"/>
          <w:szCs w:val="40"/>
          <w:lang w:val="sr-Cyrl-CS"/>
        </w:rPr>
      </w:pPr>
      <w:r>
        <w:rPr>
          <w:noProof/>
          <w:sz w:val="40"/>
          <w:szCs w:val="40"/>
          <w:lang w:val="sr-Cyrl-CS"/>
        </w:rPr>
        <w:t>Позив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за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учешће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у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Кластеру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учења</w:t>
      </w:r>
      <w:r w:rsidR="00937225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о</w:t>
      </w:r>
      <w:r w:rsidR="00937225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друштвеном</w:t>
      </w:r>
      <w:r w:rsidR="00937225" w:rsidRPr="00244121">
        <w:rPr>
          <w:noProof/>
          <w:sz w:val="40"/>
          <w:szCs w:val="40"/>
          <w:lang w:val="sr-Cyrl-CS"/>
        </w:rPr>
        <w:t xml:space="preserve"> </w:t>
      </w:r>
      <w:r>
        <w:rPr>
          <w:noProof/>
          <w:sz w:val="40"/>
          <w:szCs w:val="40"/>
          <w:lang w:val="sr-Cyrl-CS"/>
        </w:rPr>
        <w:t>приступу</w:t>
      </w:r>
      <w:r w:rsidR="00A673EF" w:rsidRPr="00244121">
        <w:rPr>
          <w:noProof/>
          <w:sz w:val="40"/>
          <w:szCs w:val="40"/>
          <w:lang w:val="sr-Cyrl-CS"/>
        </w:rPr>
        <w:t xml:space="preserve"> </w:t>
      </w:r>
    </w:p>
    <w:p w14:paraId="18A92D00" w14:textId="138827E5" w:rsidR="00937225" w:rsidRDefault="00937225" w:rsidP="00937225">
      <w:pPr>
        <w:rPr>
          <w:noProof/>
          <w:lang w:val="sr-Cyrl-CS"/>
        </w:rPr>
      </w:pPr>
    </w:p>
    <w:p w14:paraId="696F397B" w14:textId="32EFE869" w:rsidR="0042608C" w:rsidRPr="00244121" w:rsidRDefault="0042608C" w:rsidP="00937225">
      <w:pPr>
        <w:rPr>
          <w:noProof/>
          <w:lang w:val="sr-Cyrl-CS"/>
        </w:rPr>
      </w:pPr>
      <w:r>
        <w:rPr>
          <w:noProof/>
          <w:lang w:val="sr-Cyrl-CS"/>
        </w:rPr>
        <w:t xml:space="preserve">Поштовани, </w:t>
      </w:r>
    </w:p>
    <w:p w14:paraId="6DB19B51" w14:textId="05863AA9" w:rsidR="00937225" w:rsidRPr="00244121" w:rsidRDefault="00244121" w:rsidP="00D92CE4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Савез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општина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градова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Републике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Српске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објављује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овај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заинтересованим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самоуправама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учествују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кластерима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друштвеним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приступима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оквиру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пројекта</w:t>
      </w:r>
      <w:r w:rsidR="00937225" w:rsidRPr="00244121">
        <w:rPr>
          <w:noProof/>
          <w:sz w:val="24"/>
          <w:szCs w:val="24"/>
          <w:lang w:val="sr-Cyrl-CS"/>
        </w:rPr>
        <w:t xml:space="preserve"> „</w:t>
      </w:r>
      <w:r>
        <w:rPr>
          <w:noProof/>
          <w:sz w:val="24"/>
          <w:szCs w:val="24"/>
          <w:lang w:val="sr-Cyrl-CS"/>
        </w:rPr>
        <w:t>Јачање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капацитета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имплементацију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Агенде</w:t>
      </w:r>
      <w:r w:rsidR="00937225" w:rsidRPr="00244121">
        <w:rPr>
          <w:noProof/>
          <w:sz w:val="24"/>
          <w:szCs w:val="24"/>
          <w:lang w:val="sr-Cyrl-CS"/>
        </w:rPr>
        <w:t xml:space="preserve"> 2030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принципа</w:t>
      </w:r>
      <w:r w:rsidR="00937225" w:rsidRPr="00244121">
        <w:rPr>
          <w:noProof/>
          <w:sz w:val="24"/>
          <w:szCs w:val="24"/>
          <w:lang w:val="sr-Cyrl-CS"/>
        </w:rPr>
        <w:t xml:space="preserve">„ </w:t>
      </w:r>
      <w:r>
        <w:rPr>
          <w:noProof/>
          <w:sz w:val="24"/>
          <w:szCs w:val="24"/>
          <w:lang w:val="sr-Cyrl-CS"/>
        </w:rPr>
        <w:t>Не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остављајте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никога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себе</w:t>
      </w:r>
      <w:r w:rsidR="00937225" w:rsidRPr="00244121">
        <w:rPr>
          <w:noProof/>
          <w:sz w:val="24"/>
          <w:szCs w:val="24"/>
          <w:lang w:val="sr-Cyrl-CS"/>
        </w:rPr>
        <w:t xml:space="preserve"> “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“</w:t>
      </w:r>
      <w:r>
        <w:rPr>
          <w:noProof/>
          <w:sz w:val="24"/>
          <w:szCs w:val="24"/>
          <w:lang w:val="sr-Cyrl-CS"/>
        </w:rPr>
        <w:t>Промоција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пове</w:t>
      </w:r>
      <w:r w:rsidR="00C32ADE">
        <w:rPr>
          <w:noProof/>
          <w:sz w:val="24"/>
          <w:szCs w:val="24"/>
          <w:lang w:val="sr-Cyrl-CS"/>
        </w:rPr>
        <w:t>ћ</w:t>
      </w:r>
      <w:r>
        <w:rPr>
          <w:noProof/>
          <w:sz w:val="24"/>
          <w:szCs w:val="24"/>
          <w:lang w:val="sr-Cyrl-CS"/>
        </w:rPr>
        <w:t>ање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модела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укључивање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мањина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других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рањивих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група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Западном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Балкану</w:t>
      </w:r>
      <w:r w:rsidR="00937225" w:rsidRPr="00244121">
        <w:rPr>
          <w:noProof/>
          <w:sz w:val="24"/>
          <w:szCs w:val="24"/>
          <w:lang w:val="sr-Cyrl-CS"/>
        </w:rPr>
        <w:t xml:space="preserve">“, </w:t>
      </w:r>
      <w:r>
        <w:rPr>
          <w:noProof/>
          <w:sz w:val="24"/>
          <w:szCs w:val="24"/>
          <w:lang w:val="sr-Cyrl-CS"/>
        </w:rPr>
        <w:t>коју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спроводе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НАЛАС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његово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чланство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Удружења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власти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Западног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Балкана</w:t>
      </w:r>
      <w:r w:rsidR="00937225" w:rsidRPr="00244121">
        <w:rPr>
          <w:noProof/>
          <w:sz w:val="24"/>
          <w:szCs w:val="24"/>
          <w:lang w:val="sr-Cyrl-CS"/>
        </w:rPr>
        <w:t xml:space="preserve">. </w:t>
      </w:r>
    </w:p>
    <w:p w14:paraId="4043E9A3" w14:textId="3A7A4191" w:rsidR="00937225" w:rsidRPr="00244121" w:rsidRDefault="00244121" w:rsidP="00D92CE4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Кластер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самостални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облик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сарадње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јачања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капацитета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придружују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практичари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државних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недржавних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актера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дијеле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радно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окружење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како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имали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користи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комплементарног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знања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разноликих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искустава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развој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проширење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применљивих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решења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успјешних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приступа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релевантним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областима</w:t>
      </w:r>
      <w:r w:rsidR="00937225" w:rsidRPr="00244121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радно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окружење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гарантује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жена</w:t>
      </w:r>
      <w:r w:rsidR="00937225" w:rsidRPr="00244121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деце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омладине</w:t>
      </w:r>
      <w:r w:rsidR="00937225" w:rsidRPr="00244121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особа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инвалидитетом</w:t>
      </w:r>
      <w:r w:rsidR="00937225" w:rsidRPr="00244121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мањина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ЛГБТИ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особа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њихово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равноправно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учеш</w:t>
      </w:r>
      <w:r w:rsidR="00C32ADE">
        <w:rPr>
          <w:noProof/>
          <w:sz w:val="24"/>
          <w:szCs w:val="24"/>
          <w:lang w:val="sr-Cyrl-CS"/>
        </w:rPr>
        <w:t>ћ</w:t>
      </w:r>
      <w:r>
        <w:rPr>
          <w:noProof/>
          <w:sz w:val="24"/>
          <w:szCs w:val="24"/>
          <w:lang w:val="sr-Cyrl-CS"/>
        </w:rPr>
        <w:t>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друштву</w:t>
      </w:r>
      <w:r w:rsidR="00937225" w:rsidRPr="00244121">
        <w:rPr>
          <w:noProof/>
          <w:sz w:val="24"/>
          <w:szCs w:val="24"/>
          <w:lang w:val="sr-Cyrl-CS"/>
        </w:rPr>
        <w:t xml:space="preserve">. </w:t>
      </w:r>
    </w:p>
    <w:p w14:paraId="6EE244D8" w14:textId="009A190E" w:rsidR="00D92CE4" w:rsidRPr="00244121" w:rsidRDefault="00244121" w:rsidP="00D92CE4">
      <w:pPr>
        <w:jc w:val="both"/>
        <w:rPr>
          <w:rFonts w:eastAsia="Times New Roman"/>
          <w:noProof/>
          <w:lang w:val="sr-Cyrl-CS"/>
        </w:rPr>
      </w:pPr>
      <w:r>
        <w:rPr>
          <w:noProof/>
          <w:sz w:val="24"/>
          <w:szCs w:val="24"/>
          <w:lang w:val="sr-Cyrl-CS"/>
        </w:rPr>
        <w:t>Заинтересована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самоуправа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пријавити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 w:rsidRPr="00C32ADE">
        <w:rPr>
          <w:noProof/>
          <w:sz w:val="24"/>
          <w:szCs w:val="24"/>
          <w:u w:val="single"/>
          <w:lang w:val="sr-Cyrl-CS"/>
        </w:rPr>
        <w:t>један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</w:t>
      </w:r>
      <w:r w:rsidR="00C32ADE">
        <w:rPr>
          <w:noProof/>
          <w:sz w:val="24"/>
          <w:szCs w:val="24"/>
          <w:lang w:val="sr-Cyrl-CS"/>
        </w:rPr>
        <w:t>ћ</w:t>
      </w:r>
      <w:r>
        <w:rPr>
          <w:noProof/>
          <w:sz w:val="24"/>
          <w:szCs w:val="24"/>
          <w:lang w:val="sr-Cyrl-CS"/>
        </w:rPr>
        <w:t>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друштвених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приступа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њихових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кластера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учење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које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 w:rsidR="00C32ADE">
        <w:rPr>
          <w:noProof/>
          <w:sz w:val="24"/>
          <w:szCs w:val="24"/>
          <w:lang w:val="sr-Cyrl-CS"/>
        </w:rPr>
        <w:t>ћ</w:t>
      </w:r>
      <w:r>
        <w:rPr>
          <w:noProof/>
          <w:sz w:val="24"/>
          <w:szCs w:val="24"/>
          <w:lang w:val="sr-Cyrl-CS"/>
        </w:rPr>
        <w:t>е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успоставити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примјенити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удружења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локалних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власти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као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дома</w:t>
      </w:r>
      <w:r w:rsidR="00C32ADE">
        <w:rPr>
          <w:noProof/>
          <w:sz w:val="24"/>
          <w:szCs w:val="24"/>
          <w:lang w:val="sr-Cyrl-CS"/>
        </w:rPr>
        <w:t>ћ</w:t>
      </w:r>
      <w:r>
        <w:rPr>
          <w:noProof/>
          <w:sz w:val="24"/>
          <w:szCs w:val="24"/>
          <w:lang w:val="sr-Cyrl-CS"/>
        </w:rPr>
        <w:t>ини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Западног</w:t>
      </w:r>
      <w:r w:rsidR="00937225" w:rsidRPr="00244121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Балкана</w:t>
      </w:r>
      <w:r w:rsidR="00937225" w:rsidRPr="00244121">
        <w:rPr>
          <w:rFonts w:ascii="Helvetica" w:hAnsi="Helvetica" w:cs="Helvetica"/>
          <w:noProof/>
          <w:color w:val="5F6368"/>
          <w:sz w:val="23"/>
          <w:szCs w:val="23"/>
          <w:shd w:val="clear" w:color="auto" w:fill="F5F5F5"/>
          <w:lang w:val="sr-Cyrl-CS"/>
        </w:rPr>
        <w:t>:</w:t>
      </w:r>
    </w:p>
    <w:tbl>
      <w:tblPr>
        <w:tblStyle w:val="Obinatablica3"/>
        <w:tblW w:w="0" w:type="auto"/>
        <w:tblLook w:val="04A0" w:firstRow="1" w:lastRow="0" w:firstColumn="1" w:lastColumn="0" w:noHBand="0" w:noVBand="1"/>
      </w:tblPr>
      <w:tblGrid>
        <w:gridCol w:w="757"/>
        <w:gridCol w:w="4094"/>
        <w:gridCol w:w="2155"/>
        <w:gridCol w:w="2754"/>
      </w:tblGrid>
      <w:tr w:rsidR="005B0549" w:rsidRPr="00244121" w14:paraId="49A8AAD7" w14:textId="77777777" w:rsidTr="0043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gridSpan w:val="2"/>
            <w:tcBorders>
              <w:bottom w:val="single" w:sz="4" w:space="0" w:color="70AD47" w:themeColor="accent6"/>
            </w:tcBorders>
          </w:tcPr>
          <w:p w14:paraId="0577999C" w14:textId="554B871F" w:rsidR="00D92CE4" w:rsidRPr="00244121" w:rsidRDefault="00244121" w:rsidP="000A27ED">
            <w:pPr>
              <w:rPr>
                <w:b w:val="0"/>
                <w:bCs w:val="0"/>
                <w:caps w:val="0"/>
                <w:noProof/>
                <w:lang w:val="sr-Cyrl-CS"/>
              </w:rPr>
            </w:pPr>
            <w:bookmarkStart w:id="0" w:name="_Hlk80358899"/>
            <w:r>
              <w:rPr>
                <w:noProof/>
                <w:lang w:val="sr-Cyrl-CS"/>
              </w:rPr>
              <w:t>КЛАСТЕР</w:t>
            </w:r>
            <w:r w:rsidR="00937225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УЧЕЊА</w:t>
            </w:r>
            <w:r w:rsidR="00D92CE4" w:rsidRPr="00244121">
              <w:rPr>
                <w:noProof/>
                <w:lang w:val="sr-Cyrl-CS"/>
              </w:rPr>
              <w:t>/</w:t>
            </w:r>
          </w:p>
          <w:p w14:paraId="584CB356" w14:textId="50968CBF" w:rsidR="00D92CE4" w:rsidRPr="00244121" w:rsidRDefault="00244121" w:rsidP="000A27ED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ДРУШТЕВНИ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ПРИСТУП</w:t>
            </w:r>
          </w:p>
        </w:tc>
        <w:tc>
          <w:tcPr>
            <w:tcW w:w="5201" w:type="dxa"/>
            <w:gridSpan w:val="2"/>
            <w:tcBorders>
              <w:bottom w:val="single" w:sz="4" w:space="0" w:color="70AD47" w:themeColor="accent6"/>
            </w:tcBorders>
          </w:tcPr>
          <w:p w14:paraId="1188D6E4" w14:textId="35C29126" w:rsidR="00D92CE4" w:rsidRPr="00244121" w:rsidRDefault="00244121" w:rsidP="000A27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САВЕЗ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ДОМАЋИН</w:t>
            </w:r>
          </w:p>
        </w:tc>
      </w:tr>
      <w:tr w:rsidR="005B0549" w:rsidRPr="00244121" w14:paraId="622886C6" w14:textId="77777777" w:rsidTr="0043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6AED4EB" w14:textId="77777777" w:rsidR="00D92CE4" w:rsidRPr="00244121" w:rsidRDefault="00D92CE4" w:rsidP="000A27ED">
            <w:pPr>
              <w:rPr>
                <w:noProof/>
                <w:lang w:val="sr-Cyrl-CS"/>
              </w:rPr>
            </w:pPr>
            <w:r w:rsidRPr="00244121">
              <w:rPr>
                <w:rFonts w:ascii="Calibri Light" w:eastAsia="Times New Roman" w:hAnsi="Calibri Light" w:cs="Calibri Light"/>
                <w:noProof/>
                <w:color w:val="000000"/>
                <w:sz w:val="24"/>
                <w:szCs w:val="24"/>
                <w:lang w:val="sr-Cyrl-CS"/>
              </w:rPr>
              <w:drawing>
                <wp:inline distT="0" distB="0" distL="0" distR="0" wp14:anchorId="1D7EC03E" wp14:editId="22A1C665">
                  <wp:extent cx="343560" cy="3860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86" cy="39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auto"/>
          </w:tcPr>
          <w:p w14:paraId="5C2B1AE7" w14:textId="58923456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Оснивање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 w:rsidR="008345E2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Дневног</w:t>
            </w:r>
            <w:r w:rsidR="001838DD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Центра</w:t>
            </w:r>
            <w:r w:rsidR="001838DD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 w:rsidR="008345E2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као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породична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услуга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заснована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заједници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локалном</w:t>
            </w:r>
            <w:r w:rsidR="001838DD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нивоу</w:t>
            </w:r>
          </w:p>
          <w:p w14:paraId="208281F7" w14:textId="77777777" w:rsidR="00D92CE4" w:rsidRPr="00244121" w:rsidRDefault="00D92CE4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70AD47" w:themeColor="accent6"/>
            </w:tcBorders>
            <w:shd w:val="clear" w:color="auto" w:fill="auto"/>
          </w:tcPr>
          <w:p w14:paraId="49C0A524" w14:textId="77777777" w:rsidR="00D92CE4" w:rsidRPr="00244121" w:rsidRDefault="00D92CE4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244121">
              <w:rPr>
                <w:noProof/>
                <w:lang w:val="sr-Cyrl-CS"/>
              </w:rPr>
              <w:drawing>
                <wp:inline distT="0" distB="0" distL="0" distR="0" wp14:anchorId="3344C930" wp14:editId="70E70EA0">
                  <wp:extent cx="289427" cy="375274"/>
                  <wp:effectExtent l="0" t="0" r="0" b="6350"/>
                  <wp:docPr id="2" name="Picture 2" descr="Association of Kosovo Municipa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ociation of Kosovo Municipal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38" cy="40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tcBorders>
              <w:top w:val="single" w:sz="4" w:space="0" w:color="70AD47" w:themeColor="accent6"/>
            </w:tcBorders>
            <w:shd w:val="clear" w:color="auto" w:fill="auto"/>
          </w:tcPr>
          <w:p w14:paraId="7E8C29B2" w14:textId="34269D1E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општина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Косова</w:t>
            </w:r>
            <w:r w:rsidR="00D92CE4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5B0549" w:rsidRPr="00244121" w14:paraId="7F4C6E26" w14:textId="77777777" w:rsidTr="00436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70AD47" w:themeColor="accent6"/>
            </w:tcBorders>
            <w:shd w:val="clear" w:color="auto" w:fill="auto"/>
          </w:tcPr>
          <w:p w14:paraId="47C75689" w14:textId="77777777" w:rsidR="00D92CE4" w:rsidRPr="00244121" w:rsidRDefault="00D92CE4" w:rsidP="000A27ED">
            <w:pPr>
              <w:rPr>
                <w:noProof/>
                <w:lang w:val="sr-Cyrl-CS"/>
              </w:rPr>
            </w:pPr>
            <w:r w:rsidRPr="00244121">
              <w:rPr>
                <w:rFonts w:ascii="Calibri Light" w:eastAsia="Times New Roman" w:hAnsi="Calibri Light" w:cs="Calibri Light"/>
                <w:noProof/>
                <w:color w:val="000000"/>
                <w:sz w:val="24"/>
                <w:szCs w:val="24"/>
                <w:lang w:val="sr-Cyrl-CS"/>
              </w:rPr>
              <w:drawing>
                <wp:inline distT="0" distB="0" distL="0" distR="0" wp14:anchorId="6B29084F" wp14:editId="2030A607">
                  <wp:extent cx="335120" cy="380560"/>
                  <wp:effectExtent l="0" t="0" r="8255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07" cy="385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left w:val="single" w:sz="4" w:space="0" w:color="70AD47" w:themeColor="accent6"/>
            </w:tcBorders>
            <w:shd w:val="clear" w:color="auto" w:fill="auto"/>
          </w:tcPr>
          <w:p w14:paraId="7B7CEBEE" w14:textId="36975723" w:rsidR="00D92CE4" w:rsidRPr="00244121" w:rsidRDefault="00244121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Повећање</w:t>
            </w:r>
            <w:r w:rsidR="001838DD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свијести</w:t>
            </w:r>
          </w:p>
          <w:p w14:paraId="3A2AFAB8" w14:textId="61CC4CAA" w:rsidR="008345E2" w:rsidRPr="00244121" w:rsidRDefault="00244121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о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људским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правима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>,</w:t>
            </w:r>
            <w:r>
              <w:rPr>
                <w:noProof/>
                <w:sz w:val="20"/>
                <w:szCs w:val="20"/>
                <w:lang w:val="sr-Cyrl-CS"/>
              </w:rPr>
              <w:t>не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>-</w:t>
            </w:r>
            <w:r>
              <w:rPr>
                <w:noProof/>
                <w:sz w:val="20"/>
                <w:szCs w:val="20"/>
                <w:lang w:val="sr-Cyrl-CS"/>
              </w:rPr>
              <w:t>дискриминацији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И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инклузији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на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локалном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нивоу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</w:p>
          <w:p w14:paraId="454FA23B" w14:textId="5597C344" w:rsidR="008345E2" w:rsidRPr="00244121" w:rsidRDefault="008345E2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14:paraId="1B0F90D2" w14:textId="77777777" w:rsidR="00D92CE4" w:rsidRPr="00244121" w:rsidRDefault="00D92CE4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244121">
              <w:rPr>
                <w:noProof/>
                <w:lang w:val="sr-Cyrl-CS"/>
              </w:rPr>
              <w:drawing>
                <wp:inline distT="0" distB="0" distL="0" distR="0" wp14:anchorId="055E209B" wp14:editId="0715876B">
                  <wp:extent cx="306120" cy="502128"/>
                  <wp:effectExtent l="0" t="0" r="0" b="0"/>
                  <wp:docPr id="8" name="Picture 8" descr="Association of Albanian Municipa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ociation of Albanian Municipal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62" cy="51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121">
              <w:rPr>
                <w:noProof/>
                <w:lang w:val="sr-Cyrl-CS"/>
              </w:rPr>
              <w:t xml:space="preserve">   </w:t>
            </w:r>
            <w:r w:rsidRPr="00244121">
              <w:rPr>
                <w:noProof/>
                <w:lang w:val="sr-Cyrl-CS"/>
              </w:rPr>
              <w:drawing>
                <wp:inline distT="0" distB="0" distL="0" distR="0" wp14:anchorId="5FF8D4AF" wp14:editId="68041BFB">
                  <wp:extent cx="646676" cy="260350"/>
                  <wp:effectExtent l="0" t="0" r="1270" b="6350"/>
                  <wp:docPr id="23" name="Picture 23" descr="Association for Local Autono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sociation for Local Autono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01" cy="26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38488" w14:textId="77777777" w:rsidR="00D92CE4" w:rsidRPr="00244121" w:rsidRDefault="00D92CE4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</w:p>
        </w:tc>
        <w:tc>
          <w:tcPr>
            <w:tcW w:w="0" w:type="dxa"/>
            <w:shd w:val="clear" w:color="auto" w:fill="auto"/>
          </w:tcPr>
          <w:p w14:paraId="367030BF" w14:textId="6ED17DC2" w:rsidR="00D92CE4" w:rsidRPr="00244121" w:rsidRDefault="00244121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општина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Албаније</w:t>
            </w:r>
          </w:p>
          <w:p w14:paraId="090AD2FA" w14:textId="74B46C34" w:rsidR="00D92CE4" w:rsidRPr="00244121" w:rsidRDefault="00244121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за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локалну</w:t>
            </w:r>
            <w:r w:rsidR="001838DD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аутономију</w:t>
            </w:r>
          </w:p>
        </w:tc>
      </w:tr>
      <w:tr w:rsidR="005B0549" w:rsidRPr="00244121" w14:paraId="2A13D372" w14:textId="77777777" w:rsidTr="0043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70AD47" w:themeColor="accent6"/>
            </w:tcBorders>
            <w:shd w:val="clear" w:color="auto" w:fill="auto"/>
          </w:tcPr>
          <w:p w14:paraId="322AA3E3" w14:textId="77777777" w:rsidR="00D92CE4" w:rsidRPr="00244121" w:rsidRDefault="00D92CE4" w:rsidP="000A27ED">
            <w:pPr>
              <w:rPr>
                <w:noProof/>
                <w:lang w:val="sr-Cyrl-CS"/>
              </w:rPr>
            </w:pPr>
            <w:r w:rsidRPr="00244121">
              <w:rPr>
                <w:rFonts w:ascii="Calibri Light" w:eastAsia="Times New Roman" w:hAnsi="Calibri Light" w:cs="Calibri Light"/>
                <w:noProof/>
                <w:color w:val="000000"/>
                <w:sz w:val="24"/>
                <w:szCs w:val="24"/>
                <w:lang w:val="sr-Cyrl-CS"/>
              </w:rPr>
              <w:drawing>
                <wp:inline distT="0" distB="0" distL="0" distR="0" wp14:anchorId="00B2674C" wp14:editId="57316C6E">
                  <wp:extent cx="335472" cy="375274"/>
                  <wp:effectExtent l="0" t="0" r="762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06" cy="378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left w:val="single" w:sz="4" w:space="0" w:color="70AD47" w:themeColor="accent6"/>
            </w:tcBorders>
            <w:shd w:val="clear" w:color="auto" w:fill="auto"/>
          </w:tcPr>
          <w:p w14:paraId="12294DBB" w14:textId="104487B3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Оснивање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 w:rsidR="008345E2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Мобилних</w:t>
            </w:r>
            <w:r w:rsidR="001838DD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Теренских</w:t>
            </w:r>
            <w:r w:rsidR="001838DD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Тимова</w:t>
            </w:r>
            <w:r w:rsidR="008345E2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за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пружање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основних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социјалних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услуга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за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рањиве</w:t>
            </w:r>
            <w:r w:rsidR="001838DD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noProof/>
                <w:sz w:val="20"/>
                <w:szCs w:val="20"/>
                <w:lang w:val="sr-Cyrl-CS"/>
              </w:rPr>
              <w:t>групе</w:t>
            </w:r>
            <w:r w:rsidR="008345E2" w:rsidRPr="00244121">
              <w:rPr>
                <w:noProof/>
                <w:sz w:val="20"/>
                <w:szCs w:val="20"/>
                <w:lang w:val="sr-Cyrl-CS"/>
              </w:rPr>
              <w:t xml:space="preserve">  </w:t>
            </w:r>
          </w:p>
          <w:p w14:paraId="28DE0D83" w14:textId="62813709" w:rsidR="008345E2" w:rsidRPr="00244121" w:rsidRDefault="008345E2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14:paraId="69B93075" w14:textId="77777777" w:rsidR="00D92CE4" w:rsidRPr="00244121" w:rsidRDefault="00D92CE4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244121">
              <w:rPr>
                <w:noProof/>
                <w:lang w:val="sr-Cyrl-CS"/>
              </w:rPr>
              <w:drawing>
                <wp:inline distT="0" distB="0" distL="0" distR="0" wp14:anchorId="1E199D0B" wp14:editId="57AA6F35">
                  <wp:extent cx="354260" cy="454557"/>
                  <wp:effectExtent l="0" t="0" r="8255" b="3175"/>
                  <wp:docPr id="24" name="Picture 24" descr="Association of Municipalities and Towns of Republic of Srp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ssociation of Municipalities and Towns of Republic of Srp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53" cy="49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121">
              <w:rPr>
                <w:noProof/>
                <w:lang w:val="sr-Cyrl-CS"/>
              </w:rPr>
              <w:t xml:space="preserve">   </w:t>
            </w:r>
            <w:r w:rsidRPr="00244121">
              <w:rPr>
                <w:noProof/>
                <w:lang w:val="sr-Cyrl-CS"/>
              </w:rPr>
              <w:drawing>
                <wp:inline distT="0" distB="0" distL="0" distR="0" wp14:anchorId="407937A5" wp14:editId="0558844B">
                  <wp:extent cx="628650" cy="444421"/>
                  <wp:effectExtent l="0" t="0" r="0" b="0"/>
                  <wp:docPr id="3" name="Picture 3" descr="Association of Municipalities and Cities of the Federation of Bosnia and Herzegov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ssociation of Municipalities and Cities of the Federation of Bosnia and Herzegov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23" cy="45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auto"/>
          </w:tcPr>
          <w:p w14:paraId="0084D87E" w14:textId="6F10535F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општина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И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градова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Републике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Српске</w:t>
            </w:r>
          </w:p>
          <w:p w14:paraId="0372010A" w14:textId="79F967F6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опћина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И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градова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Федерације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Босне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И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Херцеговине</w:t>
            </w:r>
            <w:r w:rsidR="0080414A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</w:p>
          <w:p w14:paraId="479E9701" w14:textId="77777777" w:rsidR="00D92CE4" w:rsidRPr="00244121" w:rsidRDefault="00D92CE4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</w:p>
        </w:tc>
      </w:tr>
      <w:tr w:rsidR="005B0549" w:rsidRPr="00244121" w14:paraId="6635F2FF" w14:textId="77777777" w:rsidTr="00436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70AD47" w:themeColor="accent6"/>
            </w:tcBorders>
            <w:shd w:val="clear" w:color="auto" w:fill="auto"/>
          </w:tcPr>
          <w:p w14:paraId="55A37AFA" w14:textId="77777777" w:rsidR="00D92CE4" w:rsidRPr="00244121" w:rsidRDefault="00D92CE4" w:rsidP="000A27ED">
            <w:pPr>
              <w:rPr>
                <w:noProof/>
                <w:lang w:val="sr-Cyrl-CS"/>
              </w:rPr>
            </w:pPr>
            <w:r w:rsidRPr="00244121">
              <w:rPr>
                <w:rFonts w:ascii="Calibri Light" w:eastAsia="Times New Roman" w:hAnsi="Calibri Light" w:cs="Calibri Light"/>
                <w:noProof/>
                <w:color w:val="000000"/>
                <w:sz w:val="24"/>
                <w:szCs w:val="24"/>
                <w:lang w:val="sr-Cyrl-CS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FD7F26F" wp14:editId="62D722C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635000</wp:posOffset>
                  </wp:positionV>
                  <wp:extent cx="335472" cy="375274"/>
                  <wp:effectExtent l="0" t="0" r="7620" b="6350"/>
                  <wp:wrapThrough wrapText="bothSides">
                    <wp:wrapPolygon edited="0">
                      <wp:start x="0" y="0"/>
                      <wp:lineTo x="0" y="20868"/>
                      <wp:lineTo x="20864" y="20868"/>
                      <wp:lineTo x="20864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72" cy="375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9" w:type="dxa"/>
            <w:tcBorders>
              <w:left w:val="single" w:sz="4" w:space="0" w:color="70AD47" w:themeColor="accent6"/>
            </w:tcBorders>
            <w:shd w:val="clear" w:color="auto" w:fill="auto"/>
          </w:tcPr>
          <w:p w14:paraId="60550583" w14:textId="12114E00" w:rsidR="006361E2" w:rsidRPr="00244121" w:rsidRDefault="00244121" w:rsidP="005B0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Модели</w:t>
            </w:r>
            <w:r w:rsidR="005B0549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укључивања</w:t>
            </w:r>
            <w:r w:rsidR="005B0549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мањина</w:t>
            </w:r>
            <w:r w:rsidR="006361E2" w:rsidRPr="00244121">
              <w:rPr>
                <w:noProof/>
                <w:lang w:val="sr-Cyrl-CS"/>
              </w:rPr>
              <w:t>:</w:t>
            </w:r>
          </w:p>
          <w:p w14:paraId="44EF354F" w14:textId="141779D5" w:rsidR="005B0549" w:rsidRPr="00244121" w:rsidRDefault="00244121" w:rsidP="005B0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Успоставање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Форума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социјални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дијалог</w:t>
            </w:r>
            <w:r w:rsidR="005B0549" w:rsidRPr="00244121">
              <w:rPr>
                <w:noProof/>
                <w:lang w:val="sr-Cyrl-CS"/>
              </w:rPr>
              <w:t xml:space="preserve">, </w:t>
            </w:r>
            <w:r>
              <w:rPr>
                <w:noProof/>
                <w:lang w:val="sr-Cyrl-CS"/>
              </w:rPr>
              <w:t>приступ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оријентисан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људима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обликовању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локалних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политика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услуга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угрожене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групе</w:t>
            </w:r>
            <w:r w:rsidR="005B0549" w:rsidRPr="00244121">
              <w:rPr>
                <w:noProof/>
                <w:lang w:val="sr-Cyrl-CS"/>
              </w:rPr>
              <w:t xml:space="preserve">; </w:t>
            </w:r>
          </w:p>
          <w:p w14:paraId="7BB1BC5B" w14:textId="1C158C2A" w:rsidR="008345E2" w:rsidRPr="00244121" w:rsidRDefault="00244121" w:rsidP="005B0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Комесар</w:t>
            </w:r>
            <w:r w:rsidR="005B0549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за</w:t>
            </w:r>
            <w:r w:rsidR="005B0549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мањине</w:t>
            </w:r>
            <w:r w:rsidR="005B0549" w:rsidRPr="00244121">
              <w:rPr>
                <w:noProof/>
                <w:lang w:val="sr-Cyrl-CS"/>
              </w:rPr>
              <w:t xml:space="preserve">, </w:t>
            </w:r>
            <w:r>
              <w:rPr>
                <w:noProof/>
                <w:lang w:val="sr-Cyrl-CS"/>
              </w:rPr>
              <w:t>свеобухватни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приступ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који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ствара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друштвену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кохезију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одговарајуц</w:t>
            </w:r>
            <w:r w:rsidR="005B0549" w:rsidRPr="00244121">
              <w:rPr>
                <w:noProof/>
                <w:lang w:val="sr-Cyrl-CS"/>
              </w:rPr>
              <w:t>́</w:t>
            </w:r>
            <w:r>
              <w:rPr>
                <w:noProof/>
                <w:lang w:val="sr-Cyrl-CS"/>
              </w:rPr>
              <w:t>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услове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мањине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друге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рањиве</w:t>
            </w:r>
            <w:r w:rsidR="005B0549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групе</w:t>
            </w:r>
          </w:p>
        </w:tc>
        <w:tc>
          <w:tcPr>
            <w:tcW w:w="2268" w:type="dxa"/>
            <w:shd w:val="clear" w:color="auto" w:fill="auto"/>
          </w:tcPr>
          <w:p w14:paraId="6C93F2B5" w14:textId="77777777" w:rsidR="00D92CE4" w:rsidRPr="00244121" w:rsidRDefault="00D92CE4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244121">
              <w:rPr>
                <w:noProof/>
                <w:lang w:val="sr-Cyrl-CS"/>
              </w:rPr>
              <w:drawing>
                <wp:anchor distT="0" distB="0" distL="114300" distR="114300" simplePos="0" relativeHeight="251659264" behindDoc="0" locked="0" layoutInCell="1" allowOverlap="1" wp14:anchorId="6190691E" wp14:editId="7E7BA3D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755650</wp:posOffset>
                  </wp:positionV>
                  <wp:extent cx="269563" cy="377893"/>
                  <wp:effectExtent l="0" t="0" r="0" b="3175"/>
                  <wp:wrapThrough wrapText="bothSides">
                    <wp:wrapPolygon edited="0">
                      <wp:start x="0" y="0"/>
                      <wp:lineTo x="0" y="20692"/>
                      <wp:lineTo x="19868" y="20692"/>
                      <wp:lineTo x="19868" y="0"/>
                      <wp:lineTo x="0" y="0"/>
                    </wp:wrapPolygon>
                  </wp:wrapThrough>
                  <wp:docPr id="21" name="Picture 21" descr="Association of the Units of Local Self-Government of the Republic of North Maced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ssociation of the Units of Local Self-Government of the Republic of North Maced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63" cy="377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dxa"/>
            <w:shd w:val="clear" w:color="auto" w:fill="auto"/>
          </w:tcPr>
          <w:p w14:paraId="2BED61D3" w14:textId="77777777" w:rsidR="007E4BAC" w:rsidRPr="00244121" w:rsidRDefault="007E4BAC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  <w:p w14:paraId="2E2FD5D0" w14:textId="77777777" w:rsidR="007E4BAC" w:rsidRPr="00244121" w:rsidRDefault="007E4BAC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  <w:p w14:paraId="7FF262BE" w14:textId="77777777" w:rsidR="007E4BAC" w:rsidRPr="00244121" w:rsidRDefault="007E4BAC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  <w:p w14:paraId="289CD49C" w14:textId="77777777" w:rsidR="007E4BAC" w:rsidRPr="00244121" w:rsidRDefault="007E4BAC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  <w:p w14:paraId="2CF9B6E1" w14:textId="77777777" w:rsidR="007E4BAC" w:rsidRPr="00244121" w:rsidRDefault="007E4BAC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  <w:p w14:paraId="02D2E924" w14:textId="664B0F16" w:rsidR="00D92CE4" w:rsidRPr="00244121" w:rsidRDefault="00244121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Савез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јединица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локалне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самоуправе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Републике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Сјеверне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Македоније</w:t>
            </w:r>
            <w:r w:rsidR="005B0549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</w:p>
          <w:p w14:paraId="7046C665" w14:textId="77777777" w:rsidR="00D92CE4" w:rsidRPr="00244121" w:rsidRDefault="00D92CE4" w:rsidP="000A2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</w:p>
        </w:tc>
      </w:tr>
      <w:tr w:rsidR="005B0549" w:rsidRPr="00244121" w14:paraId="74989AFD" w14:textId="77777777" w:rsidTr="0043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70AD47" w:themeColor="accent6"/>
            </w:tcBorders>
            <w:shd w:val="clear" w:color="auto" w:fill="auto"/>
          </w:tcPr>
          <w:p w14:paraId="3EB81D8B" w14:textId="77777777" w:rsidR="00D92CE4" w:rsidRPr="00244121" w:rsidRDefault="00D92CE4" w:rsidP="000A27ED">
            <w:pPr>
              <w:rPr>
                <w:noProof/>
                <w:lang w:val="sr-Cyrl-CS"/>
              </w:rPr>
            </w:pPr>
            <w:r w:rsidRPr="00244121">
              <w:rPr>
                <w:rFonts w:ascii="Calibri Light" w:eastAsia="Times New Roman" w:hAnsi="Calibri Light" w:cs="Calibri Light"/>
                <w:noProof/>
                <w:color w:val="000000"/>
                <w:sz w:val="24"/>
                <w:szCs w:val="24"/>
                <w:lang w:val="sr-Cyrl-CS"/>
              </w:rPr>
              <w:drawing>
                <wp:inline distT="0" distB="0" distL="0" distR="0" wp14:anchorId="15366D43" wp14:editId="640A644D">
                  <wp:extent cx="335472" cy="375274"/>
                  <wp:effectExtent l="0" t="0" r="762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4" cy="380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left w:val="single" w:sz="4" w:space="0" w:color="70AD47" w:themeColor="accent6"/>
            </w:tcBorders>
            <w:shd w:val="clear" w:color="auto" w:fill="auto"/>
          </w:tcPr>
          <w:p w14:paraId="38522F78" w14:textId="79218C5F" w:rsidR="00D92CE4" w:rsidRPr="00244121" w:rsidRDefault="00244121" w:rsidP="00133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Инклузивно</w:t>
            </w:r>
            <w:r w:rsidR="00133B62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управљање</w:t>
            </w:r>
            <w:r w:rsidR="00133B62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ризиком</w:t>
            </w:r>
            <w:r w:rsidR="00133B62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од</w:t>
            </w:r>
            <w:r w:rsidR="00133B62" w:rsidRPr="00244121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катастрофа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општине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да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благовремено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одговоре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на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катастрофе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заштите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угрожене</w:t>
            </w:r>
            <w:r w:rsidR="00133B62" w:rsidRPr="00244121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групе</w:t>
            </w:r>
          </w:p>
        </w:tc>
        <w:tc>
          <w:tcPr>
            <w:tcW w:w="2268" w:type="dxa"/>
            <w:shd w:val="clear" w:color="auto" w:fill="auto"/>
          </w:tcPr>
          <w:p w14:paraId="43F3DD7E" w14:textId="77777777" w:rsidR="00D92CE4" w:rsidRPr="00244121" w:rsidRDefault="00D92CE4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sr-Cyrl-CS"/>
              </w:rPr>
            </w:pPr>
            <w:r w:rsidRPr="00244121">
              <w:rPr>
                <w:noProof/>
                <w:lang w:val="sr-Cyrl-CS"/>
              </w:rPr>
              <w:drawing>
                <wp:inline distT="0" distB="0" distL="0" distR="0" wp14:anchorId="7DB6CA51" wp14:editId="687C784A">
                  <wp:extent cx="206207" cy="406987"/>
                  <wp:effectExtent l="0" t="0" r="3810" b="0"/>
                  <wp:docPr id="22" name="Picture 22" descr="Standing Conference of Towns and Municipal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anding Conference of Towns and Municipal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1" cy="427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dxa"/>
            <w:shd w:val="clear" w:color="auto" w:fill="auto"/>
          </w:tcPr>
          <w:p w14:paraId="7D850EE0" w14:textId="728A1B30" w:rsidR="00D92CE4" w:rsidRPr="00244121" w:rsidRDefault="00244121" w:rsidP="000A27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sr-Cyrl-CS"/>
              </w:rPr>
            </w:pPr>
            <w:r>
              <w:rPr>
                <w:noProof/>
                <w:sz w:val="18"/>
                <w:szCs w:val="18"/>
                <w:lang w:val="sr-Cyrl-CS"/>
              </w:rPr>
              <w:t>Стална</w:t>
            </w:r>
            <w:r w:rsidR="00133B62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конференција</w:t>
            </w:r>
            <w:r w:rsidR="00133B62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градова</w:t>
            </w:r>
            <w:r w:rsidR="00133B62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И</w:t>
            </w:r>
            <w:r w:rsidR="00133B62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општина</w:t>
            </w:r>
            <w:r w:rsidR="00133B62" w:rsidRPr="00244121">
              <w:rPr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noProof/>
                <w:sz w:val="18"/>
                <w:szCs w:val="18"/>
                <w:lang w:val="sr-Cyrl-CS"/>
              </w:rPr>
              <w:t>Србије</w:t>
            </w:r>
          </w:p>
        </w:tc>
      </w:tr>
      <w:bookmarkEnd w:id="0"/>
    </w:tbl>
    <w:p w14:paraId="3C64FF12" w14:textId="3BBF1A26" w:rsidR="00D92CE4" w:rsidRPr="00244121" w:rsidRDefault="00D92CE4" w:rsidP="00D92CE4">
      <w:pPr>
        <w:jc w:val="both"/>
        <w:rPr>
          <w:rFonts w:eastAsia="Times New Roman"/>
          <w:noProof/>
          <w:lang w:val="sr-Cyrl-CS"/>
        </w:rPr>
      </w:pPr>
    </w:p>
    <w:p w14:paraId="57F10B3B" w14:textId="1272940A" w:rsidR="008A79A8" w:rsidRPr="00244121" w:rsidRDefault="00244121" w:rsidP="00A115E9">
      <w:pPr>
        <w:rPr>
          <w:noProof/>
          <w:lang w:val="sr-Cyrl-CS"/>
        </w:rPr>
      </w:pPr>
      <w:r>
        <w:rPr>
          <w:noProof/>
          <w:lang w:val="sr-Cyrl-CS"/>
        </w:rPr>
        <w:t>Најмање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сваке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укључених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пројектних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економија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</w:t>
      </w:r>
      <w:r w:rsidR="00A115E9" w:rsidRPr="00244121">
        <w:rPr>
          <w:noProof/>
          <w:lang w:val="sr-Cyrl-CS"/>
        </w:rPr>
        <w:t xml:space="preserve"> </w:t>
      </w:r>
      <w:r w:rsidR="003F4722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учествовати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регионалним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кластерима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</w:t>
      </w:r>
      <w:r w:rsidR="004D7312">
        <w:rPr>
          <w:noProof/>
          <w:lang w:val="sr-Cyrl-CS"/>
        </w:rPr>
        <w:t>ћ</w:t>
      </w:r>
      <w:r>
        <w:rPr>
          <w:noProof/>
          <w:lang w:val="sr-Cyrl-CS"/>
        </w:rPr>
        <w:t>им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друштвеним</w:t>
      </w:r>
      <w:r w:rsidR="00A115E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приступима</w:t>
      </w:r>
      <w:r w:rsidR="00A115E9" w:rsidRPr="00244121">
        <w:rPr>
          <w:noProof/>
          <w:lang w:val="sr-Cyrl-CS"/>
        </w:rPr>
        <w:t>.</w:t>
      </w:r>
    </w:p>
    <w:p w14:paraId="00BECEDF" w14:textId="0040AB81" w:rsidR="006743C5" w:rsidRPr="00244121" w:rsidRDefault="00244121" w:rsidP="00D92CE4">
      <w:pPr>
        <w:jc w:val="both"/>
        <w:rPr>
          <w:rFonts w:eastAsia="Times New Roman"/>
          <w:b/>
          <w:bCs/>
          <w:noProof/>
          <w:u w:val="single"/>
          <w:lang w:val="sr-Cyrl-CS"/>
        </w:rPr>
      </w:pPr>
      <w:r>
        <w:rPr>
          <w:rFonts w:eastAsia="Times New Roman"/>
          <w:b/>
          <w:bCs/>
          <w:noProof/>
          <w:u w:val="single"/>
          <w:lang w:val="sr-Cyrl-CS"/>
        </w:rPr>
        <w:t>Информације</w:t>
      </w:r>
      <w:r w:rsidR="00A11F53" w:rsidRPr="00244121">
        <w:rPr>
          <w:rFonts w:eastAsia="Times New Roman"/>
          <w:b/>
          <w:bCs/>
          <w:noProof/>
          <w:u w:val="single"/>
          <w:lang w:val="sr-Cyrl-CS"/>
        </w:rPr>
        <w:t xml:space="preserve"> </w:t>
      </w:r>
      <w:r>
        <w:rPr>
          <w:rFonts w:eastAsia="Times New Roman"/>
          <w:b/>
          <w:bCs/>
          <w:noProof/>
          <w:u w:val="single"/>
          <w:lang w:val="sr-Cyrl-CS"/>
        </w:rPr>
        <w:t>о</w:t>
      </w:r>
      <w:r w:rsidR="00A11F53" w:rsidRPr="00244121">
        <w:rPr>
          <w:rFonts w:eastAsia="Times New Roman"/>
          <w:b/>
          <w:bCs/>
          <w:noProof/>
          <w:u w:val="single"/>
          <w:lang w:val="sr-Cyrl-CS"/>
        </w:rPr>
        <w:t xml:space="preserve"> </w:t>
      </w:r>
      <w:r>
        <w:rPr>
          <w:rFonts w:eastAsia="Times New Roman"/>
          <w:b/>
          <w:bCs/>
          <w:noProof/>
          <w:u w:val="single"/>
          <w:lang w:val="sr-Cyrl-CS"/>
        </w:rPr>
        <w:t>Кластеру</w:t>
      </w:r>
      <w:r w:rsidR="00A11F53" w:rsidRPr="00244121">
        <w:rPr>
          <w:rFonts w:eastAsia="Times New Roman"/>
          <w:b/>
          <w:bCs/>
          <w:noProof/>
          <w:u w:val="single"/>
          <w:lang w:val="sr-Cyrl-CS"/>
        </w:rPr>
        <w:t xml:space="preserve"> </w:t>
      </w:r>
      <w:r>
        <w:rPr>
          <w:rFonts w:eastAsia="Times New Roman"/>
          <w:b/>
          <w:bCs/>
          <w:noProof/>
          <w:u w:val="single"/>
          <w:lang w:val="sr-Cyrl-CS"/>
        </w:rPr>
        <w:t>учења</w:t>
      </w:r>
      <w:r w:rsidR="00A11F53" w:rsidRPr="00244121">
        <w:rPr>
          <w:rFonts w:eastAsia="Times New Roman"/>
          <w:b/>
          <w:bCs/>
          <w:noProof/>
          <w:u w:val="single"/>
          <w:lang w:val="sr-Cyrl-CS"/>
        </w:rPr>
        <w:t xml:space="preserve"> </w:t>
      </w:r>
    </w:p>
    <w:p w14:paraId="3ADECD13" w14:textId="2DA08E18" w:rsidR="00DE2D78" w:rsidRPr="00244121" w:rsidRDefault="00244121" w:rsidP="00A11F53">
      <w:pPr>
        <w:jc w:val="both"/>
        <w:rPr>
          <w:noProof/>
          <w:lang w:val="sr-Cyrl-CS"/>
        </w:rPr>
      </w:pPr>
      <w:r>
        <w:rPr>
          <w:noProof/>
          <w:lang w:val="sr-Cyrl-CS"/>
        </w:rPr>
        <w:t>Кластер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метод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састоји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представника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заинтересованих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Западног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Балкана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примене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одговарајуц</w:t>
      </w:r>
      <w:r w:rsidR="00A11F53" w:rsidRPr="00244121">
        <w:rPr>
          <w:noProof/>
          <w:lang w:val="sr-Cyrl-CS"/>
        </w:rPr>
        <w:t>́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</w:t>
      </w:r>
      <w:r w:rsidR="00A11F53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удружења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власти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ресурсе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ве</w:t>
      </w:r>
      <w:r w:rsidR="004D7312">
        <w:rPr>
          <w:noProof/>
          <w:lang w:val="sr-Cyrl-CS"/>
        </w:rPr>
        <w:t>ћ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применили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успешну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праксу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друштвених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A11F53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Сваки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формат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капацитета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међусобну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размјену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састоји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три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размјене</w:t>
      </w:r>
      <w:r w:rsidR="00A11F53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РЕЕ</w:t>
      </w:r>
      <w:r w:rsidR="00A11F53" w:rsidRPr="00244121">
        <w:rPr>
          <w:noProof/>
          <w:lang w:val="sr-Cyrl-CS"/>
        </w:rPr>
        <w:t xml:space="preserve">), </w:t>
      </w:r>
      <w:r>
        <w:rPr>
          <w:noProof/>
          <w:lang w:val="sr-Cyrl-CS"/>
        </w:rPr>
        <w:t>периода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концептуализације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примјене</w:t>
      </w:r>
      <w:r w:rsidR="00A11F53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Први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размене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биц</w:t>
      </w:r>
      <w:r w:rsidR="00A11F53" w:rsidRPr="00244121">
        <w:rPr>
          <w:noProof/>
          <w:lang w:val="sr-Cyrl-CS"/>
        </w:rPr>
        <w:t>́</w:t>
      </w:r>
      <w:r>
        <w:rPr>
          <w:noProof/>
          <w:lang w:val="sr-Cyrl-CS"/>
        </w:rPr>
        <w:t>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организовани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испоручени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он</w:t>
      </w:r>
      <w:r w:rsidR="00A11F53" w:rsidRPr="00244121">
        <w:rPr>
          <w:noProof/>
          <w:lang w:val="sr-Cyrl-CS"/>
        </w:rPr>
        <w:t>-</w:t>
      </w:r>
      <w:r>
        <w:rPr>
          <w:noProof/>
          <w:lang w:val="sr-Cyrl-CS"/>
        </w:rPr>
        <w:t>лине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формату</w:t>
      </w:r>
      <w:r w:rsidR="00A11F53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док</w:t>
      </w:r>
      <w:r w:rsidR="00A11F53" w:rsidRPr="00244121">
        <w:rPr>
          <w:noProof/>
          <w:lang w:val="sr-Cyrl-CS"/>
        </w:rPr>
        <w:t xml:space="preserve"> </w:t>
      </w:r>
      <w:r w:rsidR="004D7312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тре</w:t>
      </w:r>
      <w:r w:rsidR="004D7312">
        <w:rPr>
          <w:noProof/>
          <w:lang w:val="sr-Cyrl-CS"/>
        </w:rPr>
        <w:t>ћ</w:t>
      </w:r>
      <w:r>
        <w:rPr>
          <w:noProof/>
          <w:lang w:val="sr-Cyrl-CS"/>
        </w:rPr>
        <w:t>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организован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формату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лицем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регионалном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A11F53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мају</w:t>
      </w:r>
      <w:r w:rsidR="00A11F53" w:rsidRPr="00244121">
        <w:rPr>
          <w:noProof/>
          <w:lang w:val="sr-Cyrl-CS"/>
        </w:rPr>
        <w:t xml:space="preserve"> 2022.</w:t>
      </w:r>
      <w:r w:rsidR="00DE2D78" w:rsidRPr="00244121">
        <w:rPr>
          <w:noProof/>
          <w:lang w:val="sr-Cyrl-CS"/>
        </w:rPr>
        <w:drawing>
          <wp:inline distT="0" distB="0" distL="0" distR="0" wp14:anchorId="6DADA866" wp14:editId="3A224DF6">
            <wp:extent cx="5733415" cy="915231"/>
            <wp:effectExtent l="19050" t="0" r="3873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264CB04" w14:textId="31A2013F" w:rsidR="00012C72" w:rsidRPr="00244121" w:rsidRDefault="00244121" w:rsidP="00012C72">
      <w:pPr>
        <w:jc w:val="both"/>
        <w:rPr>
          <w:noProof/>
          <w:lang w:val="sr-Cyrl-CS"/>
        </w:rPr>
      </w:pPr>
      <w:r>
        <w:rPr>
          <w:noProof/>
          <w:lang w:val="sr-Cyrl-CS"/>
        </w:rPr>
        <w:t>Први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онлине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циљ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покретање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усмјеравање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12C72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размјену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добрих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пракси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искустава</w:t>
      </w:r>
      <w:r w:rsidR="00012C72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пружање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доприноса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увођење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приједлога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акционог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плана</w:t>
      </w:r>
      <w:r w:rsidR="00012C72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Други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онлине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циљ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осигурати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размјену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развијених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концепата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012C72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презентацију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концепата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управа</w:t>
      </w:r>
      <w:r w:rsidR="00012C72" w:rsidRPr="00244121">
        <w:rPr>
          <w:noProof/>
          <w:lang w:val="sr-Cyrl-CS"/>
        </w:rPr>
        <w:t xml:space="preserve">)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пружање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повратних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12C72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Тре</w:t>
      </w:r>
      <w:r w:rsidR="00A0161D">
        <w:rPr>
          <w:noProof/>
          <w:lang w:val="sr-Cyrl-CS"/>
        </w:rPr>
        <w:t>ћ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</w:t>
      </w:r>
      <w:r w:rsidR="00012C72" w:rsidRPr="00244121">
        <w:rPr>
          <w:noProof/>
          <w:lang w:val="sr-Cyrl-CS"/>
        </w:rPr>
        <w:t>́</w:t>
      </w:r>
      <w:r>
        <w:rPr>
          <w:noProof/>
          <w:lang w:val="sr-Cyrl-CS"/>
        </w:rPr>
        <w:t>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организован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формату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лицем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регионалном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центру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где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ц</w:t>
      </w:r>
      <w:r w:rsidR="00012C72" w:rsidRPr="00244121">
        <w:rPr>
          <w:noProof/>
          <w:lang w:val="sr-Cyrl-CS"/>
        </w:rPr>
        <w:t>́</w:t>
      </w:r>
      <w:r>
        <w:rPr>
          <w:noProof/>
          <w:lang w:val="sr-Cyrl-CS"/>
        </w:rPr>
        <w:t>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позвани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учествују</w:t>
      </w:r>
      <w:r w:rsidR="00012C72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Планирано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пет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састану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користец</w:t>
      </w:r>
      <w:r w:rsidR="00012C72" w:rsidRPr="00244121">
        <w:rPr>
          <w:noProof/>
          <w:lang w:val="sr-Cyrl-CS"/>
        </w:rPr>
        <w:t>́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богато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искуство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примене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успјешних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</w:p>
    <w:p w14:paraId="3BDD91E7" w14:textId="3CBECDEE" w:rsidR="00DE2D78" w:rsidRPr="00244121" w:rsidRDefault="00DE2D78" w:rsidP="00DE2D78">
      <w:pPr>
        <w:rPr>
          <w:noProof/>
          <w:lang w:val="sr-Cyrl-CS"/>
        </w:rPr>
      </w:pPr>
    </w:p>
    <w:p w14:paraId="6C026872" w14:textId="4DEC4363" w:rsidR="00012C72" w:rsidRPr="00244121" w:rsidRDefault="00244121" w:rsidP="00DE2D78">
      <w:pPr>
        <w:rPr>
          <w:noProof/>
          <w:lang w:val="sr-Cyrl-CS"/>
        </w:rPr>
      </w:pPr>
      <w:r>
        <w:rPr>
          <w:b/>
          <w:bCs/>
          <w:noProof/>
          <w:lang w:val="sr-Cyrl-CS"/>
        </w:rPr>
        <w:t>Период</w:t>
      </w:r>
      <w:r w:rsidR="00DE2D78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Концептуализације</w:t>
      </w:r>
      <w:r w:rsidR="00DE2D78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између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DE2D78" w:rsidRPr="00244121">
        <w:rPr>
          <w:noProof/>
          <w:lang w:val="sr-Cyrl-CS"/>
        </w:rPr>
        <w:t xml:space="preserve">) </w:t>
      </w:r>
      <w:r>
        <w:rPr>
          <w:noProof/>
          <w:lang w:val="sr-Cyrl-CS"/>
        </w:rPr>
        <w:t>дозвољава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локалним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управама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члановима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будућу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Друштевног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012C72" w:rsidRPr="00244121">
        <w:rPr>
          <w:noProof/>
          <w:lang w:val="sr-Cyrl-CS"/>
        </w:rPr>
        <w:t xml:space="preserve">. </w:t>
      </w:r>
    </w:p>
    <w:p w14:paraId="1C15F149" w14:textId="7D356E6F" w:rsidR="00DE2D78" w:rsidRPr="00244121" w:rsidRDefault="00244121" w:rsidP="00DE2D78">
      <w:pPr>
        <w:rPr>
          <w:noProof/>
          <w:lang w:val="sr-Cyrl-CS"/>
        </w:rPr>
      </w:pPr>
      <w:r>
        <w:rPr>
          <w:b/>
          <w:bCs/>
          <w:noProof/>
          <w:lang w:val="sr-Cyrl-CS"/>
        </w:rPr>
        <w:t>Период</w:t>
      </w:r>
      <w:r w:rsidR="00012C72" w:rsidRPr="00244121">
        <w:rPr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примјене</w:t>
      </w:r>
      <w:r w:rsidR="00012C72" w:rsidRPr="00244121">
        <w:rPr>
          <w:noProof/>
          <w:lang w:val="sr-Cyrl-CS"/>
        </w:rPr>
        <w:t xml:space="preserve"> </w:t>
      </w:r>
      <w:r w:rsidR="00DE2D78" w:rsidRPr="00244121">
        <w:rPr>
          <w:noProof/>
          <w:lang w:val="sr-Cyrl-CS"/>
        </w:rPr>
        <w:t>(</w:t>
      </w:r>
      <w:r>
        <w:rPr>
          <w:noProof/>
          <w:lang w:val="sr-Cyrl-CS"/>
        </w:rPr>
        <w:t>између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трећег</w:t>
      </w:r>
      <w:r w:rsidR="00012C7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DE2D78" w:rsidRPr="00244121">
        <w:rPr>
          <w:noProof/>
          <w:lang w:val="sr-Cyrl-CS"/>
        </w:rPr>
        <w:t xml:space="preserve">) </w:t>
      </w:r>
      <w:r>
        <w:rPr>
          <w:noProof/>
          <w:lang w:val="sr-Cyrl-CS"/>
        </w:rPr>
        <w:t>је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фаза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чланови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почињу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примјену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друштвеног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својој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општини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базирано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развијеном</w:t>
      </w:r>
      <w:r w:rsidR="007E215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концепту</w:t>
      </w:r>
      <w:r w:rsidR="007E215A" w:rsidRPr="00244121">
        <w:rPr>
          <w:noProof/>
          <w:lang w:val="sr-Cyrl-CS"/>
        </w:rPr>
        <w:t xml:space="preserve">. </w:t>
      </w:r>
    </w:p>
    <w:p w14:paraId="18771B65" w14:textId="0755BD5B" w:rsidR="00052912" w:rsidRPr="00244121" w:rsidRDefault="00436DC5" w:rsidP="00436DC5">
      <w:pPr>
        <w:ind w:left="720" w:hanging="720"/>
        <w:rPr>
          <w:i/>
          <w:iCs/>
          <w:noProof/>
          <w:lang w:val="sr-Cyrl-CS"/>
        </w:rPr>
      </w:pPr>
      <w:r w:rsidRPr="00244121">
        <w:rPr>
          <w:b/>
          <w:bCs/>
          <w:i/>
          <w:iCs/>
          <w:noProof/>
          <w:lang w:val="sr-Cyrl-CS"/>
        </w:rPr>
        <w:t xml:space="preserve">  </w:t>
      </w:r>
      <w:r w:rsidR="00244121">
        <w:rPr>
          <w:b/>
          <w:bCs/>
          <w:i/>
          <w:iCs/>
          <w:noProof/>
          <w:lang w:val="sr-Cyrl-CS"/>
        </w:rPr>
        <w:t>Напомена</w:t>
      </w:r>
      <w:r w:rsidR="00052912" w:rsidRPr="00244121">
        <w:rPr>
          <w:b/>
          <w:bCs/>
          <w:i/>
          <w:iCs/>
          <w:noProof/>
          <w:lang w:val="sr-Cyrl-CS"/>
        </w:rPr>
        <w:t xml:space="preserve">: </w:t>
      </w:r>
      <w:r w:rsidRPr="00244121">
        <w:rPr>
          <w:b/>
          <w:bCs/>
          <w:i/>
          <w:iCs/>
          <w:noProof/>
          <w:lang w:val="sr-Cyrl-CS"/>
        </w:rPr>
        <w:tab/>
      </w:r>
      <w:r w:rsidR="00244121">
        <w:rPr>
          <w:b/>
          <w:bCs/>
          <w:noProof/>
          <w:lang w:val="sr-Cyrl-CS"/>
        </w:rPr>
        <w:t>Кластер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за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учење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о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моделима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укључивања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мањина</w:t>
      </w:r>
      <w:r w:rsidR="002457AD" w:rsidRPr="00244121">
        <w:rPr>
          <w:noProof/>
          <w:lang w:val="sr-Cyrl-CS"/>
        </w:rPr>
        <w:t xml:space="preserve"> (</w:t>
      </w:r>
      <w:r w:rsidR="00244121">
        <w:rPr>
          <w:noProof/>
          <w:lang w:val="sr-Cyrl-CS"/>
        </w:rPr>
        <w:t>Форум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социјални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дијалог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Комесар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мањине</w:t>
      </w:r>
      <w:r w:rsidR="002457AD" w:rsidRPr="00244121">
        <w:rPr>
          <w:noProof/>
          <w:lang w:val="sr-Cyrl-CS"/>
        </w:rPr>
        <w:t xml:space="preserve">) </w:t>
      </w:r>
      <w:r w:rsidR="00244121">
        <w:rPr>
          <w:noProof/>
          <w:lang w:val="sr-Cyrl-CS"/>
        </w:rPr>
        <w:t>чији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је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домац</w:t>
      </w:r>
      <w:r w:rsidR="002457AD" w:rsidRPr="00244121">
        <w:rPr>
          <w:noProof/>
          <w:lang w:val="sr-Cyrl-CS"/>
        </w:rPr>
        <w:t>́</w:t>
      </w:r>
      <w:r w:rsidR="00244121">
        <w:rPr>
          <w:noProof/>
          <w:lang w:val="sr-Cyrl-CS"/>
        </w:rPr>
        <w:t>ин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ЗЕЛС</w:t>
      </w:r>
      <w:r w:rsidR="002457AD" w:rsidRPr="00244121">
        <w:rPr>
          <w:noProof/>
          <w:lang w:val="sr-Cyrl-CS"/>
        </w:rPr>
        <w:t xml:space="preserve">, </w:t>
      </w:r>
      <w:r w:rsidR="00244121">
        <w:rPr>
          <w:b/>
          <w:bCs/>
          <w:noProof/>
          <w:lang w:val="sr-Cyrl-CS"/>
        </w:rPr>
        <w:t>заједнички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A0161D">
        <w:rPr>
          <w:b/>
          <w:bCs/>
          <w:noProof/>
          <w:lang w:val="sr-Cyrl-CS"/>
        </w:rPr>
        <w:t>ћ</w:t>
      </w:r>
      <w:r w:rsidR="00244121">
        <w:rPr>
          <w:b/>
          <w:bCs/>
          <w:noProof/>
          <w:lang w:val="sr-Cyrl-CS"/>
        </w:rPr>
        <w:t>е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се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имплементирати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током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првог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и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другог</w:t>
      </w:r>
      <w:r w:rsidR="002457AD" w:rsidRPr="00244121">
        <w:rPr>
          <w:b/>
          <w:bCs/>
          <w:noProof/>
          <w:lang w:val="sr-Cyrl-CS"/>
        </w:rPr>
        <w:t xml:space="preserve"> </w:t>
      </w:r>
      <w:r w:rsidR="00244121">
        <w:rPr>
          <w:b/>
          <w:bCs/>
          <w:noProof/>
          <w:lang w:val="sr-Cyrl-CS"/>
        </w:rPr>
        <w:t>догађаја</w:t>
      </w:r>
      <w:r w:rsidR="002457AD" w:rsidRPr="00244121">
        <w:rPr>
          <w:noProof/>
          <w:lang w:val="sr-Cyrl-CS"/>
        </w:rPr>
        <w:t xml:space="preserve">, </w:t>
      </w:r>
      <w:r w:rsidR="00244121">
        <w:rPr>
          <w:noProof/>
          <w:lang w:val="sr-Cyrl-CS"/>
        </w:rPr>
        <w:t>док</w:t>
      </w:r>
      <w:r w:rsidR="002457AD" w:rsidRPr="00244121">
        <w:rPr>
          <w:noProof/>
          <w:lang w:val="sr-Cyrl-CS"/>
        </w:rPr>
        <w:t xml:space="preserve"> </w:t>
      </w:r>
      <w:r w:rsidR="00A0161D">
        <w:rPr>
          <w:noProof/>
          <w:lang w:val="sr-Cyrl-CS"/>
        </w:rPr>
        <w:t>ће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чланови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током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периода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концептуализације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подијелити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радити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својој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тематској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подгрупи</w:t>
      </w:r>
      <w:r w:rsidR="002457AD" w:rsidRPr="00244121">
        <w:rPr>
          <w:noProof/>
          <w:lang w:val="sr-Cyrl-CS"/>
        </w:rPr>
        <w:t xml:space="preserve">. </w:t>
      </w:r>
      <w:r w:rsidR="00244121">
        <w:rPr>
          <w:noProof/>
          <w:lang w:val="sr-Cyrl-CS"/>
        </w:rPr>
        <w:t>Пре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другог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онлине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догађаја</w:t>
      </w:r>
      <w:r w:rsidR="002457AD" w:rsidRPr="00244121">
        <w:rPr>
          <w:noProof/>
          <w:lang w:val="sr-Cyrl-CS"/>
        </w:rPr>
        <w:t xml:space="preserve">, </w:t>
      </w:r>
      <w:r w:rsidR="00244121">
        <w:rPr>
          <w:noProof/>
          <w:lang w:val="sr-Cyrl-CS"/>
        </w:rPr>
        <w:t>за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чланове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овог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заједничког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кластера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би</w:t>
      </w:r>
      <w:r w:rsidR="00A0161D">
        <w:rPr>
          <w:noProof/>
          <w:lang w:val="sr-Cyrl-CS"/>
        </w:rPr>
        <w:t>ћ</w:t>
      </w:r>
      <w:r w:rsidR="00244121">
        <w:rPr>
          <w:noProof/>
          <w:lang w:val="sr-Cyrl-CS"/>
        </w:rPr>
        <w:t>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организовано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виртуелно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студијско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путовање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релевантним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институцијама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из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савезне</w:t>
      </w:r>
      <w:r w:rsidR="002457AD"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државе</w:t>
      </w:r>
      <w:r w:rsidR="002457AD" w:rsidRPr="00244121">
        <w:rPr>
          <w:noProof/>
          <w:lang w:val="sr-Cyrl-CS"/>
        </w:rPr>
        <w:t xml:space="preserve"> </w:t>
      </w:r>
      <w:r w:rsidR="00A0161D">
        <w:rPr>
          <w:noProof/>
          <w:lang w:val="hr-HR"/>
        </w:rPr>
        <w:t>Schlesvig Holstein</w:t>
      </w:r>
      <w:r w:rsidR="002457AD" w:rsidRPr="00244121">
        <w:rPr>
          <w:noProof/>
          <w:lang w:val="sr-Cyrl-CS"/>
        </w:rPr>
        <w:t>.</w:t>
      </w:r>
    </w:p>
    <w:p w14:paraId="30F945FB" w14:textId="53C412A0" w:rsidR="006743C5" w:rsidRPr="00244121" w:rsidRDefault="00244121" w:rsidP="00DE2D78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>Догађаји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организовани</w:t>
      </w:r>
      <w:r w:rsidR="00611CC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611CC2" w:rsidRPr="00244121">
        <w:rPr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енглеском</w:t>
      </w:r>
      <w:r w:rsidR="00611CC2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језику</w:t>
      </w:r>
      <w:r w:rsidR="00611CC2" w:rsidRPr="00244121">
        <w:rPr>
          <w:b/>
          <w:bCs/>
          <w:noProof/>
          <w:lang w:val="sr-Cyrl-CS"/>
        </w:rPr>
        <w:t xml:space="preserve">. </w:t>
      </w:r>
    </w:p>
    <w:p w14:paraId="55023DAE" w14:textId="1959997B" w:rsidR="006743C5" w:rsidRPr="00244121" w:rsidRDefault="00244121" w:rsidP="00DE2D78">
      <w:pPr>
        <w:rPr>
          <w:noProof/>
          <w:lang w:val="sr-Cyrl-CS"/>
        </w:rPr>
      </w:pPr>
      <w:r>
        <w:rPr>
          <w:noProof/>
          <w:lang w:val="sr-Cyrl-CS"/>
        </w:rPr>
        <w:t>Током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читавог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учења</w:t>
      </w:r>
      <w:r w:rsidR="000D106A" w:rsidRPr="00244121">
        <w:rPr>
          <w:noProof/>
          <w:lang w:val="sr-Cyrl-CS"/>
        </w:rPr>
        <w:t xml:space="preserve">, </w:t>
      </w:r>
      <w:r w:rsidR="006743C5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локалним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самоуправама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ће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бити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пружена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стручна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подршка</w:t>
      </w:r>
      <w:r w:rsidR="000D106A" w:rsidRPr="00244121">
        <w:rPr>
          <w:b/>
          <w:bCs/>
          <w:noProof/>
          <w:lang w:val="sr-Cyrl-CS"/>
        </w:rPr>
        <w:t xml:space="preserve"> </w:t>
      </w:r>
      <w:r w:rsidR="00F5257D">
        <w:rPr>
          <w:b/>
          <w:bCs/>
          <w:noProof/>
          <w:lang w:val="sr-Cyrl-CS"/>
        </w:rPr>
        <w:t xml:space="preserve">и </w:t>
      </w:r>
      <w:r>
        <w:rPr>
          <w:b/>
          <w:bCs/>
          <w:noProof/>
          <w:lang w:val="sr-Cyrl-CS"/>
        </w:rPr>
        <w:t>помоћ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од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Ресурсних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особа</w:t>
      </w:r>
      <w:r w:rsidR="008A79A8" w:rsidRPr="00244121">
        <w:rPr>
          <w:b/>
          <w:bCs/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развоју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концепта</w:t>
      </w:r>
      <w:r w:rsidR="000D106A" w:rsidRPr="00244121">
        <w:rPr>
          <w:noProof/>
          <w:lang w:val="sr-Cyrl-CS"/>
        </w:rPr>
        <w:t xml:space="preserve"> </w:t>
      </w:r>
      <w:r w:rsidR="00F5257D">
        <w:rPr>
          <w:noProof/>
          <w:lang w:val="sr-Cyrl-CS"/>
        </w:rPr>
        <w:t>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примјене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друштевног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0D106A" w:rsidRPr="00244121">
        <w:rPr>
          <w:noProof/>
          <w:lang w:val="sr-Cyrl-CS"/>
        </w:rPr>
        <w:t xml:space="preserve">. </w:t>
      </w:r>
    </w:p>
    <w:p w14:paraId="6B9F04D0" w14:textId="1A0F99C9" w:rsidR="000D106A" w:rsidRPr="00244121" w:rsidRDefault="00244121" w:rsidP="000D106A">
      <w:pPr>
        <w:jc w:val="both"/>
        <w:rPr>
          <w:b/>
          <w:bCs/>
          <w:noProof/>
          <w:lang w:val="sr-Cyrl-CS"/>
        </w:rPr>
      </w:pPr>
      <w:r>
        <w:rPr>
          <w:noProof/>
          <w:lang w:val="sr-Cyrl-CS"/>
        </w:rPr>
        <w:t>Пет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D106A" w:rsidRPr="00244121">
        <w:rPr>
          <w:noProof/>
          <w:lang w:val="sr-Cyrl-CS"/>
        </w:rPr>
        <w:t xml:space="preserve"> </w:t>
      </w:r>
      <w:r w:rsidR="00F5257D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успостављено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спроведено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узастопним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редоследом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неким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паралелним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преклапају</w:t>
      </w:r>
      <w:r w:rsidR="00F5257D">
        <w:rPr>
          <w:noProof/>
          <w:lang w:val="sr-Cyrl-CS"/>
        </w:rPr>
        <w:t>ћ</w:t>
      </w:r>
      <w:r>
        <w:rPr>
          <w:noProof/>
          <w:lang w:val="sr-Cyrl-CS"/>
        </w:rPr>
        <w:t>им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активностима</w:t>
      </w:r>
      <w:r w:rsidR="000D106A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календаром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Анекса</w:t>
      </w:r>
      <w:r w:rsidR="000D106A" w:rsidRPr="00244121">
        <w:rPr>
          <w:noProof/>
          <w:lang w:val="sr-Cyrl-CS"/>
        </w:rPr>
        <w:t xml:space="preserve"> 1 </w:t>
      </w:r>
      <w:r>
        <w:rPr>
          <w:noProof/>
          <w:lang w:val="sr-Cyrl-CS"/>
        </w:rPr>
        <w:t>овог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позива</w:t>
      </w:r>
      <w:r w:rsidR="000D106A" w:rsidRPr="00244121">
        <w:rPr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у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периоду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од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септембра</w:t>
      </w:r>
      <w:r w:rsidR="000D106A" w:rsidRPr="00244121">
        <w:rPr>
          <w:b/>
          <w:bCs/>
          <w:noProof/>
          <w:lang w:val="sr-Cyrl-CS"/>
        </w:rPr>
        <w:t xml:space="preserve"> 2021. </w:t>
      </w:r>
      <w:r>
        <w:rPr>
          <w:b/>
          <w:bCs/>
          <w:noProof/>
          <w:lang w:val="sr-Cyrl-CS"/>
        </w:rPr>
        <w:t>до</w:t>
      </w:r>
      <w:r w:rsidR="000D106A" w:rsidRPr="00244121">
        <w:rPr>
          <w:b/>
          <w:bCs/>
          <w:noProof/>
          <w:lang w:val="sr-Cyrl-CS"/>
        </w:rPr>
        <w:t xml:space="preserve"> </w:t>
      </w:r>
      <w:r>
        <w:rPr>
          <w:b/>
          <w:bCs/>
          <w:noProof/>
          <w:lang w:val="sr-Cyrl-CS"/>
        </w:rPr>
        <w:t>маја</w:t>
      </w:r>
      <w:r w:rsidR="000D106A" w:rsidRPr="00244121">
        <w:rPr>
          <w:b/>
          <w:bCs/>
          <w:noProof/>
          <w:lang w:val="sr-Cyrl-CS"/>
        </w:rPr>
        <w:t xml:space="preserve"> 2022. </w:t>
      </w:r>
      <w:r>
        <w:rPr>
          <w:b/>
          <w:bCs/>
          <w:noProof/>
          <w:lang w:val="sr-Cyrl-CS"/>
        </w:rPr>
        <w:t>године</w:t>
      </w:r>
      <w:r w:rsidR="000D106A" w:rsidRPr="00244121">
        <w:rPr>
          <w:b/>
          <w:bCs/>
          <w:noProof/>
          <w:lang w:val="sr-Cyrl-CS"/>
        </w:rPr>
        <w:t>.</w:t>
      </w:r>
    </w:p>
    <w:p w14:paraId="3E52E32A" w14:textId="77777777" w:rsidR="009B6B9B" w:rsidRPr="00244121" w:rsidRDefault="009B6B9B" w:rsidP="00DE2D78">
      <w:pPr>
        <w:rPr>
          <w:noProof/>
          <w:lang w:val="sr-Cyrl-CS"/>
        </w:rPr>
      </w:pPr>
    </w:p>
    <w:p w14:paraId="70859CDA" w14:textId="066EDE17" w:rsidR="008A79A8" w:rsidRPr="00244121" w:rsidRDefault="00244121" w:rsidP="008A79A8">
      <w:pPr>
        <w:rPr>
          <w:b/>
          <w:bCs/>
          <w:noProof/>
          <w:u w:val="single"/>
          <w:lang w:val="sr-Cyrl-CS"/>
        </w:rPr>
      </w:pPr>
      <w:r>
        <w:rPr>
          <w:b/>
          <w:bCs/>
          <w:noProof/>
          <w:u w:val="single"/>
          <w:lang w:val="sr-Cyrl-CS"/>
        </w:rPr>
        <w:t>Корисности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за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локалне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самоуправе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због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учешћа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Кластеру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учења</w:t>
      </w:r>
      <w:r w:rsidR="000D106A" w:rsidRPr="00244121">
        <w:rPr>
          <w:b/>
          <w:bCs/>
          <w:noProof/>
          <w:u w:val="single"/>
          <w:lang w:val="sr-Cyrl-CS"/>
        </w:rPr>
        <w:t xml:space="preserve"> </w:t>
      </w:r>
    </w:p>
    <w:p w14:paraId="248E0640" w14:textId="690D9737" w:rsidR="000D106A" w:rsidRPr="00244121" w:rsidRDefault="00244121" w:rsidP="007F6A9D">
      <w:pPr>
        <w:jc w:val="both"/>
        <w:rPr>
          <w:noProof/>
          <w:lang w:val="sr-Cyrl-CS"/>
        </w:rPr>
      </w:pPr>
      <w:r>
        <w:rPr>
          <w:noProof/>
          <w:lang w:val="sr-Cyrl-CS"/>
        </w:rPr>
        <w:t>Као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0D106A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изабране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самоуправе</w:t>
      </w:r>
      <w:r w:rsidR="000D106A" w:rsidRPr="00244121">
        <w:rPr>
          <w:noProof/>
          <w:lang w:val="sr-Cyrl-CS"/>
        </w:rPr>
        <w:t xml:space="preserve"> </w:t>
      </w:r>
      <w:r w:rsidR="00F5257D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имати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прилику</w:t>
      </w:r>
      <w:r w:rsidR="000D106A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0D106A" w:rsidRPr="00244121">
        <w:rPr>
          <w:noProof/>
          <w:lang w:val="sr-Cyrl-CS"/>
        </w:rPr>
        <w:t xml:space="preserve">: </w:t>
      </w:r>
    </w:p>
    <w:p w14:paraId="4A9878F2" w14:textId="29F6981F" w:rsidR="000D106A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надограђују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знање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које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стекли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током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вебинара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е</w:t>
      </w:r>
      <w:r w:rsidRPr="00244121">
        <w:rPr>
          <w:noProof/>
          <w:lang w:val="sr-Cyrl-CS"/>
        </w:rPr>
        <w:t>-</w:t>
      </w:r>
      <w:r w:rsidR="00244121">
        <w:rPr>
          <w:noProof/>
          <w:lang w:val="sr-Cyrl-CS"/>
        </w:rPr>
        <w:t>курса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одговарајуц</w:t>
      </w:r>
      <w:r w:rsidRPr="00244121">
        <w:rPr>
          <w:noProof/>
          <w:lang w:val="sr-Cyrl-CS"/>
        </w:rPr>
        <w:t>́</w:t>
      </w:r>
      <w:r w:rsidR="00244121">
        <w:rPr>
          <w:noProof/>
          <w:lang w:val="sr-Cyrl-CS"/>
        </w:rPr>
        <w:t>ем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друштвеном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приступу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који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је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пружио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НАЛАС</w:t>
      </w:r>
      <w:r w:rsidRPr="00244121">
        <w:rPr>
          <w:noProof/>
          <w:lang w:val="sr-Cyrl-CS"/>
        </w:rPr>
        <w:t xml:space="preserve"> </w:t>
      </w:r>
    </w:p>
    <w:p w14:paraId="733860C7" w14:textId="70F0E189" w:rsidR="000D106A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учити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из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добрих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пракси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ресурсне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особе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погледу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примјене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једног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успјешног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друштвеног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приступа</w:t>
      </w:r>
      <w:r w:rsidRPr="00244121">
        <w:rPr>
          <w:noProof/>
          <w:lang w:val="sr-Cyrl-CS"/>
        </w:rPr>
        <w:t xml:space="preserve">. </w:t>
      </w:r>
    </w:p>
    <w:p w14:paraId="601365BE" w14:textId="2B5A6ED6" w:rsidR="000D106A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припреме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концепт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примјену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друштвеног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приступа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на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својој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територији</w:t>
      </w:r>
      <w:r w:rsidRPr="00244121">
        <w:rPr>
          <w:noProof/>
          <w:lang w:val="sr-Cyrl-CS"/>
        </w:rPr>
        <w:t xml:space="preserve">. </w:t>
      </w:r>
    </w:p>
    <w:p w14:paraId="36B50C22" w14:textId="40F64D91" w:rsidR="000D106A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тестирати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одговарајуц</w:t>
      </w:r>
      <w:r w:rsidRPr="00244121">
        <w:rPr>
          <w:noProof/>
          <w:lang w:val="sr-Cyrl-CS"/>
        </w:rPr>
        <w:t>́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друштвени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приступ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пружити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социјалне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услуге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угроженим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групама</w:t>
      </w:r>
      <w:r w:rsidRPr="00244121">
        <w:rPr>
          <w:noProof/>
          <w:lang w:val="sr-Cyrl-CS"/>
        </w:rPr>
        <w:t xml:space="preserve"> </w:t>
      </w:r>
    </w:p>
    <w:p w14:paraId="680FD548" w14:textId="548FA1BD" w:rsidR="000D106A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проактивно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размењују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искуства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својим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колегама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Западног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Балкана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сарађују</w:t>
      </w:r>
      <w:r w:rsidRPr="00244121">
        <w:rPr>
          <w:noProof/>
          <w:lang w:val="sr-Cyrl-CS"/>
        </w:rPr>
        <w:t xml:space="preserve">, </w:t>
      </w:r>
      <w:r w:rsidR="00244121">
        <w:rPr>
          <w:noProof/>
          <w:lang w:val="sr-Cyrl-CS"/>
        </w:rPr>
        <w:t>надопуњују</w:t>
      </w:r>
      <w:r w:rsidR="00F5257D">
        <w:rPr>
          <w:noProof/>
          <w:lang w:val="sr-Cyrl-CS"/>
        </w:rPr>
        <w:t>ћ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знање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ресурса</w:t>
      </w:r>
      <w:r w:rsidRPr="00244121">
        <w:rPr>
          <w:noProof/>
          <w:lang w:val="sr-Cyrl-CS"/>
        </w:rPr>
        <w:t xml:space="preserve">, </w:t>
      </w:r>
      <w:r w:rsidR="00244121">
        <w:rPr>
          <w:noProof/>
          <w:lang w:val="sr-Cyrl-CS"/>
        </w:rPr>
        <w:t>као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размене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своја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искуства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препреке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којима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суочава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примени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друштвеног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приступа</w:t>
      </w:r>
      <w:r w:rsidRPr="00244121">
        <w:rPr>
          <w:noProof/>
          <w:lang w:val="sr-Cyrl-CS"/>
        </w:rPr>
        <w:t xml:space="preserve">. </w:t>
      </w:r>
    </w:p>
    <w:p w14:paraId="1681051A" w14:textId="7E4B2CDE" w:rsidR="008A79A8" w:rsidRPr="00244121" w:rsidRDefault="000D106A" w:rsidP="007F6A9D">
      <w:pPr>
        <w:jc w:val="both"/>
        <w:rPr>
          <w:noProof/>
          <w:lang w:val="sr-Cyrl-CS"/>
        </w:rPr>
      </w:pPr>
      <w:r w:rsidRPr="00244121">
        <w:rPr>
          <w:noProof/>
          <w:lang w:val="sr-Cyrl-CS"/>
        </w:rPr>
        <w:t xml:space="preserve">• </w:t>
      </w:r>
      <w:r w:rsidR="00244121">
        <w:rPr>
          <w:noProof/>
          <w:lang w:val="sr-Cyrl-CS"/>
        </w:rPr>
        <w:t>пружати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подршку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другим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члановима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локалних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самоуправа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кластеру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за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учење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на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тај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начин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дјеловати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као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пеер</w:t>
      </w:r>
      <w:r w:rsidRPr="00244121">
        <w:rPr>
          <w:noProof/>
          <w:lang w:val="sr-Cyrl-CS"/>
        </w:rPr>
        <w:t xml:space="preserve"> - </w:t>
      </w:r>
      <w:r w:rsidR="00244121">
        <w:rPr>
          <w:noProof/>
          <w:lang w:val="sr-Cyrl-CS"/>
        </w:rPr>
        <w:t>тренер</w:t>
      </w:r>
      <w:r w:rsidRPr="00244121">
        <w:rPr>
          <w:noProof/>
          <w:lang w:val="sr-Cyrl-CS"/>
        </w:rPr>
        <w:t xml:space="preserve">, </w:t>
      </w:r>
      <w:r w:rsidR="00244121">
        <w:rPr>
          <w:noProof/>
          <w:lang w:val="sr-Cyrl-CS"/>
        </w:rPr>
        <w:t>разговарају</w:t>
      </w:r>
      <w:r w:rsidR="00F5257D">
        <w:rPr>
          <w:noProof/>
          <w:lang w:val="sr-Cyrl-CS"/>
        </w:rPr>
        <w:t>ћи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потенцијално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суоченим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изазовима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размишљају</w:t>
      </w:r>
      <w:r w:rsidR="00F5257D">
        <w:rPr>
          <w:noProof/>
          <w:lang w:val="sr-Cyrl-CS"/>
        </w:rPr>
        <w:t>ћ</w:t>
      </w:r>
      <w:r w:rsidR="00244121">
        <w:rPr>
          <w:noProof/>
          <w:lang w:val="sr-Cyrl-CS"/>
        </w:rPr>
        <w:t>и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о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решењима</w:t>
      </w:r>
      <w:r w:rsidRPr="00244121">
        <w:rPr>
          <w:noProof/>
          <w:lang w:val="sr-Cyrl-CS"/>
        </w:rPr>
        <w:t xml:space="preserve"> </w:t>
      </w:r>
      <w:r w:rsidR="00244121">
        <w:rPr>
          <w:noProof/>
          <w:lang w:val="sr-Cyrl-CS"/>
        </w:rPr>
        <w:t>итд</w:t>
      </w:r>
      <w:r w:rsidRPr="00244121">
        <w:rPr>
          <w:noProof/>
          <w:lang w:val="sr-Cyrl-CS"/>
        </w:rPr>
        <w:t>.</w:t>
      </w:r>
    </w:p>
    <w:p w14:paraId="50DB2513" w14:textId="72845542" w:rsidR="008A79A8" w:rsidRPr="00244121" w:rsidRDefault="00244121" w:rsidP="00DE2D78">
      <w:pPr>
        <w:rPr>
          <w:b/>
          <w:bCs/>
          <w:noProof/>
          <w:u w:val="single"/>
          <w:lang w:val="sr-Cyrl-CS"/>
        </w:rPr>
      </w:pPr>
      <w:r>
        <w:rPr>
          <w:b/>
          <w:bCs/>
          <w:noProof/>
          <w:u w:val="single"/>
          <w:lang w:val="sr-Cyrl-CS"/>
        </w:rPr>
        <w:t>Пружање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пројектне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подршке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за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примјену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Друштевних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приступа</w:t>
      </w:r>
      <w:r w:rsidR="00152249" w:rsidRPr="00244121">
        <w:rPr>
          <w:b/>
          <w:bCs/>
          <w:noProof/>
          <w:u w:val="single"/>
          <w:lang w:val="sr-Cyrl-CS"/>
        </w:rPr>
        <w:t xml:space="preserve"> </w:t>
      </w:r>
    </w:p>
    <w:p w14:paraId="12455A38" w14:textId="4150ADD1" w:rsidR="003561B8" w:rsidRPr="00244121" w:rsidRDefault="00244121" w:rsidP="00307918">
      <w:pPr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="00307918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по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приступу</w:t>
      </w:r>
      <w:r w:rsidR="00307918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најмање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најуспешнија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укључене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развиле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8C5BCC">
        <w:rPr>
          <w:noProof/>
          <w:lang w:val="sr-Cyrl-CS"/>
        </w:rPr>
        <w:t>ће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подржане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примјени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концепата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тај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тестирају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</w:t>
      </w:r>
      <w:r w:rsidR="008C5BCC">
        <w:rPr>
          <w:noProof/>
          <w:lang w:val="sr-Cyrl-CS"/>
        </w:rPr>
        <w:t>ће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приступе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Сви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развиле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8C5BCC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евалуације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потенцијалну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</w:t>
      </w:r>
      <w:r w:rsidR="008C5BCC">
        <w:rPr>
          <w:noProof/>
          <w:lang w:val="sr-Cyrl-CS"/>
        </w:rPr>
        <w:t>ћ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07918" w:rsidRPr="00244121">
        <w:rPr>
          <w:noProof/>
          <w:lang w:val="sr-Cyrl-CS"/>
        </w:rPr>
        <w:t xml:space="preserve"> 3.000 </w:t>
      </w:r>
      <w:r>
        <w:rPr>
          <w:noProof/>
          <w:lang w:val="sr-Cyrl-CS"/>
        </w:rPr>
        <w:t>ЕУР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Концепте</w:t>
      </w:r>
      <w:r w:rsidR="00307918" w:rsidRPr="00244121">
        <w:rPr>
          <w:noProof/>
          <w:lang w:val="sr-Cyrl-CS"/>
        </w:rPr>
        <w:t xml:space="preserve"> </w:t>
      </w:r>
      <w:r w:rsidR="008C5BCC">
        <w:rPr>
          <w:noProof/>
          <w:lang w:val="sr-Cyrl-CS"/>
        </w:rPr>
        <w:t>ће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оцењивати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оцењивање</w:t>
      </w:r>
      <w:r w:rsidR="00307918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дома</w:t>
      </w:r>
      <w:r w:rsidR="008C5BCC">
        <w:rPr>
          <w:noProof/>
          <w:lang w:val="sr-Cyrl-CS"/>
        </w:rPr>
        <w:t>ћ</w:t>
      </w:r>
      <w:r>
        <w:rPr>
          <w:noProof/>
          <w:lang w:val="sr-Cyrl-CS"/>
        </w:rPr>
        <w:t>ин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Савез</w:t>
      </w:r>
      <w:r w:rsidR="00307918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НАЛАС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ГИЗ</w:t>
      </w:r>
      <w:r w:rsidR="00307918" w:rsidRPr="00244121">
        <w:rPr>
          <w:noProof/>
          <w:lang w:val="sr-Cyrl-CS"/>
        </w:rPr>
        <w:t xml:space="preserve">) </w:t>
      </w:r>
      <w:r>
        <w:rPr>
          <w:noProof/>
          <w:lang w:val="sr-Cyrl-CS"/>
        </w:rPr>
        <w:t>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развијених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Средства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планирана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концептима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развијеним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тестирање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модела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укључивања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мањина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повећана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Стога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стварају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финансијску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више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приступе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Ово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Форума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социјални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дијалог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повереника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мањина</w:t>
      </w:r>
      <w:r w:rsidR="00307918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Локалне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изабране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потенцијалну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подршку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пројектима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такође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охрабрују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учеш</w:t>
      </w:r>
      <w:r w:rsidR="00007676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кластерима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интерним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ресурсима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примену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развијених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концепата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искористе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искуства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поделили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стручњаци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Западног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Балкана</w:t>
      </w:r>
      <w:r w:rsidR="00307918" w:rsidRPr="00244121">
        <w:rPr>
          <w:noProof/>
          <w:lang w:val="sr-Cyrl-CS"/>
        </w:rPr>
        <w:t>.</w:t>
      </w:r>
    </w:p>
    <w:p w14:paraId="46280352" w14:textId="0F5AC30D" w:rsidR="003561B8" w:rsidRPr="00244121" w:rsidRDefault="00244121" w:rsidP="00DE2D78">
      <w:pPr>
        <w:rPr>
          <w:b/>
          <w:bCs/>
          <w:noProof/>
          <w:u w:val="single"/>
          <w:lang w:val="sr-Cyrl-CS"/>
        </w:rPr>
      </w:pPr>
      <w:r>
        <w:rPr>
          <w:b/>
          <w:bCs/>
          <w:noProof/>
          <w:u w:val="single"/>
          <w:lang w:val="sr-Cyrl-CS"/>
        </w:rPr>
        <w:t>Процедуре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за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изражавање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интереса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за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учешће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Кластеру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  <w:r>
        <w:rPr>
          <w:b/>
          <w:bCs/>
          <w:noProof/>
          <w:u w:val="single"/>
          <w:lang w:val="sr-Cyrl-CS"/>
        </w:rPr>
        <w:t>учења</w:t>
      </w:r>
      <w:r w:rsidR="00307918" w:rsidRPr="00244121">
        <w:rPr>
          <w:b/>
          <w:bCs/>
          <w:noProof/>
          <w:u w:val="single"/>
          <w:lang w:val="sr-Cyrl-CS"/>
        </w:rPr>
        <w:t xml:space="preserve"> </w:t>
      </w:r>
    </w:p>
    <w:p w14:paraId="427B570B" w14:textId="754346B0" w:rsidR="00007676" w:rsidRDefault="00244121" w:rsidP="00307918">
      <w:pPr>
        <w:rPr>
          <w:noProof/>
          <w:lang w:val="sr-Cyrl-CS"/>
        </w:rPr>
      </w:pPr>
      <w:r>
        <w:rPr>
          <w:noProof/>
          <w:lang w:val="sr-Cyrl-CS"/>
        </w:rPr>
        <w:t>Заинтересоване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="00307918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Прилог</w:t>
      </w:r>
      <w:r w:rsidR="00987921">
        <w:rPr>
          <w:noProof/>
          <w:lang w:val="sr-Cyrl-CS"/>
        </w:rPr>
        <w:t xml:space="preserve"> 2</w:t>
      </w:r>
      <w:r w:rsidR="00307918" w:rsidRPr="00244121">
        <w:rPr>
          <w:noProof/>
          <w:lang w:val="sr-Cyrl-CS"/>
        </w:rPr>
        <w:t xml:space="preserve"> ). </w:t>
      </w:r>
      <w:r>
        <w:rPr>
          <w:noProof/>
          <w:lang w:val="sr-Cyrl-CS"/>
        </w:rPr>
        <w:t>Образац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307918" w:rsidRPr="00244121">
        <w:rPr>
          <w:noProof/>
          <w:lang w:val="sr-Cyrl-CS"/>
        </w:rPr>
        <w:t>-</w:t>
      </w:r>
      <w:r>
        <w:rPr>
          <w:noProof/>
          <w:lang w:val="sr-Cyrl-CS"/>
        </w:rPr>
        <w:t>поштом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</w:t>
      </w:r>
      <w:r w:rsidR="00D678F8">
        <w:rPr>
          <w:noProof/>
          <w:lang w:val="sr-Cyrl-CS"/>
        </w:rPr>
        <w:t>ћу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адресу</w:t>
      </w:r>
      <w:r w:rsidR="00307918" w:rsidRPr="00244121">
        <w:rPr>
          <w:noProof/>
          <w:lang w:val="sr-Cyrl-CS"/>
        </w:rPr>
        <w:t xml:space="preserve"> </w:t>
      </w:r>
      <w:hyperlink r:id="rId24" w:history="1">
        <w:r w:rsidR="00007676" w:rsidRPr="004124B6">
          <w:rPr>
            <w:rStyle w:val="Hiperveza"/>
            <w:noProof/>
            <w:lang w:val="en-GB"/>
          </w:rPr>
          <w:t>info@alvrs.com</w:t>
        </w:r>
      </w:hyperlink>
      <w:r w:rsidR="00007676">
        <w:rPr>
          <w:noProof/>
          <w:lang w:val="en-GB"/>
        </w:rPr>
        <w:t xml:space="preserve"> 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најкасније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307918" w:rsidRPr="00244121">
        <w:rPr>
          <w:noProof/>
          <w:lang w:val="sr-Cyrl-CS"/>
        </w:rPr>
        <w:t xml:space="preserve"> 13. </w:t>
      </w:r>
      <w:r>
        <w:rPr>
          <w:noProof/>
          <w:lang w:val="sr-Cyrl-CS"/>
        </w:rPr>
        <w:t>септембра</w:t>
      </w:r>
      <w:r w:rsidR="00307918" w:rsidRPr="00244121">
        <w:rPr>
          <w:noProof/>
          <w:lang w:val="sr-Cyrl-CS"/>
        </w:rPr>
        <w:t xml:space="preserve"> 2021. </w:t>
      </w:r>
      <w:r>
        <w:rPr>
          <w:noProof/>
          <w:lang w:val="sr-Cyrl-CS"/>
        </w:rPr>
        <w:t>године</w:t>
      </w:r>
      <w:r w:rsidR="00307918" w:rsidRPr="00244121">
        <w:rPr>
          <w:noProof/>
          <w:lang w:val="sr-Cyrl-CS"/>
        </w:rPr>
        <w:t xml:space="preserve">. </w:t>
      </w:r>
    </w:p>
    <w:p w14:paraId="4345FF6E" w14:textId="77777777" w:rsidR="00007676" w:rsidRDefault="00244121" w:rsidP="00307918">
      <w:pPr>
        <w:rPr>
          <w:noProof/>
          <w:lang w:val="sr-Cyrl-CS"/>
        </w:rPr>
      </w:pPr>
      <w:r>
        <w:rPr>
          <w:noProof/>
          <w:lang w:val="sr-Cyrl-CS"/>
        </w:rPr>
        <w:t>Кластери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саставни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дио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дугорочног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процеса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капацитета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пројекат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нуди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проширивању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307918" w:rsidRPr="00244121">
        <w:rPr>
          <w:noProof/>
          <w:lang w:val="sr-Cyrl-CS"/>
        </w:rPr>
        <w:t xml:space="preserve">. </w:t>
      </w:r>
    </w:p>
    <w:p w14:paraId="22F00998" w14:textId="24BE47F4" w:rsidR="00D54100" w:rsidRPr="007C6578" w:rsidRDefault="00244121" w:rsidP="00307918">
      <w:pPr>
        <w:rPr>
          <w:i/>
          <w:iCs/>
          <w:noProof/>
          <w:lang w:val="sr-Cyrl-CS"/>
        </w:rPr>
      </w:pPr>
      <w:r w:rsidRPr="007C6578">
        <w:rPr>
          <w:i/>
          <w:iCs/>
          <w:noProof/>
          <w:lang w:val="sr-Cyrl-CS"/>
        </w:rPr>
        <w:t>Стога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се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локалне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самоуправе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које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су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похађале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НАЛАС</w:t>
      </w:r>
      <w:r w:rsidR="00307918" w:rsidRPr="007C6578">
        <w:rPr>
          <w:i/>
          <w:iCs/>
          <w:noProof/>
          <w:lang w:val="sr-Cyrl-CS"/>
        </w:rPr>
        <w:t>-</w:t>
      </w:r>
      <w:r w:rsidRPr="007C6578">
        <w:rPr>
          <w:i/>
          <w:iCs/>
          <w:noProof/>
          <w:lang w:val="sr-Cyrl-CS"/>
        </w:rPr>
        <w:t>ове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вебинаре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о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друштвеним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приступима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и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усп</w:t>
      </w:r>
      <w:r w:rsidR="00007676" w:rsidRPr="007C6578">
        <w:rPr>
          <w:i/>
          <w:iCs/>
          <w:noProof/>
          <w:lang w:val="en-GB"/>
        </w:rPr>
        <w:t>j</w:t>
      </w:r>
      <w:r w:rsidRPr="007C6578">
        <w:rPr>
          <w:i/>
          <w:iCs/>
          <w:noProof/>
          <w:lang w:val="sr-Cyrl-CS"/>
        </w:rPr>
        <w:t>ешно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завршиле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одговарају</w:t>
      </w:r>
      <w:r w:rsidR="00007676" w:rsidRPr="007C6578">
        <w:rPr>
          <w:i/>
          <w:iCs/>
          <w:noProof/>
          <w:lang w:val="sr-Cyrl-RS"/>
        </w:rPr>
        <w:t>ћ</w:t>
      </w:r>
      <w:r w:rsidRPr="007C6578">
        <w:rPr>
          <w:i/>
          <w:iCs/>
          <w:noProof/>
          <w:lang w:val="sr-Cyrl-CS"/>
        </w:rPr>
        <w:t>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курсеве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е</w:t>
      </w:r>
      <w:r w:rsidR="00307918" w:rsidRPr="007C6578">
        <w:rPr>
          <w:i/>
          <w:iCs/>
          <w:noProof/>
          <w:lang w:val="sr-Cyrl-CS"/>
        </w:rPr>
        <w:t>-</w:t>
      </w:r>
      <w:r w:rsidRPr="007C6578">
        <w:rPr>
          <w:i/>
          <w:iCs/>
          <w:noProof/>
          <w:lang w:val="sr-Cyrl-CS"/>
        </w:rPr>
        <w:t>учења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охрабрују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да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искажу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интересовање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за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учеш</w:t>
      </w:r>
      <w:r w:rsidR="00007676" w:rsidRPr="007C6578">
        <w:rPr>
          <w:i/>
          <w:iCs/>
          <w:noProof/>
          <w:lang w:val="sr-Cyrl-CS"/>
        </w:rPr>
        <w:t>ћ</w:t>
      </w:r>
      <w:r w:rsidRPr="007C6578">
        <w:rPr>
          <w:i/>
          <w:iCs/>
          <w:noProof/>
          <w:lang w:val="sr-Cyrl-CS"/>
        </w:rPr>
        <w:t>е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у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кластерима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за</w:t>
      </w:r>
      <w:r w:rsidR="00307918" w:rsidRPr="007C6578">
        <w:rPr>
          <w:i/>
          <w:iCs/>
          <w:noProof/>
          <w:lang w:val="sr-Cyrl-CS"/>
        </w:rPr>
        <w:t xml:space="preserve"> </w:t>
      </w:r>
      <w:r w:rsidRPr="007C6578">
        <w:rPr>
          <w:i/>
          <w:iCs/>
          <w:noProof/>
          <w:lang w:val="sr-Cyrl-CS"/>
        </w:rPr>
        <w:t>учење</w:t>
      </w:r>
      <w:r w:rsidR="00307918" w:rsidRPr="007C6578">
        <w:rPr>
          <w:i/>
          <w:iCs/>
          <w:noProof/>
          <w:lang w:val="sr-Cyrl-CS"/>
        </w:rPr>
        <w:t>.</w:t>
      </w:r>
    </w:p>
    <w:p w14:paraId="6DA27F15" w14:textId="603C484C" w:rsidR="0047274A" w:rsidRPr="00244121" w:rsidRDefault="00244121" w:rsidP="00D678F8">
      <w:pPr>
        <w:jc w:val="both"/>
        <w:rPr>
          <w:rFonts w:cstheme="minorHAnsi"/>
          <w:b/>
          <w:bCs/>
          <w:noProof/>
          <w:color w:val="1F4E79" w:themeColor="accent5" w:themeShade="80"/>
          <w:sz w:val="28"/>
          <w:szCs w:val="28"/>
          <w:lang w:val="sr-Cyrl-CS"/>
        </w:rPr>
      </w:pPr>
      <w:r>
        <w:rPr>
          <w:noProof/>
          <w:lang w:val="sr-Cyrl-CS"/>
        </w:rPr>
        <w:lastRenderedPageBreak/>
        <w:t>Кластери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развијају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пројекта</w:t>
      </w:r>
      <w:r w:rsidR="00307918" w:rsidRPr="00244121">
        <w:rPr>
          <w:noProof/>
          <w:lang w:val="sr-Cyrl-CS"/>
        </w:rPr>
        <w:t xml:space="preserve"> „</w:t>
      </w:r>
      <w:r>
        <w:rPr>
          <w:noProof/>
          <w:lang w:val="sr-Cyrl-CS"/>
        </w:rPr>
        <w:t>Јачање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капацитета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имплементацију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Агенде</w:t>
      </w:r>
      <w:r w:rsidR="00307918" w:rsidRPr="00244121">
        <w:rPr>
          <w:noProof/>
          <w:lang w:val="sr-Cyrl-CS"/>
        </w:rPr>
        <w:t xml:space="preserve"> 2030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принцип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нико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оставља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себе</w:t>
      </w:r>
      <w:r w:rsidR="00307918" w:rsidRPr="00244121">
        <w:rPr>
          <w:noProof/>
          <w:lang w:val="sr-Cyrl-CS"/>
        </w:rPr>
        <w:t xml:space="preserve">“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Промоција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</w:t>
      </w:r>
      <w:r w:rsidR="00D678F8">
        <w:rPr>
          <w:noProof/>
          <w:lang w:val="sr-Cyrl-CS"/>
        </w:rPr>
        <w:t>ћ</w:t>
      </w:r>
      <w:r>
        <w:rPr>
          <w:noProof/>
          <w:lang w:val="sr-Cyrl-CS"/>
        </w:rPr>
        <w:t>ање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модела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укључивање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мањина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угрожених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Западном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Балкану</w:t>
      </w:r>
      <w:r w:rsidR="00307918" w:rsidRPr="00244121">
        <w:rPr>
          <w:noProof/>
          <w:lang w:val="sr-Cyrl-CS"/>
        </w:rPr>
        <w:t xml:space="preserve"> ”</w:t>
      </w:r>
      <w:r>
        <w:rPr>
          <w:noProof/>
          <w:lang w:val="sr-Cyrl-CS"/>
        </w:rPr>
        <w:t>који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спроводи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НАЛАС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ГИЗ</w:t>
      </w:r>
      <w:r w:rsidR="00307918" w:rsidRPr="00244121">
        <w:rPr>
          <w:noProof/>
          <w:lang w:val="sr-Cyrl-CS"/>
        </w:rPr>
        <w:t xml:space="preserve"> -</w:t>
      </w:r>
      <w:r>
        <w:rPr>
          <w:noProof/>
          <w:lang w:val="sr-Cyrl-CS"/>
        </w:rPr>
        <w:t>ом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немачког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Савезног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министарства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економску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сарадњу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</w:t>
      </w:r>
      <w:r w:rsidR="00307918" w:rsidRPr="00244121">
        <w:rPr>
          <w:noProof/>
          <w:lang w:val="sr-Cyrl-CS"/>
        </w:rPr>
        <w:t xml:space="preserve"> (</w:t>
      </w:r>
      <w:r>
        <w:rPr>
          <w:noProof/>
          <w:lang w:val="sr-Cyrl-CS"/>
        </w:rPr>
        <w:t>БМЗ</w:t>
      </w:r>
      <w:r w:rsidR="00307918" w:rsidRPr="00244121">
        <w:rPr>
          <w:noProof/>
          <w:lang w:val="sr-Cyrl-CS"/>
        </w:rPr>
        <w:t xml:space="preserve">) </w:t>
      </w:r>
      <w:r>
        <w:rPr>
          <w:noProof/>
          <w:lang w:val="sr-Cyrl-CS"/>
        </w:rPr>
        <w:t>и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савезне</w:t>
      </w:r>
      <w:r w:rsidR="00307918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државе</w:t>
      </w:r>
      <w:r w:rsidR="00307918" w:rsidRPr="00244121">
        <w:rPr>
          <w:noProof/>
          <w:lang w:val="sr-Cyrl-CS"/>
        </w:rPr>
        <w:t xml:space="preserve"> </w:t>
      </w:r>
      <w:r w:rsidR="00D678F8">
        <w:rPr>
          <w:noProof/>
          <w:lang w:val="hr-HR"/>
        </w:rPr>
        <w:t>Schlesvig Holstein</w:t>
      </w:r>
      <w:r w:rsidR="00D678F8" w:rsidRPr="00244121">
        <w:rPr>
          <w:noProof/>
          <w:lang w:val="sr-Cyrl-CS"/>
        </w:rPr>
        <w:t>.</w:t>
      </w:r>
    </w:p>
    <w:p w14:paraId="0DF239C6" w14:textId="6AC215FA" w:rsidR="0047274A" w:rsidRPr="00244121" w:rsidRDefault="00244121" w:rsidP="0047274A">
      <w:pPr>
        <w:spacing w:after="0" w:line="240" w:lineRule="auto"/>
        <w:jc w:val="both"/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</w:pP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Анне</w:t>
      </w:r>
      <w:r w:rsidR="0047274A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x 1 – </w:t>
      </w: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Календар</w:t>
      </w:r>
      <w:r w:rsidR="00307918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 </w:t>
      </w: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догађаја</w:t>
      </w:r>
      <w:r w:rsidR="00307918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 </w:t>
      </w: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за</w:t>
      </w:r>
      <w:r w:rsidR="00307918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 </w:t>
      </w: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Кластере</w:t>
      </w:r>
      <w:r w:rsidR="00307918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 </w:t>
      </w:r>
      <w:r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>учења</w:t>
      </w:r>
      <w:r w:rsidR="00307918" w:rsidRPr="00244121">
        <w:rPr>
          <w:rFonts w:cstheme="minorHAnsi"/>
          <w:b/>
          <w:bCs/>
          <w:noProof/>
          <w:color w:val="1F4E79" w:themeColor="accent5" w:themeShade="80"/>
          <w:sz w:val="36"/>
          <w:szCs w:val="36"/>
          <w:lang w:val="sr-Cyrl-CS"/>
        </w:rPr>
        <w:t xml:space="preserve"> </w:t>
      </w:r>
    </w:p>
    <w:p w14:paraId="27D0EC12" w14:textId="77777777" w:rsidR="009B6B9B" w:rsidRPr="00244121" w:rsidRDefault="009B6B9B" w:rsidP="0047274A">
      <w:pPr>
        <w:jc w:val="both"/>
        <w:rPr>
          <w:noProof/>
          <w:lang w:val="sr-Cyrl-CS"/>
        </w:rPr>
      </w:pPr>
    </w:p>
    <w:p w14:paraId="52C52C3D" w14:textId="38B8C716" w:rsidR="0047274A" w:rsidRPr="00244121" w:rsidRDefault="00244121" w:rsidP="006E3D49">
      <w:pPr>
        <w:jc w:val="both"/>
        <w:rPr>
          <w:noProof/>
          <w:lang w:val="sr-Cyrl-CS"/>
        </w:rPr>
      </w:pPr>
      <w:r>
        <w:rPr>
          <w:noProof/>
          <w:lang w:val="sr-Cyrl-CS"/>
        </w:rPr>
        <w:t>С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обзиром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6E3D49" w:rsidRPr="00244121">
        <w:rPr>
          <w:noProof/>
          <w:lang w:val="sr-Cyrl-CS"/>
        </w:rPr>
        <w:t xml:space="preserve"> </w:t>
      </w:r>
      <w:r w:rsidR="0062381E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пет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учење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успостављено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паралелно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спроведено</w:t>
      </w:r>
      <w:r w:rsidR="006E3D49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два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размене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кластеру</w:t>
      </w:r>
      <w:r w:rsidR="006E3D49" w:rsidRPr="00244121">
        <w:rPr>
          <w:noProof/>
          <w:lang w:val="sr-Cyrl-CS"/>
        </w:rPr>
        <w:t xml:space="preserve"> </w:t>
      </w:r>
      <w:r w:rsidR="0062381E">
        <w:rPr>
          <w:noProof/>
          <w:lang w:val="sr-Cyrl-CS"/>
        </w:rPr>
        <w:t>ће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одржати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доле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наведеним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календаром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друштвених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6E3D49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док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тре</w:t>
      </w:r>
      <w:r w:rsidR="0062381E">
        <w:rPr>
          <w:noProof/>
          <w:lang w:val="sr-Cyrl-CS"/>
        </w:rPr>
        <w:t>ћ</w:t>
      </w:r>
      <w:r>
        <w:rPr>
          <w:noProof/>
          <w:lang w:val="sr-Cyrl-CS"/>
        </w:rPr>
        <w:t>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планира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регионални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лицем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сусрет</w:t>
      </w:r>
      <w:r w:rsidR="006E3D49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уживо</w:t>
      </w:r>
      <w:r w:rsidR="006E3D49" w:rsidRPr="00244121">
        <w:rPr>
          <w:noProof/>
          <w:lang w:val="sr-Cyrl-CS"/>
        </w:rPr>
        <w:t xml:space="preserve"> 19. </w:t>
      </w:r>
      <w:r>
        <w:rPr>
          <w:noProof/>
          <w:lang w:val="sr-Cyrl-CS"/>
        </w:rPr>
        <w:t>маја</w:t>
      </w:r>
      <w:r w:rsidR="006E3D49" w:rsidRPr="00244121">
        <w:rPr>
          <w:noProof/>
          <w:lang w:val="sr-Cyrl-CS"/>
        </w:rPr>
        <w:t xml:space="preserve"> 2022.</w:t>
      </w:r>
    </w:p>
    <w:tbl>
      <w:tblPr>
        <w:tblW w:w="9076" w:type="dxa"/>
        <w:jc w:val="center"/>
        <w:tblLook w:val="04A0" w:firstRow="1" w:lastRow="0" w:firstColumn="1" w:lastColumn="0" w:noHBand="0" w:noVBand="1"/>
      </w:tblPr>
      <w:tblGrid>
        <w:gridCol w:w="3992"/>
        <w:gridCol w:w="2542"/>
        <w:gridCol w:w="726"/>
        <w:gridCol w:w="300"/>
        <w:gridCol w:w="1516"/>
      </w:tblGrid>
      <w:tr w:rsidR="00436DC5" w:rsidRPr="00244121" w14:paraId="595A384A" w14:textId="77777777" w:rsidTr="009B6B9B">
        <w:trPr>
          <w:trHeight w:val="263"/>
          <w:jc w:val="center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DFD5" w14:textId="6003DA4C" w:rsidR="00436DC5" w:rsidRPr="00244121" w:rsidRDefault="00D90005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>КАЛЕНДАР ДОГАЂАЈА ЗА КЛАСТЕРЕ УЧЕЊА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BF01" w14:textId="77777777" w:rsidR="00436DC5" w:rsidRPr="00244121" w:rsidRDefault="00436DC5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3204DED" w14:textId="77777777" w:rsidR="00436DC5" w:rsidRPr="00244121" w:rsidRDefault="00436DC5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</w:p>
        </w:tc>
      </w:tr>
      <w:tr w:rsidR="00436DC5" w:rsidRPr="00244121" w14:paraId="2B17C2B8" w14:textId="77777777" w:rsidTr="009B6B9B">
        <w:trPr>
          <w:trHeight w:val="220"/>
          <w:jc w:val="center"/>
        </w:trPr>
        <w:tc>
          <w:tcPr>
            <w:tcW w:w="3992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noWrap/>
            <w:vAlign w:val="bottom"/>
            <w:hideMark/>
          </w:tcPr>
          <w:p w14:paraId="752E5BC0" w14:textId="352BA222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Друштевни</w:t>
            </w:r>
            <w:r w:rsidR="00AE3827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приступ</w:t>
            </w:r>
          </w:p>
        </w:tc>
        <w:tc>
          <w:tcPr>
            <w:tcW w:w="2541" w:type="dxa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bottom"/>
            <w:hideMark/>
          </w:tcPr>
          <w:p w14:paraId="0E82D209" w14:textId="644F8BBA" w:rsidR="00436DC5" w:rsidRPr="00244121" w:rsidRDefault="00244121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Регионални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онлине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догађај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1</w:t>
            </w:r>
          </w:p>
        </w:tc>
        <w:tc>
          <w:tcPr>
            <w:tcW w:w="2541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</w:tcPr>
          <w:p w14:paraId="4BC04B5B" w14:textId="2CE61E28" w:rsidR="00436DC5" w:rsidRPr="00244121" w:rsidRDefault="00244121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Регионални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онлине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догађај</w:t>
            </w:r>
            <w:r w:rsidR="00AE3827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2</w:t>
            </w:r>
          </w:p>
        </w:tc>
      </w:tr>
      <w:tr w:rsidR="00436DC5" w:rsidRPr="00244121" w14:paraId="363ACE0D" w14:textId="77777777" w:rsidTr="009B6B9B">
        <w:trPr>
          <w:trHeight w:val="341"/>
          <w:jc w:val="center"/>
        </w:trPr>
        <w:tc>
          <w:tcPr>
            <w:tcW w:w="3992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4995CC75" w14:textId="48D4B8A0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Дневни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Центар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12D18683" w14:textId="54F578BC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28-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Сеп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0B22198C" w14:textId="136F899E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28-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436DC5" w:rsidRPr="00244121" w14:paraId="647DAFAC" w14:textId="77777777" w:rsidTr="009B6B9B">
        <w:trPr>
          <w:trHeight w:val="341"/>
          <w:jc w:val="center"/>
        </w:trPr>
        <w:tc>
          <w:tcPr>
            <w:tcW w:w="3992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3D189283" w14:textId="5003A7C3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Модели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за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укључивање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мањина</w:t>
            </w:r>
          </w:p>
          <w:p w14:paraId="1D958802" w14:textId="645423BE" w:rsidR="00436DC5" w:rsidRPr="00244121" w:rsidRDefault="00244121" w:rsidP="00436DC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  <w:noProof/>
                <w:sz w:val="20"/>
                <w:szCs w:val="20"/>
                <w:lang w:val="sr-Cyrl-CS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Форум</w:t>
            </w:r>
            <w:r w:rsidR="00AE3827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за</w:t>
            </w:r>
            <w:r w:rsidR="00AE3827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Социјални</w:t>
            </w:r>
            <w:r w:rsidR="00436DC5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Дијалог</w:t>
            </w:r>
          </w:p>
          <w:p w14:paraId="08FF996D" w14:textId="679395BC" w:rsidR="00436DC5" w:rsidRPr="00244121" w:rsidRDefault="00244121" w:rsidP="00436DC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Повјереник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за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мањине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50AD8FC3" w14:textId="4A734BB0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12-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2D710947" w14:textId="10C9AC95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11-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436DC5" w:rsidRPr="00244121" w14:paraId="0C9A8AAE" w14:textId="77777777" w:rsidTr="009B6B9B">
        <w:trPr>
          <w:trHeight w:val="341"/>
          <w:jc w:val="center"/>
        </w:trPr>
        <w:tc>
          <w:tcPr>
            <w:tcW w:w="3992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44C9533E" w14:textId="1BBD6A4D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Мобилни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теренски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тимови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7A8B51BA" w14:textId="29C6427E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21-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4DCB5577" w14:textId="56483DA4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25-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436DC5" w:rsidRPr="00244121" w14:paraId="787E98D3" w14:textId="77777777" w:rsidTr="009B6B9B">
        <w:trPr>
          <w:trHeight w:val="341"/>
          <w:jc w:val="center"/>
        </w:trPr>
        <w:tc>
          <w:tcPr>
            <w:tcW w:w="3992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1FC6DD86" w14:textId="14542F7A" w:rsidR="00436DC5" w:rsidRPr="00244121" w:rsidRDefault="00244121" w:rsidP="00436DC5">
            <w:pPr>
              <w:spacing w:after="0" w:line="240" w:lineRule="auto"/>
              <w:ind w:firstLineChars="100" w:firstLine="201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Повећање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свијести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2B2D2CE1" w14:textId="6064AD44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4-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7F1F8D59" w14:textId="3872D420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9-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436DC5" w:rsidRPr="00244121" w14:paraId="2082A866" w14:textId="77777777" w:rsidTr="009B6B9B">
        <w:trPr>
          <w:trHeight w:val="341"/>
          <w:jc w:val="center"/>
        </w:trPr>
        <w:tc>
          <w:tcPr>
            <w:tcW w:w="3992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2BB9BC7B" w14:textId="608C6D26" w:rsidR="00436DC5" w:rsidRPr="00244121" w:rsidRDefault="00244121" w:rsidP="00436DC5">
            <w:pPr>
              <w:spacing w:after="0" w:line="240" w:lineRule="auto"/>
              <w:ind w:left="174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Инклузивно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управљање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ризиком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од</w:t>
            </w:r>
            <w:r w:rsidR="00AE3827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катастрофа</w:t>
            </w:r>
            <w:r w:rsidR="00436DC5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0F808ED5" w14:textId="6EF40B16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18-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51F4342E" w14:textId="6166563E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21-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436DC5" w:rsidRPr="00244121" w14:paraId="700F8A0D" w14:textId="77777777" w:rsidTr="009B6B9B">
        <w:trPr>
          <w:trHeight w:val="341"/>
          <w:jc w:val="center"/>
        </w:trPr>
        <w:tc>
          <w:tcPr>
            <w:tcW w:w="9076" w:type="dxa"/>
            <w:gridSpan w:val="5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4F8302CE" w14:textId="77777777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</w:p>
        </w:tc>
      </w:tr>
      <w:tr w:rsidR="00436DC5" w:rsidRPr="00244121" w14:paraId="28C7D7D9" w14:textId="77777777" w:rsidTr="009B6B9B">
        <w:trPr>
          <w:trHeight w:val="220"/>
          <w:jc w:val="center"/>
        </w:trPr>
        <w:tc>
          <w:tcPr>
            <w:tcW w:w="6534" w:type="dxa"/>
            <w:gridSpan w:val="2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000000" w:fill="F2F2F2"/>
            <w:noWrap/>
            <w:vAlign w:val="bottom"/>
            <w:hideMark/>
          </w:tcPr>
          <w:p w14:paraId="1F30002C" w14:textId="73E6A34F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Регионални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догађај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3</w:t>
            </w:r>
          </w:p>
          <w:p w14:paraId="0F835DBF" w14:textId="58F5325B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Сви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чланови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Кластери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учења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ће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бити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позвани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на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догађај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>уживо</w:t>
            </w:r>
            <w:r w:rsidR="00AE3827" w:rsidRPr="00244121">
              <w:rPr>
                <w:rFonts w:ascii="Calibri" w:eastAsia="Times New Roman" w:hAnsi="Calibri" w:cs="Calibri"/>
                <w:noProof/>
                <w:color w:val="000000"/>
                <w:lang w:val="sr-Cyrl-CS"/>
              </w:rPr>
              <w:t xml:space="preserve"> 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F2F2F2"/>
          </w:tcPr>
          <w:p w14:paraId="3DB01FFC" w14:textId="6CCB3DB7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19-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Ма</w:t>
            </w:r>
            <w:r w:rsidR="00D9788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ј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</w:tbl>
    <w:p w14:paraId="06B92549" w14:textId="36124799" w:rsidR="00436DC5" w:rsidRPr="00244121" w:rsidRDefault="00244121" w:rsidP="00436DC5">
      <w:pPr>
        <w:ind w:left="720" w:firstLine="720"/>
        <w:jc w:val="both"/>
        <w:rPr>
          <w:i/>
          <w:iCs/>
          <w:noProof/>
          <w:lang w:val="sr-Cyrl-CS"/>
        </w:rPr>
      </w:pPr>
      <w:r>
        <w:rPr>
          <w:i/>
          <w:iCs/>
          <w:noProof/>
          <w:sz w:val="20"/>
          <w:szCs w:val="20"/>
          <w:lang w:val="sr-Cyrl-CS"/>
        </w:rPr>
        <w:t>Напомена</w:t>
      </w:r>
      <w:r w:rsidR="00436DC5" w:rsidRPr="00244121">
        <w:rPr>
          <w:i/>
          <w:iCs/>
          <w:noProof/>
          <w:sz w:val="20"/>
          <w:szCs w:val="20"/>
          <w:lang w:val="sr-Cyrl-CS"/>
        </w:rPr>
        <w:t xml:space="preserve">: </w:t>
      </w:r>
      <w:r>
        <w:rPr>
          <w:i/>
          <w:iCs/>
          <w:noProof/>
          <w:sz w:val="20"/>
          <w:szCs w:val="20"/>
          <w:lang w:val="sr-Cyrl-CS"/>
        </w:rPr>
        <w:t>Датуми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у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табели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су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прелиминарни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И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могу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бити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предмет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промјене</w:t>
      </w:r>
      <w:r w:rsidR="00AE3827" w:rsidRPr="00244121">
        <w:rPr>
          <w:i/>
          <w:iCs/>
          <w:noProof/>
          <w:sz w:val="20"/>
          <w:szCs w:val="20"/>
          <w:lang w:val="sr-Cyrl-CS"/>
        </w:rPr>
        <w:t xml:space="preserve"> </w:t>
      </w:r>
    </w:p>
    <w:p w14:paraId="5BD2B977" w14:textId="33EF3D35" w:rsidR="0047274A" w:rsidRPr="00244121" w:rsidRDefault="00244121" w:rsidP="00373A32">
      <w:pPr>
        <w:jc w:val="both"/>
        <w:rPr>
          <w:noProof/>
          <w:lang w:val="sr-Cyrl-CS"/>
        </w:rPr>
      </w:pPr>
      <w:r>
        <w:rPr>
          <w:noProof/>
          <w:lang w:val="sr-Cyrl-CS"/>
        </w:rPr>
        <w:t>Периоди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концептуализације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примене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кластера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такође</w:t>
      </w:r>
      <w:r w:rsidR="00373A32" w:rsidRPr="00244121">
        <w:rPr>
          <w:noProof/>
          <w:lang w:val="sr-Cyrl-CS"/>
        </w:rPr>
        <w:t xml:space="preserve"> </w:t>
      </w:r>
      <w:r w:rsidR="00FD65BD">
        <w:rPr>
          <w:noProof/>
          <w:lang w:val="sr-Cyrl-CS"/>
        </w:rPr>
        <w:t>ће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одржавати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паралелно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последични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кораци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размене</w:t>
      </w:r>
      <w:r w:rsidR="00373A32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стога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распоред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сваког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периода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</w:t>
      </w:r>
      <w:r w:rsidR="00FD65BD">
        <w:rPr>
          <w:noProof/>
          <w:lang w:val="sr-Cyrl-CS"/>
        </w:rPr>
        <w:t>ће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кластере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дат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доњој</w:t>
      </w:r>
      <w:r w:rsidR="00373A32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табели</w:t>
      </w:r>
      <w:r w:rsidR="00373A32" w:rsidRPr="00244121">
        <w:rPr>
          <w:noProof/>
          <w:lang w:val="sr-Cyrl-CS"/>
        </w:rPr>
        <w:t>:</w:t>
      </w:r>
    </w:p>
    <w:tbl>
      <w:tblPr>
        <w:tblW w:w="9232" w:type="dxa"/>
        <w:jc w:val="center"/>
        <w:tblLayout w:type="fixed"/>
        <w:tblLook w:val="04A0" w:firstRow="1" w:lastRow="0" w:firstColumn="1" w:lastColumn="0" w:noHBand="0" w:noVBand="1"/>
      </w:tblPr>
      <w:tblGrid>
        <w:gridCol w:w="4061"/>
        <w:gridCol w:w="1451"/>
        <w:gridCol w:w="1306"/>
        <w:gridCol w:w="1033"/>
        <w:gridCol w:w="271"/>
        <w:gridCol w:w="1110"/>
      </w:tblGrid>
      <w:tr w:rsidR="00436DC5" w:rsidRPr="00244121" w14:paraId="0E912FB6" w14:textId="77777777" w:rsidTr="009B6B9B">
        <w:trPr>
          <w:trHeight w:val="314"/>
          <w:jc w:val="center"/>
        </w:trPr>
        <w:tc>
          <w:tcPr>
            <w:tcW w:w="6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EE84" w14:textId="6BC85B4E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  <w:bookmarkStart w:id="1" w:name="_Hlk81228916"/>
            <w:r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>Распоред</w:t>
            </w:r>
            <w:r w:rsidR="00373A32" w:rsidRPr="00244121"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>периода</w:t>
            </w:r>
            <w:r w:rsidR="00373A32" w:rsidRPr="00244121"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 xml:space="preserve"> </w:t>
            </w:r>
          </w:p>
          <w:p w14:paraId="4E50F04E" w14:textId="618DB41B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>КОНЦЕПТУАЛИЗАЦИЈЕ</w:t>
            </w:r>
            <w:r w:rsidR="00373A32" w:rsidRPr="00244121"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 xml:space="preserve"> 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>ПРИМЈЕНЕ</w:t>
            </w:r>
            <w:r w:rsidR="00436DC5" w:rsidRPr="00244121"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121FBC93" w14:textId="77777777" w:rsidR="00436DC5" w:rsidRPr="00244121" w:rsidRDefault="00436DC5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21DE1" w14:textId="77777777" w:rsidR="00436DC5" w:rsidRPr="00244121" w:rsidRDefault="00436DC5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948A54"/>
                <w:sz w:val="28"/>
                <w:szCs w:val="28"/>
                <w:lang w:val="sr-Cyrl-CS"/>
              </w:rPr>
            </w:pPr>
          </w:p>
        </w:tc>
      </w:tr>
      <w:tr w:rsidR="009B6B9B" w:rsidRPr="00244121" w14:paraId="302CAB74" w14:textId="77777777" w:rsidTr="007E0B5B">
        <w:trPr>
          <w:trHeight w:val="262"/>
          <w:jc w:val="center"/>
        </w:trPr>
        <w:tc>
          <w:tcPr>
            <w:tcW w:w="4061" w:type="dxa"/>
            <w:tcBorders>
              <w:top w:val="single" w:sz="4" w:space="0" w:color="948A54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noWrap/>
            <w:vAlign w:val="bottom"/>
            <w:hideMark/>
          </w:tcPr>
          <w:p w14:paraId="72E00CF7" w14:textId="566A90A2" w:rsidR="00436DC5" w:rsidRPr="00244121" w:rsidRDefault="00244121" w:rsidP="00F10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Друштвени</w:t>
            </w:r>
            <w:r w:rsidR="004D7169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приступ</w:t>
            </w:r>
          </w:p>
        </w:tc>
        <w:tc>
          <w:tcPr>
            <w:tcW w:w="2757" w:type="dxa"/>
            <w:gridSpan w:val="2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bottom"/>
            <w:hideMark/>
          </w:tcPr>
          <w:p w14:paraId="185E543F" w14:textId="4A515577" w:rsidR="00436DC5" w:rsidRPr="00244121" w:rsidRDefault="00244121" w:rsidP="00F1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Периоди</w:t>
            </w:r>
            <w:r w:rsidR="004D7169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концептуализације</w:t>
            </w:r>
          </w:p>
        </w:tc>
        <w:tc>
          <w:tcPr>
            <w:tcW w:w="2414" w:type="dxa"/>
            <w:gridSpan w:val="3"/>
            <w:tcBorders>
              <w:top w:val="single" w:sz="4" w:space="0" w:color="948A54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</w:tcPr>
          <w:p w14:paraId="75D2B9BE" w14:textId="1FCF30F5" w:rsidR="00436DC5" w:rsidRPr="00244121" w:rsidRDefault="00244121" w:rsidP="00F10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Периоди</w:t>
            </w:r>
            <w:r w:rsidR="004D7169" w:rsidRPr="0024412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sr-Cyrl-CS"/>
              </w:rPr>
              <w:t>примјене</w:t>
            </w:r>
          </w:p>
        </w:tc>
      </w:tr>
      <w:tr w:rsidR="00436DC5" w:rsidRPr="00244121" w14:paraId="30ADEC02" w14:textId="77777777" w:rsidTr="007E0B5B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3CBA5DAD" w14:textId="0E368E90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Дневни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центри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54A89C33" w14:textId="7EBCAAF2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29-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Сеп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637D2F03" w14:textId="40CA509D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19-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548161CD" w14:textId="7DBAAC7B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21-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0291DBE7" w14:textId="60D1ABF2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11-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Мар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  <w:tr w:rsidR="007E0B5B" w:rsidRPr="00244121" w14:paraId="3C0BA055" w14:textId="77777777" w:rsidTr="00AE64B6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6EB7F5F9" w14:textId="25425969" w:rsidR="007E0B5B" w:rsidRPr="00244121" w:rsidRDefault="00244121" w:rsidP="00436DC5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Модели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укључивања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мањина</w:t>
            </w:r>
            <w:r w:rsidR="007E0B5B"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 xml:space="preserve"> </w:t>
            </w:r>
          </w:p>
          <w:p w14:paraId="1B43E053" w14:textId="75840FE1" w:rsidR="007E0B5B" w:rsidRPr="00244121" w:rsidRDefault="00244121" w:rsidP="00436DC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Повјереник</w:t>
            </w:r>
            <w:r w:rsidR="004D7169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за</w:t>
            </w:r>
            <w:r w:rsidR="004D7169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мањине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1601813C" w14:textId="3084E6BA" w:rsidR="007E0B5B" w:rsidRPr="00244121" w:rsidRDefault="007E0B5B" w:rsidP="007E0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13-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52C78D4C" w14:textId="0E9A9B95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4C8486C8" w14:textId="74A7ED41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7-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13338F42" w14:textId="7B81D99E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31-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</w:tr>
      <w:tr w:rsidR="007E0B5B" w:rsidRPr="00244121" w14:paraId="2B60FAAD" w14:textId="77777777" w:rsidTr="00AE64B6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</w:tcPr>
          <w:p w14:paraId="7A687FAA" w14:textId="1FA2BBAA" w:rsidR="007E0B5B" w:rsidRPr="00244121" w:rsidRDefault="00244121" w:rsidP="00436DC5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Модели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укључивања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мањина</w:t>
            </w:r>
          </w:p>
          <w:p w14:paraId="2512B00D" w14:textId="56AB5E40" w:rsidR="007E0B5B" w:rsidRPr="00244121" w:rsidRDefault="00244121" w:rsidP="00436DC5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eastAsiaTheme="minorEastAsia"/>
                <w:noProof/>
                <w:sz w:val="20"/>
                <w:szCs w:val="20"/>
                <w:lang w:val="sr-Cyrl-CS"/>
              </w:rPr>
            </w:pP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Форум</w:t>
            </w:r>
            <w:r w:rsidR="004D7169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за</w:t>
            </w:r>
            <w:r w:rsidR="004D7169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социјални</w:t>
            </w:r>
            <w:r w:rsidR="004D7169" w:rsidRPr="00244121">
              <w:rPr>
                <w:rFonts w:eastAsiaTheme="minorEastAsia"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rFonts w:eastAsiaTheme="minorEastAsia"/>
                <w:noProof/>
                <w:sz w:val="20"/>
                <w:szCs w:val="20"/>
                <w:lang w:val="sr-Cyrl-CS"/>
              </w:rPr>
              <w:t>дијалог</w:t>
            </w:r>
          </w:p>
        </w:tc>
        <w:tc>
          <w:tcPr>
            <w:tcW w:w="1451" w:type="dxa"/>
            <w:vMerge/>
            <w:tcBorders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</w:tcPr>
          <w:p w14:paraId="58F8AE06" w14:textId="649C07BF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06" w:type="dxa"/>
            <w:vMerge/>
            <w:tcBorders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</w:tcPr>
          <w:p w14:paraId="57390B13" w14:textId="6DEC8F39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426AAB26" w14:textId="68EA7A08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29-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1134A314" w14:textId="04BDC9E0" w:rsidR="007E0B5B" w:rsidRPr="00244121" w:rsidRDefault="007E0B5B" w:rsidP="00F10C28">
            <w:pPr>
              <w:spacing w:after="0" w:line="240" w:lineRule="auto"/>
              <w:jc w:val="right"/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19-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Мар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  <w:tr w:rsidR="00436DC5" w:rsidRPr="00244121" w14:paraId="263BDEB6" w14:textId="77777777" w:rsidTr="007E0B5B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427D9278" w14:textId="1E2229EF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Мобилни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теренски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тимове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6668D457" w14:textId="54143DDC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25-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О</w:t>
            </w:r>
            <w:r w:rsidR="00AE7BDB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к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т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5EA70A22" w14:textId="242DED44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14-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493CB635" w14:textId="2EE24E37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16-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Феб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3926F2C2" w14:textId="4A294C10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2-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</w:t>
            </w:r>
            <w:r w:rsidR="00AE7BDB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ј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  <w:tr w:rsidR="00436DC5" w:rsidRPr="00244121" w14:paraId="42F5D774" w14:textId="77777777" w:rsidTr="007E0B5B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61DBA49D" w14:textId="023B7F24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Повећање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свијести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4246F33A" w14:textId="335A7C29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8-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36EDC9E5" w14:textId="589F23C9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28-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5B671727" w14:textId="7005B5AD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2-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Мар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1CF01F84" w14:textId="1FA65AED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2-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</w:t>
            </w:r>
            <w:r w:rsidR="00AE7BDB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ј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  <w:tr w:rsidR="00436DC5" w:rsidRPr="00244121" w14:paraId="7E576EAB" w14:textId="77777777" w:rsidTr="007E0B5B">
        <w:trPr>
          <w:trHeight w:val="408"/>
          <w:jc w:val="center"/>
        </w:trPr>
        <w:tc>
          <w:tcPr>
            <w:tcW w:w="4061" w:type="dxa"/>
            <w:tcBorders>
              <w:top w:val="nil"/>
              <w:left w:val="single" w:sz="4" w:space="0" w:color="948A54"/>
              <w:bottom w:val="single" w:sz="4" w:space="0" w:color="948A54"/>
              <w:right w:val="single" w:sz="4" w:space="0" w:color="948A54"/>
            </w:tcBorders>
            <w:shd w:val="clear" w:color="auto" w:fill="FFFFFF" w:themeFill="background1"/>
            <w:vAlign w:val="center"/>
            <w:hideMark/>
          </w:tcPr>
          <w:p w14:paraId="6C576870" w14:textId="231B781F" w:rsidR="00436DC5" w:rsidRPr="00244121" w:rsidRDefault="00244121" w:rsidP="00F10C28">
            <w:pPr>
              <w:spacing w:after="0" w:line="240" w:lineRule="auto"/>
              <w:ind w:firstLineChars="100" w:firstLine="201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Инклузивно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управљање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ризиком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од</w:t>
            </w:r>
            <w:r w:rsidR="004D7169" w:rsidRPr="00244121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sr-Cyrl-CS"/>
              </w:rPr>
              <w:t>катастрофа</w:t>
            </w:r>
            <w:r w:rsidR="00436DC5" w:rsidRPr="00244121">
              <w:rPr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704E6EB8" w14:textId="005DA483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22-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Нов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auto" w:fill="E2EFD9" w:themeFill="accent6" w:themeFillTint="33"/>
            <w:noWrap/>
            <w:vAlign w:val="center"/>
            <w:hideMark/>
          </w:tcPr>
          <w:p w14:paraId="0BFA878D" w14:textId="355EDCDE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12-</w:t>
            </w:r>
            <w:r w:rsid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Дец</w:t>
            </w:r>
            <w:r w:rsidRPr="00244121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  <w:t>-21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252EE5B2" w14:textId="54EED76E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9-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Мар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48A54"/>
              <w:right w:val="single" w:sz="4" w:space="0" w:color="948A54"/>
            </w:tcBorders>
            <w:shd w:val="clear" w:color="000000" w:fill="DDD9C4"/>
            <w:vAlign w:val="center"/>
          </w:tcPr>
          <w:p w14:paraId="132E9D5B" w14:textId="77C21153" w:rsidR="00436DC5" w:rsidRPr="00244121" w:rsidRDefault="00436DC5" w:rsidP="00F10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sr-Cyrl-CS"/>
              </w:rPr>
            </w:pP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8-</w:t>
            </w:r>
            <w:r w:rsid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Ма</w:t>
            </w:r>
            <w:r w:rsidR="00AE7BDB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ј</w:t>
            </w:r>
            <w:r w:rsidRPr="00244121">
              <w:rPr>
                <w:rFonts w:ascii="Calibri" w:hAnsi="Calibri"/>
                <w:noProof/>
                <w:color w:val="000000"/>
                <w:sz w:val="20"/>
                <w:szCs w:val="20"/>
                <w:lang w:val="sr-Cyrl-CS"/>
              </w:rPr>
              <w:t>-22</w:t>
            </w:r>
          </w:p>
        </w:tc>
      </w:tr>
    </w:tbl>
    <w:bookmarkEnd w:id="1"/>
    <w:p w14:paraId="557F58B7" w14:textId="3348F05D" w:rsidR="00247E8C" w:rsidRPr="00244121" w:rsidRDefault="00244121" w:rsidP="00247E8C">
      <w:pPr>
        <w:ind w:left="720" w:firstLine="720"/>
        <w:jc w:val="both"/>
        <w:rPr>
          <w:i/>
          <w:iCs/>
          <w:noProof/>
          <w:lang w:val="sr-Cyrl-CS"/>
        </w:rPr>
      </w:pPr>
      <w:r>
        <w:rPr>
          <w:i/>
          <w:iCs/>
          <w:noProof/>
          <w:sz w:val="20"/>
          <w:szCs w:val="20"/>
          <w:lang w:val="sr-Cyrl-CS"/>
        </w:rPr>
        <w:t>Напомена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: </w:t>
      </w:r>
      <w:r>
        <w:rPr>
          <w:i/>
          <w:iCs/>
          <w:noProof/>
          <w:sz w:val="20"/>
          <w:szCs w:val="20"/>
          <w:lang w:val="sr-Cyrl-CS"/>
        </w:rPr>
        <w:t>Датуми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у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табели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су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прелиминарни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И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могу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бити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предмет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  <w:r>
        <w:rPr>
          <w:i/>
          <w:iCs/>
          <w:noProof/>
          <w:sz w:val="20"/>
          <w:szCs w:val="20"/>
          <w:lang w:val="sr-Cyrl-CS"/>
        </w:rPr>
        <w:t>промјене</w:t>
      </w:r>
      <w:r w:rsidR="00247E8C" w:rsidRPr="00244121">
        <w:rPr>
          <w:i/>
          <w:iCs/>
          <w:noProof/>
          <w:sz w:val="20"/>
          <w:szCs w:val="20"/>
          <w:lang w:val="sr-Cyrl-CS"/>
        </w:rPr>
        <w:t xml:space="preserve"> </w:t>
      </w:r>
    </w:p>
    <w:p w14:paraId="0B9B079A" w14:textId="77777777" w:rsidR="00247E8C" w:rsidRPr="00244121" w:rsidRDefault="00247E8C" w:rsidP="00436DC5">
      <w:pPr>
        <w:rPr>
          <w:noProof/>
          <w:lang w:val="sr-Cyrl-CS"/>
        </w:rPr>
      </w:pPr>
    </w:p>
    <w:p w14:paraId="62E2B0E4" w14:textId="3CEC35DF" w:rsidR="00436DC5" w:rsidRPr="00244121" w:rsidRDefault="00244121" w:rsidP="00247E8C">
      <w:pPr>
        <w:jc w:val="both"/>
        <w:rPr>
          <w:noProof/>
          <w:lang w:val="sr-Cyrl-CS"/>
        </w:rPr>
      </w:pPr>
      <w:r>
        <w:rPr>
          <w:noProof/>
          <w:lang w:val="sr-Cyrl-CS"/>
        </w:rPr>
        <w:t>Период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повереника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мањине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релативно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кра</w:t>
      </w:r>
      <w:r w:rsidR="00C56EC3">
        <w:rPr>
          <w:noProof/>
          <w:lang w:val="sr-Cyrl-CS"/>
        </w:rPr>
        <w:t>ћ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поређењу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осталих</w:t>
      </w:r>
      <w:r w:rsidR="00247E8C" w:rsidRPr="00244121">
        <w:rPr>
          <w:noProof/>
          <w:lang w:val="sr-Cyrl-CS"/>
        </w:rPr>
        <w:t xml:space="preserve"> 5 </w:t>
      </w:r>
      <w:r>
        <w:rPr>
          <w:noProof/>
          <w:lang w:val="sr-Cyrl-CS"/>
        </w:rPr>
        <w:t>друштвених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247E8C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То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због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ограниченог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временског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имплементацију</w:t>
      </w:r>
      <w:r w:rsidR="00247E8C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предвиђа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имплементацију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пројектних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интервенција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децембра</w:t>
      </w:r>
      <w:r w:rsidR="00247E8C" w:rsidRPr="00244121">
        <w:rPr>
          <w:noProof/>
          <w:lang w:val="sr-Cyrl-CS"/>
        </w:rPr>
        <w:t xml:space="preserve">. </w:t>
      </w:r>
      <w:r>
        <w:rPr>
          <w:noProof/>
          <w:lang w:val="sr-Cyrl-CS"/>
        </w:rPr>
        <w:t>Период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између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регионалног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догађаја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C56EC3">
        <w:rPr>
          <w:noProof/>
          <w:lang w:val="sr-Cyrl-CS"/>
        </w:rPr>
        <w:t>ћ</w:t>
      </w:r>
      <w:r>
        <w:rPr>
          <w:noProof/>
          <w:lang w:val="sr-Cyrl-CS"/>
        </w:rPr>
        <w:t>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искориш</w:t>
      </w:r>
      <w:r w:rsidR="00C56EC3">
        <w:rPr>
          <w:noProof/>
          <w:lang w:val="sr-Cyrl-CS"/>
        </w:rPr>
        <w:t>т</w:t>
      </w:r>
      <w:r>
        <w:rPr>
          <w:noProof/>
          <w:lang w:val="sr-Cyrl-CS"/>
        </w:rPr>
        <w:t>ен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припрему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подношење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консолидованих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концепата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друштвеним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приступима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самоуправа</w:t>
      </w:r>
      <w:r w:rsidR="00247E8C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процену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одабир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најмање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најбоља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стране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локалних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самоуправа</w:t>
      </w:r>
      <w:r w:rsidR="00247E8C" w:rsidRPr="00244121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роба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одабрани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концепти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неопходни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имплементацију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</w:t>
      </w:r>
      <w:r w:rsidR="00840DB1">
        <w:rPr>
          <w:noProof/>
          <w:lang w:val="sr-Cyrl-CS"/>
        </w:rPr>
        <w:t>ћ</w:t>
      </w:r>
      <w:r>
        <w:rPr>
          <w:noProof/>
          <w:lang w:val="sr-Cyrl-CS"/>
        </w:rPr>
        <w:t>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друштвених</w:t>
      </w:r>
      <w:r w:rsidR="00247E8C" w:rsidRPr="00244121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приступа</w:t>
      </w:r>
      <w:r w:rsidR="00247E8C" w:rsidRPr="00244121">
        <w:rPr>
          <w:noProof/>
          <w:lang w:val="sr-Cyrl-CS"/>
        </w:rPr>
        <w:t>.</w:t>
      </w:r>
    </w:p>
    <w:sectPr w:rsidR="00436DC5" w:rsidRPr="00244121" w:rsidSect="009B6B9B">
      <w:headerReference w:type="first" r:id="rId25"/>
      <w:footerReference w:type="first" r:id="rId26"/>
      <w:pgSz w:w="11909" w:h="16834" w:code="9"/>
      <w:pgMar w:top="993" w:right="709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E32A" w14:textId="77777777" w:rsidR="00F55D55" w:rsidRDefault="00F55D55" w:rsidP="00D54100">
      <w:pPr>
        <w:spacing w:after="0" w:line="240" w:lineRule="auto"/>
      </w:pPr>
      <w:r>
        <w:separator/>
      </w:r>
    </w:p>
  </w:endnote>
  <w:endnote w:type="continuationSeparator" w:id="0">
    <w:p w14:paraId="2D4CB914" w14:textId="77777777" w:rsidR="00F55D55" w:rsidRDefault="00F55D55" w:rsidP="00D5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AC56" w14:textId="22E0A9A0" w:rsidR="00D54100" w:rsidRPr="00244121" w:rsidRDefault="00D54100">
    <w:pPr>
      <w:pStyle w:val="Podnoje"/>
      <w:jc w:val="right"/>
      <w:rPr>
        <w:noProof/>
        <w:sz w:val="20"/>
        <w:szCs w:val="20"/>
        <w:lang w:val="sr-Cyrl-CS"/>
      </w:rPr>
    </w:pPr>
  </w:p>
  <w:p w14:paraId="4CBC88F8" w14:textId="77777777" w:rsidR="00D54100" w:rsidRPr="00244121" w:rsidRDefault="00D54100">
    <w:pPr>
      <w:pStyle w:val="Podnoje"/>
      <w:rPr>
        <w:noProof/>
        <w:sz w:val="20"/>
        <w:szCs w:val="20"/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2B0A" w14:textId="77777777" w:rsidR="00F55D55" w:rsidRDefault="00F55D55" w:rsidP="00D54100">
      <w:pPr>
        <w:spacing w:after="0" w:line="240" w:lineRule="auto"/>
      </w:pPr>
      <w:r>
        <w:separator/>
      </w:r>
    </w:p>
  </w:footnote>
  <w:footnote w:type="continuationSeparator" w:id="0">
    <w:p w14:paraId="720DB27B" w14:textId="77777777" w:rsidR="00F55D55" w:rsidRDefault="00F55D55" w:rsidP="00D5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6B03" w14:textId="082E5CEB" w:rsidR="00D54100" w:rsidRDefault="00880FA3">
    <w:pPr>
      <w:pStyle w:val="Zaglavl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11B7A" wp14:editId="0F228AC4">
              <wp:simplePos x="0" y="0"/>
              <wp:positionH relativeFrom="column">
                <wp:posOffset>-38100</wp:posOffset>
              </wp:positionH>
              <wp:positionV relativeFrom="paragraph">
                <wp:posOffset>-228600</wp:posOffset>
              </wp:positionV>
              <wp:extent cx="1092200" cy="793750"/>
              <wp:effectExtent l="0" t="0" r="1270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43CF4" w14:textId="3FA74883" w:rsidR="00880FA3" w:rsidRPr="00244121" w:rsidRDefault="0042608C" w:rsidP="00880FA3">
                          <w:pPr>
                            <w:rPr>
                              <w:noProof/>
                              <w:lang w:val="sr-Cyrl-C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959379" wp14:editId="7847402D">
                                <wp:extent cx="552450" cy="693420"/>
                                <wp:effectExtent l="0" t="0" r="0" b="0"/>
                                <wp:docPr id="9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2450" cy="693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11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pt;margin-top:-18pt;width:86pt;height: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DHIwIAAEYEAAAOAAAAZHJzL2Uyb0RvYy54bWysU9uO0zAQfUfiHyy/06Shpduo6WrpUoS0&#10;XKRdPmDqOI2F7Qm222T5esZOt1QLvCD8YHk84+OZc2ZW14PR7CidV2grPp3knEkrsFZ2X/GvD9tX&#10;V5z5ALYGjVZW/FF6fr1++WLVd6UssEVdS8cIxPqy7yrehtCVWeZFKw34CXbSkrNBZyCQ6fZZ7aAn&#10;dKOzIs/fZD26unMopPd0ezs6+TrhN40U4XPTeBmYrjjlFtLu0r6Le7ZeQbl30LVKnNKAf8jCgLL0&#10;6RnqFgKwg1O/QRklHHpswkSgybBplJCpBqpmmj+r5r6FTqZaiBzfnWny/w9WfDp+cUzVFS+mC84s&#10;GBLpQQ6BvcWBFZGfvvMlhd13FBgGuiadU62+u0PxzTOLmxbsXt44h30roab8pvFldvF0xPERZNd/&#10;xJq+gUPABDQ0zkTyiA5G6KTT41mbmIqIX+bLggTnTJBvsXy9mCfxMiifXnfOh/cSDYuHijvSPqHD&#10;8c6HmA2UTyHxM49a1VuldTLcfrfRjh2B+mSbVirgWZi2rK/4cl7MRwL+CpGn9ScIowI1vFam4lfn&#10;ICgjbe9sndoxgNLjmVLW9sRjpG4kMQy74aTLDutHYtTh2Ng0iHRo0f3grKemrrj/fgAnOdMfLKmy&#10;nM5mcQqSMZsvCjLcpWd36QErCKrigbPxuAlpciJhFm9IvUYlYqPMYyanXKlZE9+nwYrTcGmnqF/j&#10;v/4JAAD//wMAUEsDBBQABgAIAAAAIQBgT+BX3QAAAAkBAAAPAAAAZHJzL2Rvd25yZXYueG1sTI9B&#10;T8MwDIXvSPyHyEhc0JbCUNlK0wkhgeAGA23XrPHaisQpSdaVf497gpOf5afn75Xr0VkxYIidJwXX&#10;8wwEUu1NR42Cz4+n2RJETJqMtp5QwQ9GWFfnZ6UujD/ROw6b1AgOoVhoBW1KfSFlrFt0Os59j8S3&#10;gw9OJ15DI03QJw53Vt5kWS6d7og/tLrHxxbrr83RKVjevgy7+Lp429b5wa7S1d3w/B2UurwYH+5B&#10;JBzTnxkmfEaHipn2/kgmCqtglnOVxHMxicmQT2LP6asMZFXK/w2qXwAAAP//AwBQSwECLQAUAAYA&#10;CAAAACEAtoM4kv4AAADhAQAAEwAAAAAAAAAAAAAAAAAAAAAAW0NvbnRlbnRfVHlwZXNdLnhtbFBL&#10;AQItABQABgAIAAAAIQA4/SH/1gAAAJQBAAALAAAAAAAAAAAAAAAAAC8BAABfcmVscy8ucmVsc1BL&#10;AQItABQABgAIAAAAIQCIkTDHIwIAAEYEAAAOAAAAAAAAAAAAAAAAAC4CAABkcnMvZTJvRG9jLnht&#10;bFBLAQItABQABgAIAAAAIQBgT+BX3QAAAAkBAAAPAAAAAAAAAAAAAAAAAH0EAABkcnMvZG93bnJl&#10;di54bWxQSwUGAAAAAAQABADzAAAAhwUAAAAA&#10;">
              <v:textbox>
                <w:txbxContent>
                  <w:p w14:paraId="5ED43CF4" w14:textId="3FA74883" w:rsidR="00880FA3" w:rsidRPr="00244121" w:rsidRDefault="0042608C" w:rsidP="00880FA3">
                    <w:pPr>
                      <w:rPr>
                        <w:noProof/>
                        <w:lang w:val="sr-Cyrl-C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959379" wp14:editId="7847402D">
                          <wp:extent cx="552450" cy="693420"/>
                          <wp:effectExtent l="0" t="0" r="0" b="0"/>
                          <wp:docPr id="9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1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2450" cy="693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100"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12E15CFF" wp14:editId="6C75C3B6">
          <wp:simplePos x="0" y="0"/>
          <wp:positionH relativeFrom="margin">
            <wp:align>right</wp:align>
          </wp:positionH>
          <wp:positionV relativeFrom="margin">
            <wp:posOffset>-1035050</wp:posOffset>
          </wp:positionV>
          <wp:extent cx="3552190" cy="1009650"/>
          <wp:effectExtent l="0" t="0" r="0" b="0"/>
          <wp:wrapSquare wrapText="bothSides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898CFF" w14:textId="591EA860" w:rsidR="00D54100" w:rsidRDefault="00D54100">
    <w:pPr>
      <w:pStyle w:val="Zaglavlje"/>
    </w:pPr>
  </w:p>
  <w:p w14:paraId="4052B6E6" w14:textId="77777777" w:rsidR="00D54100" w:rsidRDefault="00D54100">
    <w:pPr>
      <w:pStyle w:val="Zaglavlje"/>
    </w:pPr>
  </w:p>
  <w:p w14:paraId="64FC32D0" w14:textId="78672BC4" w:rsidR="00D54100" w:rsidRDefault="00D541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E5"/>
    <w:multiLevelType w:val="hybridMultilevel"/>
    <w:tmpl w:val="BD3E6542"/>
    <w:lvl w:ilvl="0" w:tplc="F86A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u w:color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313"/>
    <w:multiLevelType w:val="hybridMultilevel"/>
    <w:tmpl w:val="8B1E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678"/>
    <w:multiLevelType w:val="hybridMultilevel"/>
    <w:tmpl w:val="335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72C4" w:themeColor="accent1"/>
      </w:rPr>
    </w:lvl>
    <w:lvl w:ilvl="2" w:tplc="DEF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20494"/>
    <w:multiLevelType w:val="hybridMultilevel"/>
    <w:tmpl w:val="8F38F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2E4F9E"/>
    <w:multiLevelType w:val="hybridMultilevel"/>
    <w:tmpl w:val="39DE8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41C73"/>
    <w:multiLevelType w:val="hybridMultilevel"/>
    <w:tmpl w:val="9746FF78"/>
    <w:lvl w:ilvl="0" w:tplc="129A10A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MTAwNjI2MjU3MjZR0lEKTi0uzszPAykwrgUADoJWCCwAAAA="/>
  </w:docVars>
  <w:rsids>
    <w:rsidRoot w:val="00D92CE4"/>
    <w:rsid w:val="00007676"/>
    <w:rsid w:val="000104A1"/>
    <w:rsid w:val="00012C72"/>
    <w:rsid w:val="00052912"/>
    <w:rsid w:val="00093099"/>
    <w:rsid w:val="000D106A"/>
    <w:rsid w:val="000F6742"/>
    <w:rsid w:val="001139BC"/>
    <w:rsid w:val="00133B62"/>
    <w:rsid w:val="00152249"/>
    <w:rsid w:val="001838DD"/>
    <w:rsid w:val="001968E8"/>
    <w:rsid w:val="001D1BDB"/>
    <w:rsid w:val="00230442"/>
    <w:rsid w:val="00244121"/>
    <w:rsid w:val="002457AD"/>
    <w:rsid w:val="00247E8C"/>
    <w:rsid w:val="00301F96"/>
    <w:rsid w:val="00307918"/>
    <w:rsid w:val="003561B8"/>
    <w:rsid w:val="00364271"/>
    <w:rsid w:val="00373A32"/>
    <w:rsid w:val="00376991"/>
    <w:rsid w:val="003D0885"/>
    <w:rsid w:val="003F4722"/>
    <w:rsid w:val="0042608C"/>
    <w:rsid w:val="00436DC5"/>
    <w:rsid w:val="0047274A"/>
    <w:rsid w:val="004D7169"/>
    <w:rsid w:val="004D7312"/>
    <w:rsid w:val="005B0549"/>
    <w:rsid w:val="00607625"/>
    <w:rsid w:val="00611CC2"/>
    <w:rsid w:val="0062381E"/>
    <w:rsid w:val="0062618F"/>
    <w:rsid w:val="006361E2"/>
    <w:rsid w:val="006743C5"/>
    <w:rsid w:val="006D5F8A"/>
    <w:rsid w:val="006E3D49"/>
    <w:rsid w:val="00740FF2"/>
    <w:rsid w:val="007C6578"/>
    <w:rsid w:val="007E0B5B"/>
    <w:rsid w:val="007E215A"/>
    <w:rsid w:val="007E4BAC"/>
    <w:rsid w:val="007F6A9D"/>
    <w:rsid w:val="00800B5B"/>
    <w:rsid w:val="0080414A"/>
    <w:rsid w:val="008345E2"/>
    <w:rsid w:val="00840DB1"/>
    <w:rsid w:val="008552A5"/>
    <w:rsid w:val="00880FA3"/>
    <w:rsid w:val="008A79A8"/>
    <w:rsid w:val="008C5BCC"/>
    <w:rsid w:val="008D1604"/>
    <w:rsid w:val="008D62D4"/>
    <w:rsid w:val="0092454A"/>
    <w:rsid w:val="00937225"/>
    <w:rsid w:val="00966326"/>
    <w:rsid w:val="0097213B"/>
    <w:rsid w:val="009737E0"/>
    <w:rsid w:val="00987921"/>
    <w:rsid w:val="009B6B9B"/>
    <w:rsid w:val="009F494B"/>
    <w:rsid w:val="00A0161D"/>
    <w:rsid w:val="00A115E9"/>
    <w:rsid w:val="00A11F53"/>
    <w:rsid w:val="00A33570"/>
    <w:rsid w:val="00A673EF"/>
    <w:rsid w:val="00AE3827"/>
    <w:rsid w:val="00AE7BDB"/>
    <w:rsid w:val="00B9517F"/>
    <w:rsid w:val="00C069B2"/>
    <w:rsid w:val="00C119FF"/>
    <w:rsid w:val="00C32ADE"/>
    <w:rsid w:val="00C56EC3"/>
    <w:rsid w:val="00C76B03"/>
    <w:rsid w:val="00D15BFF"/>
    <w:rsid w:val="00D45972"/>
    <w:rsid w:val="00D461C4"/>
    <w:rsid w:val="00D54100"/>
    <w:rsid w:val="00D62175"/>
    <w:rsid w:val="00D678F8"/>
    <w:rsid w:val="00D90005"/>
    <w:rsid w:val="00D92CE4"/>
    <w:rsid w:val="00D97882"/>
    <w:rsid w:val="00DA53DF"/>
    <w:rsid w:val="00DB51C9"/>
    <w:rsid w:val="00DE2D78"/>
    <w:rsid w:val="00DE7A74"/>
    <w:rsid w:val="00DF0759"/>
    <w:rsid w:val="00F5257D"/>
    <w:rsid w:val="00F55D55"/>
    <w:rsid w:val="00F575DD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051D3"/>
  <w15:chartTrackingRefBased/>
  <w15:docId w15:val="{70D410CA-F36B-4985-A757-49BB653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E2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3">
    <w:name w:val="Plain Table 3"/>
    <w:basedOn w:val="Obinatablica"/>
    <w:uiPriority w:val="43"/>
    <w:rsid w:val="00D92C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dlomakpopisa">
    <w:name w:val="List Paragraph"/>
    <w:basedOn w:val="Normal"/>
    <w:uiPriority w:val="34"/>
    <w:qFormat/>
    <w:rsid w:val="00DE2D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E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erencakomentara">
    <w:name w:val="annotation reference"/>
    <w:basedOn w:val="Zadanifontodlomka"/>
    <w:uiPriority w:val="99"/>
    <w:semiHidden/>
    <w:unhideWhenUsed/>
    <w:rsid w:val="006743C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43C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43C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43C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43C5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D541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5410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5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100"/>
  </w:style>
  <w:style w:type="paragraph" w:styleId="Podnoje">
    <w:name w:val="footer"/>
    <w:basedOn w:val="Normal"/>
    <w:link w:val="PodnojeChar"/>
    <w:uiPriority w:val="99"/>
    <w:unhideWhenUsed/>
    <w:rsid w:val="00D5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info@alvrs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diagramColors" Target="diagrams/colors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10C36F-D6BD-4D31-96F3-2019A03AEC78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2DA7A8D-E4C3-4381-BF9B-309DB318A550}">
      <dgm:prSet phldrT="[Text]"/>
      <dgm:spPr/>
      <dgm:t>
        <a:bodyPr/>
        <a:lstStyle/>
        <a:p>
          <a:r>
            <a:rPr lang="en-US"/>
            <a:t>Regional Exchange Event 1</a:t>
          </a:r>
        </a:p>
      </dgm:t>
    </dgm:pt>
    <dgm:pt modelId="{6B97DCF2-08F3-4FA3-88DE-2E76A80132E1}" type="parTrans" cxnId="{E28BE387-D3D9-47A5-8C0A-84ADEBA4043F}">
      <dgm:prSet/>
      <dgm:spPr/>
      <dgm:t>
        <a:bodyPr/>
        <a:lstStyle/>
        <a:p>
          <a:endParaRPr lang="en-US"/>
        </a:p>
      </dgm:t>
    </dgm:pt>
    <dgm:pt modelId="{4D651B83-5C70-4266-9C62-5F9B6E5FF1F5}" type="sibTrans" cxnId="{E28BE387-D3D9-47A5-8C0A-84ADEBA4043F}">
      <dgm:prSet/>
      <dgm:spPr/>
      <dgm:t>
        <a:bodyPr/>
        <a:lstStyle/>
        <a:p>
          <a:endParaRPr lang="en-US"/>
        </a:p>
      </dgm:t>
    </dgm:pt>
    <dgm:pt modelId="{ADA48101-9BC9-4386-953C-FC987AA3C4BD}">
      <dgm:prSet phldrT="[Text]"/>
      <dgm:spPr>
        <a:solidFill>
          <a:schemeClr val="accent2"/>
        </a:solidFill>
      </dgm:spPr>
      <dgm:t>
        <a:bodyPr/>
        <a:lstStyle/>
        <a:p>
          <a:r>
            <a:rPr lang="en-US" b="1"/>
            <a:t>Concept</a:t>
          </a:r>
          <a:r>
            <a:rPr lang="en-US"/>
            <a:t> for establishemnt of a Social Approach</a:t>
          </a:r>
        </a:p>
      </dgm:t>
    </dgm:pt>
    <dgm:pt modelId="{637496F9-A2E1-4DE2-ACCB-E9BCF9C77D97}" type="parTrans" cxnId="{6C4D5EFB-ECCB-44F9-9398-57632601E77E}">
      <dgm:prSet/>
      <dgm:spPr/>
      <dgm:t>
        <a:bodyPr/>
        <a:lstStyle/>
        <a:p>
          <a:endParaRPr lang="en-US"/>
        </a:p>
      </dgm:t>
    </dgm:pt>
    <dgm:pt modelId="{C075AD82-1F87-4368-8DF6-E93151B7AA24}" type="sibTrans" cxnId="{6C4D5EFB-ECCB-44F9-9398-57632601E77E}">
      <dgm:prSet/>
      <dgm:spPr/>
      <dgm:t>
        <a:bodyPr/>
        <a:lstStyle/>
        <a:p>
          <a:endParaRPr lang="en-US"/>
        </a:p>
      </dgm:t>
    </dgm:pt>
    <dgm:pt modelId="{6D2AF8A6-A1C4-4E1D-A5F8-2D6FA2FD8CF9}">
      <dgm:prSet phldrT="[Text]"/>
      <dgm:spPr/>
      <dgm:t>
        <a:bodyPr/>
        <a:lstStyle/>
        <a:p>
          <a:r>
            <a:rPr lang="en-US"/>
            <a:t>Regional Exchange Event 2</a:t>
          </a:r>
        </a:p>
      </dgm:t>
    </dgm:pt>
    <dgm:pt modelId="{E01C25D6-481A-45F4-B2BD-990E0690A44D}" type="parTrans" cxnId="{F31B1607-B81E-44AA-9946-266CCF7914FF}">
      <dgm:prSet/>
      <dgm:spPr/>
      <dgm:t>
        <a:bodyPr/>
        <a:lstStyle/>
        <a:p>
          <a:endParaRPr lang="en-US"/>
        </a:p>
      </dgm:t>
    </dgm:pt>
    <dgm:pt modelId="{9BF4C3A1-7B50-4589-B0F9-933CDDC5B86F}" type="sibTrans" cxnId="{F31B1607-B81E-44AA-9946-266CCF7914FF}">
      <dgm:prSet/>
      <dgm:spPr/>
      <dgm:t>
        <a:bodyPr/>
        <a:lstStyle/>
        <a:p>
          <a:endParaRPr lang="en-US"/>
        </a:p>
      </dgm:t>
    </dgm:pt>
    <dgm:pt modelId="{3D37CDAF-4A2B-45BE-A707-B3083712D7DC}">
      <dgm:prSet/>
      <dgm:spPr>
        <a:solidFill>
          <a:schemeClr val="accent6"/>
        </a:solidFill>
      </dgm:spPr>
      <dgm:t>
        <a:bodyPr/>
        <a:lstStyle/>
        <a:p>
          <a:r>
            <a:rPr lang="en-US" b="1"/>
            <a:t>Application</a:t>
          </a:r>
          <a:r>
            <a:rPr lang="en-US"/>
            <a:t> of Social Approach</a:t>
          </a:r>
        </a:p>
      </dgm:t>
    </dgm:pt>
    <dgm:pt modelId="{7BD5A2DF-15A0-459A-B7BF-9C8F2F77DE2E}" type="parTrans" cxnId="{A7D89439-90E9-496A-894D-AE50573E62AA}">
      <dgm:prSet/>
      <dgm:spPr/>
      <dgm:t>
        <a:bodyPr/>
        <a:lstStyle/>
        <a:p>
          <a:endParaRPr lang="en-US"/>
        </a:p>
      </dgm:t>
    </dgm:pt>
    <dgm:pt modelId="{BFC74B85-F225-4BCF-AA02-774B6EE29F5E}" type="sibTrans" cxnId="{A7D89439-90E9-496A-894D-AE50573E62AA}">
      <dgm:prSet/>
      <dgm:spPr/>
      <dgm:t>
        <a:bodyPr/>
        <a:lstStyle/>
        <a:p>
          <a:endParaRPr lang="en-US"/>
        </a:p>
      </dgm:t>
    </dgm:pt>
    <dgm:pt modelId="{B42BC757-9882-4C97-8176-F59B6EF4B5BA}">
      <dgm:prSet/>
      <dgm:spPr/>
      <dgm:t>
        <a:bodyPr/>
        <a:lstStyle/>
        <a:p>
          <a:r>
            <a:rPr lang="en-US"/>
            <a:t>Regional Exchange Event 3</a:t>
          </a:r>
        </a:p>
      </dgm:t>
    </dgm:pt>
    <dgm:pt modelId="{A93EE0E7-4BD9-44E9-9E47-CA51BB71D16F}" type="parTrans" cxnId="{20DF5DF0-BF4E-4DE2-90C9-4B7C13099819}">
      <dgm:prSet/>
      <dgm:spPr/>
      <dgm:t>
        <a:bodyPr/>
        <a:lstStyle/>
        <a:p>
          <a:endParaRPr lang="en-US"/>
        </a:p>
      </dgm:t>
    </dgm:pt>
    <dgm:pt modelId="{EAA91B0D-1F82-482F-AB0E-2CE512A6F01A}" type="sibTrans" cxnId="{20DF5DF0-BF4E-4DE2-90C9-4B7C13099819}">
      <dgm:prSet/>
      <dgm:spPr/>
      <dgm:t>
        <a:bodyPr/>
        <a:lstStyle/>
        <a:p>
          <a:endParaRPr lang="en-US"/>
        </a:p>
      </dgm:t>
    </dgm:pt>
    <dgm:pt modelId="{A9DEF33B-2A47-4810-8E8B-B212E2FC1966}" type="pres">
      <dgm:prSet presAssocID="{FC10C36F-D6BD-4D31-96F3-2019A03AEC78}" presName="Name0" presStyleCnt="0">
        <dgm:presLayoutVars>
          <dgm:dir/>
          <dgm:animLvl val="lvl"/>
          <dgm:resizeHandles val="exact"/>
        </dgm:presLayoutVars>
      </dgm:prSet>
      <dgm:spPr/>
    </dgm:pt>
    <dgm:pt modelId="{DE4DA045-1B6E-4F36-A2C6-0BC1D7805CD1}" type="pres">
      <dgm:prSet presAssocID="{52DA7A8D-E4C3-4381-BF9B-309DB318A550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57098FF1-DEF0-4D96-BE42-6D89673198A9}" type="pres">
      <dgm:prSet presAssocID="{4D651B83-5C70-4266-9C62-5F9B6E5FF1F5}" presName="parTxOnlySpace" presStyleCnt="0"/>
      <dgm:spPr/>
    </dgm:pt>
    <dgm:pt modelId="{D1A9935B-A120-44FB-B5BB-05338485901D}" type="pres">
      <dgm:prSet presAssocID="{ADA48101-9BC9-4386-953C-FC987AA3C4BD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16A82545-794A-4FB5-B0F1-4AA47626CFF7}" type="pres">
      <dgm:prSet presAssocID="{C075AD82-1F87-4368-8DF6-E93151B7AA24}" presName="parTxOnlySpace" presStyleCnt="0"/>
      <dgm:spPr/>
    </dgm:pt>
    <dgm:pt modelId="{4EDC9EFA-1ACD-46C0-AA00-351EEF77F226}" type="pres">
      <dgm:prSet presAssocID="{6D2AF8A6-A1C4-4E1D-A5F8-2D6FA2FD8CF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617EA066-02AF-4037-8CE3-18E0DC7C58E8}" type="pres">
      <dgm:prSet presAssocID="{9BF4C3A1-7B50-4589-B0F9-933CDDC5B86F}" presName="parTxOnlySpace" presStyleCnt="0"/>
      <dgm:spPr/>
    </dgm:pt>
    <dgm:pt modelId="{5057F81F-FA5A-430C-B366-9316ED6BD9ED}" type="pres">
      <dgm:prSet presAssocID="{3D37CDAF-4A2B-45BE-A707-B3083712D7DC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B3EA836B-023E-4DD5-8C2E-EE0769671BB4}" type="pres">
      <dgm:prSet presAssocID="{BFC74B85-F225-4BCF-AA02-774B6EE29F5E}" presName="parTxOnlySpace" presStyleCnt="0"/>
      <dgm:spPr/>
    </dgm:pt>
    <dgm:pt modelId="{1CAE8613-48E0-4E0B-A8C7-607F4DAC2B43}" type="pres">
      <dgm:prSet presAssocID="{B42BC757-9882-4C97-8176-F59B6EF4B5BA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F31B1607-B81E-44AA-9946-266CCF7914FF}" srcId="{FC10C36F-D6BD-4D31-96F3-2019A03AEC78}" destId="{6D2AF8A6-A1C4-4E1D-A5F8-2D6FA2FD8CF9}" srcOrd="2" destOrd="0" parTransId="{E01C25D6-481A-45F4-B2BD-990E0690A44D}" sibTransId="{9BF4C3A1-7B50-4589-B0F9-933CDDC5B86F}"/>
    <dgm:cxn modelId="{A7D89439-90E9-496A-894D-AE50573E62AA}" srcId="{FC10C36F-D6BD-4D31-96F3-2019A03AEC78}" destId="{3D37CDAF-4A2B-45BE-A707-B3083712D7DC}" srcOrd="3" destOrd="0" parTransId="{7BD5A2DF-15A0-459A-B7BF-9C8F2F77DE2E}" sibTransId="{BFC74B85-F225-4BCF-AA02-774B6EE29F5E}"/>
    <dgm:cxn modelId="{7CD4F664-253F-420D-BF93-10BF69E0477C}" type="presOf" srcId="{B42BC757-9882-4C97-8176-F59B6EF4B5BA}" destId="{1CAE8613-48E0-4E0B-A8C7-607F4DAC2B43}" srcOrd="0" destOrd="0" presId="urn:microsoft.com/office/officeart/2005/8/layout/chevron1"/>
    <dgm:cxn modelId="{B8B0F266-FC95-4C23-892E-1A945D9BA60F}" type="presOf" srcId="{52DA7A8D-E4C3-4381-BF9B-309DB318A550}" destId="{DE4DA045-1B6E-4F36-A2C6-0BC1D7805CD1}" srcOrd="0" destOrd="0" presId="urn:microsoft.com/office/officeart/2005/8/layout/chevron1"/>
    <dgm:cxn modelId="{E28BE387-D3D9-47A5-8C0A-84ADEBA4043F}" srcId="{FC10C36F-D6BD-4D31-96F3-2019A03AEC78}" destId="{52DA7A8D-E4C3-4381-BF9B-309DB318A550}" srcOrd="0" destOrd="0" parTransId="{6B97DCF2-08F3-4FA3-88DE-2E76A80132E1}" sibTransId="{4D651B83-5C70-4266-9C62-5F9B6E5FF1F5}"/>
    <dgm:cxn modelId="{73EC3D99-AEE1-48F0-B603-2CB168F0BEA3}" type="presOf" srcId="{ADA48101-9BC9-4386-953C-FC987AA3C4BD}" destId="{D1A9935B-A120-44FB-B5BB-05338485901D}" srcOrd="0" destOrd="0" presId="urn:microsoft.com/office/officeart/2005/8/layout/chevron1"/>
    <dgm:cxn modelId="{594F87B4-A7EC-44F9-969B-724D5AE53698}" type="presOf" srcId="{6D2AF8A6-A1C4-4E1D-A5F8-2D6FA2FD8CF9}" destId="{4EDC9EFA-1ACD-46C0-AA00-351EEF77F226}" srcOrd="0" destOrd="0" presId="urn:microsoft.com/office/officeart/2005/8/layout/chevron1"/>
    <dgm:cxn modelId="{E5500BB8-1050-474B-9EC9-BFC3E8025957}" type="presOf" srcId="{3D37CDAF-4A2B-45BE-A707-B3083712D7DC}" destId="{5057F81F-FA5A-430C-B366-9316ED6BD9ED}" srcOrd="0" destOrd="0" presId="urn:microsoft.com/office/officeart/2005/8/layout/chevron1"/>
    <dgm:cxn modelId="{20DF5DF0-BF4E-4DE2-90C9-4B7C13099819}" srcId="{FC10C36F-D6BD-4D31-96F3-2019A03AEC78}" destId="{B42BC757-9882-4C97-8176-F59B6EF4B5BA}" srcOrd="4" destOrd="0" parTransId="{A93EE0E7-4BD9-44E9-9E47-CA51BB71D16F}" sibTransId="{EAA91B0D-1F82-482F-AB0E-2CE512A6F01A}"/>
    <dgm:cxn modelId="{011150F1-F746-4DAA-BE06-9C6D39374B12}" type="presOf" srcId="{FC10C36F-D6BD-4D31-96F3-2019A03AEC78}" destId="{A9DEF33B-2A47-4810-8E8B-B212E2FC1966}" srcOrd="0" destOrd="0" presId="urn:microsoft.com/office/officeart/2005/8/layout/chevron1"/>
    <dgm:cxn modelId="{6C4D5EFB-ECCB-44F9-9398-57632601E77E}" srcId="{FC10C36F-D6BD-4D31-96F3-2019A03AEC78}" destId="{ADA48101-9BC9-4386-953C-FC987AA3C4BD}" srcOrd="1" destOrd="0" parTransId="{637496F9-A2E1-4DE2-ACCB-E9BCF9C77D97}" sibTransId="{C075AD82-1F87-4368-8DF6-E93151B7AA24}"/>
    <dgm:cxn modelId="{873830E2-6315-4C57-A6F8-AFA958EC3E39}" type="presParOf" srcId="{A9DEF33B-2A47-4810-8E8B-B212E2FC1966}" destId="{DE4DA045-1B6E-4F36-A2C6-0BC1D7805CD1}" srcOrd="0" destOrd="0" presId="urn:microsoft.com/office/officeart/2005/8/layout/chevron1"/>
    <dgm:cxn modelId="{7E924E03-BEC0-413F-B46A-F87907955D05}" type="presParOf" srcId="{A9DEF33B-2A47-4810-8E8B-B212E2FC1966}" destId="{57098FF1-DEF0-4D96-BE42-6D89673198A9}" srcOrd="1" destOrd="0" presId="urn:microsoft.com/office/officeart/2005/8/layout/chevron1"/>
    <dgm:cxn modelId="{87603373-37DB-460E-B8A5-252DF6253DAF}" type="presParOf" srcId="{A9DEF33B-2A47-4810-8E8B-B212E2FC1966}" destId="{D1A9935B-A120-44FB-B5BB-05338485901D}" srcOrd="2" destOrd="0" presId="urn:microsoft.com/office/officeart/2005/8/layout/chevron1"/>
    <dgm:cxn modelId="{C8202FEB-37D0-4583-9B33-3F225DC1AD39}" type="presParOf" srcId="{A9DEF33B-2A47-4810-8E8B-B212E2FC1966}" destId="{16A82545-794A-4FB5-B0F1-4AA47626CFF7}" srcOrd="3" destOrd="0" presId="urn:microsoft.com/office/officeart/2005/8/layout/chevron1"/>
    <dgm:cxn modelId="{2CA2F295-53B2-432C-8A64-E012EF7B6F43}" type="presParOf" srcId="{A9DEF33B-2A47-4810-8E8B-B212E2FC1966}" destId="{4EDC9EFA-1ACD-46C0-AA00-351EEF77F226}" srcOrd="4" destOrd="0" presId="urn:microsoft.com/office/officeart/2005/8/layout/chevron1"/>
    <dgm:cxn modelId="{4194E385-70C8-4FCA-B450-1C9C19B5C8E8}" type="presParOf" srcId="{A9DEF33B-2A47-4810-8E8B-B212E2FC1966}" destId="{617EA066-02AF-4037-8CE3-18E0DC7C58E8}" srcOrd="5" destOrd="0" presId="urn:microsoft.com/office/officeart/2005/8/layout/chevron1"/>
    <dgm:cxn modelId="{D47FF08A-4CFD-4691-A3C6-53B82C82ED0D}" type="presParOf" srcId="{A9DEF33B-2A47-4810-8E8B-B212E2FC1966}" destId="{5057F81F-FA5A-430C-B366-9316ED6BD9ED}" srcOrd="6" destOrd="0" presId="urn:microsoft.com/office/officeart/2005/8/layout/chevron1"/>
    <dgm:cxn modelId="{29BBC05C-1CC3-41B0-B22D-0E531DF25471}" type="presParOf" srcId="{A9DEF33B-2A47-4810-8E8B-B212E2FC1966}" destId="{B3EA836B-023E-4DD5-8C2E-EE0769671BB4}" srcOrd="7" destOrd="0" presId="urn:microsoft.com/office/officeart/2005/8/layout/chevron1"/>
    <dgm:cxn modelId="{9A9F0F8F-F0F6-4815-9B5A-A11B7F008335}" type="presParOf" srcId="{A9DEF33B-2A47-4810-8E8B-B212E2FC1966}" destId="{1CAE8613-48E0-4E0B-A8C7-607F4DAC2B43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4DA045-1B6E-4F36-A2C6-0BC1D7805CD1}">
      <dsp:nvSpPr>
        <dsp:cNvPr id="0" name=""/>
        <dsp:cNvSpPr/>
      </dsp:nvSpPr>
      <dsp:spPr>
        <a:xfrm>
          <a:off x="1399" y="208458"/>
          <a:ext cx="1245785" cy="498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Regional Exchange Event 1</a:t>
          </a:r>
        </a:p>
      </dsp:txBody>
      <dsp:txXfrm>
        <a:off x="250556" y="208458"/>
        <a:ext cx="747471" cy="498314"/>
      </dsp:txXfrm>
    </dsp:sp>
    <dsp:sp modelId="{D1A9935B-A120-44FB-B5BB-05338485901D}">
      <dsp:nvSpPr>
        <dsp:cNvPr id="0" name=""/>
        <dsp:cNvSpPr/>
      </dsp:nvSpPr>
      <dsp:spPr>
        <a:xfrm>
          <a:off x="1122607" y="208458"/>
          <a:ext cx="1245785" cy="498314"/>
        </a:xfrm>
        <a:prstGeom prst="chevron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Concept</a:t>
          </a:r>
          <a:r>
            <a:rPr lang="en-US" sz="800" kern="1200"/>
            <a:t> for establishemnt of a Social Approach</a:t>
          </a:r>
        </a:p>
      </dsp:txBody>
      <dsp:txXfrm>
        <a:off x="1371764" y="208458"/>
        <a:ext cx="747471" cy="498314"/>
      </dsp:txXfrm>
    </dsp:sp>
    <dsp:sp modelId="{4EDC9EFA-1ACD-46C0-AA00-351EEF77F226}">
      <dsp:nvSpPr>
        <dsp:cNvPr id="0" name=""/>
        <dsp:cNvSpPr/>
      </dsp:nvSpPr>
      <dsp:spPr>
        <a:xfrm>
          <a:off x="2243814" y="208458"/>
          <a:ext cx="1245785" cy="498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Regional Exchange Event 2</a:t>
          </a:r>
        </a:p>
      </dsp:txBody>
      <dsp:txXfrm>
        <a:off x="2492971" y="208458"/>
        <a:ext cx="747471" cy="498314"/>
      </dsp:txXfrm>
    </dsp:sp>
    <dsp:sp modelId="{5057F81F-FA5A-430C-B366-9316ED6BD9ED}">
      <dsp:nvSpPr>
        <dsp:cNvPr id="0" name=""/>
        <dsp:cNvSpPr/>
      </dsp:nvSpPr>
      <dsp:spPr>
        <a:xfrm>
          <a:off x="3365021" y="208458"/>
          <a:ext cx="1245785" cy="498314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Application</a:t>
          </a:r>
          <a:r>
            <a:rPr lang="en-US" sz="800" kern="1200"/>
            <a:t> of Social Approach</a:t>
          </a:r>
        </a:p>
      </dsp:txBody>
      <dsp:txXfrm>
        <a:off x="3614178" y="208458"/>
        <a:ext cx="747471" cy="498314"/>
      </dsp:txXfrm>
    </dsp:sp>
    <dsp:sp modelId="{1CAE8613-48E0-4E0B-A8C7-607F4DAC2B43}">
      <dsp:nvSpPr>
        <dsp:cNvPr id="0" name=""/>
        <dsp:cNvSpPr/>
      </dsp:nvSpPr>
      <dsp:spPr>
        <a:xfrm>
          <a:off x="4486229" y="208458"/>
          <a:ext cx="1245785" cy="49831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Regional Exchange Event 3</a:t>
          </a:r>
        </a:p>
      </dsp:txBody>
      <dsp:txXfrm>
        <a:off x="4735386" y="208458"/>
        <a:ext cx="747471" cy="498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5</Pages>
  <Words>1578</Words>
  <Characters>8996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info alvrs</cp:lastModifiedBy>
  <cp:revision>45</cp:revision>
  <dcterms:created xsi:type="dcterms:W3CDTF">2021-08-30T13:01:00Z</dcterms:created>
  <dcterms:modified xsi:type="dcterms:W3CDTF">2021-09-03T09:39:00Z</dcterms:modified>
</cp:coreProperties>
</file>