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A3" w:rsidRDefault="006A7FA3" w:rsidP="004F503C">
      <w:pPr>
        <w:spacing w:after="0" w:line="240" w:lineRule="auto"/>
        <w:jc w:val="both"/>
        <w:rPr>
          <w:rFonts w:ascii="Arial Narrow" w:hAnsi="Arial Narrow"/>
          <w:sz w:val="24"/>
          <w:szCs w:val="24"/>
          <w:lang w:val="sr-Latn-BA"/>
        </w:rPr>
      </w:pPr>
    </w:p>
    <w:p w:rsidR="00EC20F0" w:rsidRDefault="006A7FA3" w:rsidP="00EC20F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BA"/>
        </w:rPr>
      </w:pPr>
      <w:r w:rsidRPr="00EC20F0">
        <w:rPr>
          <w:rFonts w:ascii="Cambria" w:hAnsi="Cambria"/>
          <w:b/>
          <w:i/>
          <w:sz w:val="28"/>
          <w:szCs w:val="28"/>
          <w:u w:val="single"/>
          <w:lang w:val="sr-Latn-BA"/>
        </w:rPr>
        <w:t>Пројектни задатак</w:t>
      </w:r>
      <w:r w:rsidRPr="00EC20F0">
        <w:rPr>
          <w:rFonts w:ascii="Cambria" w:hAnsi="Cambria"/>
          <w:b/>
          <w:sz w:val="28"/>
          <w:szCs w:val="28"/>
          <w:lang w:val="sr-Latn-BA"/>
        </w:rPr>
        <w:t>:</w:t>
      </w:r>
    </w:p>
    <w:p w:rsidR="00EC20F0" w:rsidRPr="00EC20F0" w:rsidRDefault="00EC20F0" w:rsidP="00EC20F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Latn-BA"/>
        </w:rPr>
      </w:pPr>
    </w:p>
    <w:p w:rsidR="004F503C" w:rsidRPr="00EC20F0" w:rsidRDefault="00EC20F0" w:rsidP="00EC20F0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Cyrl-RS"/>
        </w:rPr>
      </w:pPr>
      <w:r>
        <w:rPr>
          <w:rFonts w:ascii="Cambria" w:hAnsi="Cambria"/>
          <w:b/>
          <w:sz w:val="28"/>
          <w:szCs w:val="28"/>
          <w:lang w:val="sr-Cyrl-RS"/>
        </w:rPr>
        <w:t>„</w:t>
      </w:r>
      <w:r w:rsidR="004F503C" w:rsidRPr="00EC20F0">
        <w:rPr>
          <w:rFonts w:ascii="Cambria" w:hAnsi="Cambria"/>
          <w:b/>
          <w:sz w:val="28"/>
          <w:szCs w:val="28"/>
          <w:lang w:val="sr-Latn-BA"/>
        </w:rPr>
        <w:t xml:space="preserve">Водич кроз анализу </w:t>
      </w:r>
      <w:r w:rsidR="006A7FA3" w:rsidRPr="00EC20F0">
        <w:rPr>
          <w:rFonts w:ascii="Cambria" w:hAnsi="Cambria"/>
          <w:b/>
          <w:sz w:val="28"/>
          <w:szCs w:val="28"/>
          <w:lang w:val="sr-Latn-BA"/>
        </w:rPr>
        <w:t>к</w:t>
      </w:r>
      <w:r w:rsidR="004F503C" w:rsidRPr="00EC20F0">
        <w:rPr>
          <w:rFonts w:ascii="Cambria" w:hAnsi="Cambria"/>
          <w:b/>
          <w:sz w:val="28"/>
          <w:szCs w:val="28"/>
          <w:lang w:val="sr-Latn-BA"/>
        </w:rPr>
        <w:t>ључних проблема управљања финансијама на локалном нивоу</w:t>
      </w:r>
      <w:r>
        <w:rPr>
          <w:rFonts w:ascii="Cambria" w:hAnsi="Cambria"/>
          <w:b/>
          <w:sz w:val="28"/>
          <w:szCs w:val="28"/>
          <w:lang w:val="sr-Cyrl-RS"/>
        </w:rPr>
        <w:t>“</w:t>
      </w:r>
    </w:p>
    <w:p w:rsidR="004F503C" w:rsidRPr="00EC20F0" w:rsidRDefault="004F503C" w:rsidP="004F503C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87B7E" w:rsidRPr="00EC20F0" w:rsidRDefault="00787B7E" w:rsidP="00EC20F0">
      <w:pPr>
        <w:spacing w:after="0" w:line="276" w:lineRule="auto"/>
        <w:jc w:val="both"/>
        <w:rPr>
          <w:rFonts w:ascii="Cambria" w:hAnsi="Cambria"/>
          <w:i/>
          <w:sz w:val="20"/>
          <w:szCs w:val="20"/>
          <w:u w:val="single"/>
          <w:lang w:val="sr-Latn-BA"/>
        </w:rPr>
      </w:pPr>
      <w:r w:rsidRPr="00EC20F0">
        <w:rPr>
          <w:rFonts w:ascii="Cambria" w:hAnsi="Cambria"/>
          <w:i/>
          <w:sz w:val="20"/>
          <w:szCs w:val="20"/>
          <w:u w:val="single"/>
          <w:lang w:val="sr-Latn-BA"/>
        </w:rPr>
        <w:t xml:space="preserve">Позадина проблема: </w:t>
      </w:r>
    </w:p>
    <w:p w:rsidR="00D66BE9" w:rsidRPr="00EC20F0" w:rsidRDefault="00D66BE9" w:rsidP="00EC20F0">
      <w:pPr>
        <w:spacing w:after="0" w:line="276" w:lineRule="auto"/>
        <w:jc w:val="both"/>
        <w:rPr>
          <w:rFonts w:ascii="Cambria" w:hAnsi="Cambria"/>
          <w:sz w:val="20"/>
          <w:szCs w:val="20"/>
          <w:lang w:val="sr-Latn-BA"/>
        </w:rPr>
      </w:pPr>
      <w:r w:rsidRPr="00EC20F0">
        <w:rPr>
          <w:rFonts w:ascii="Cambria" w:hAnsi="Cambria"/>
          <w:sz w:val="20"/>
          <w:szCs w:val="20"/>
          <w:lang w:val="sr-Latn-BA"/>
        </w:rPr>
        <w:t>Реферишући се само на период 2022.године, 22</w:t>
      </w:r>
      <w:r w:rsidR="00EC20F0">
        <w:rPr>
          <w:rFonts w:ascii="Cambria" w:hAnsi="Cambria"/>
          <w:sz w:val="20"/>
          <w:szCs w:val="20"/>
          <w:lang w:val="sr-Cyrl-RS"/>
        </w:rPr>
        <w:t xml:space="preserve"> јединице локалне самоуправе (у даљем тексту: ЈЛС) </w:t>
      </w:r>
      <w:r w:rsidRPr="00EC20F0">
        <w:rPr>
          <w:rFonts w:ascii="Cambria" w:hAnsi="Cambria"/>
          <w:sz w:val="20"/>
          <w:szCs w:val="20"/>
          <w:lang w:val="sr-Latn-BA"/>
        </w:rPr>
        <w:t xml:space="preserve"> су биле предмет финансијске ревизије Главне службе за ревизију ЈСРС. У ревизорском циклусу за 2022. годину ревидиране су 22 ЈЛС, од којих је 17 ЈЛС добило мишљење са резервом за </w:t>
      </w:r>
      <w:r w:rsidR="00EC20F0">
        <w:rPr>
          <w:rFonts w:ascii="Cambria" w:hAnsi="Cambria"/>
          <w:sz w:val="20"/>
          <w:szCs w:val="20"/>
          <w:lang w:val="sr-Cyrl-RS"/>
        </w:rPr>
        <w:t>финансијске извјештаје (у даљем тексту:ФИ)</w:t>
      </w:r>
      <w:bookmarkStart w:id="0" w:name="_GoBack"/>
      <w:bookmarkEnd w:id="0"/>
      <w:r w:rsidRPr="00EC20F0">
        <w:rPr>
          <w:rFonts w:ascii="Cambria" w:hAnsi="Cambria"/>
          <w:sz w:val="20"/>
          <w:szCs w:val="20"/>
          <w:lang w:val="sr-Latn-BA"/>
        </w:rPr>
        <w:t xml:space="preserve"> и са усклађеност, док су позитивно мишљење добиле </w:t>
      </w:r>
      <w:r w:rsidR="0090588B" w:rsidRPr="00EC20F0">
        <w:rPr>
          <w:rFonts w:ascii="Cambria" w:hAnsi="Cambria"/>
          <w:sz w:val="20"/>
          <w:szCs w:val="20"/>
          <w:lang w:val="sr-Latn-BA"/>
        </w:rPr>
        <w:t xml:space="preserve">само </w:t>
      </w:r>
      <w:r w:rsidRPr="00EC20F0">
        <w:rPr>
          <w:rFonts w:ascii="Cambria" w:hAnsi="Cambria"/>
          <w:sz w:val="20"/>
          <w:szCs w:val="20"/>
          <w:lang w:val="sr-Latn-BA"/>
        </w:rPr>
        <w:t xml:space="preserve">двије ЈЛС, </w:t>
      </w:r>
      <w:r w:rsidR="0090588B" w:rsidRPr="00EC20F0">
        <w:rPr>
          <w:rFonts w:ascii="Cambria" w:hAnsi="Cambria"/>
          <w:sz w:val="20"/>
          <w:szCs w:val="20"/>
          <w:lang w:val="sr-Latn-BA"/>
        </w:rPr>
        <w:t xml:space="preserve">Остале три ЈЛС су добиле комбиновано мишљење са резервом  и позитивно мишљење (на ФИ и на усклађеност). </w:t>
      </w:r>
    </w:p>
    <w:p w:rsidR="00787B7E" w:rsidRPr="00EC20F0" w:rsidRDefault="0090588B" w:rsidP="00EC20F0">
      <w:pPr>
        <w:spacing w:after="0" w:line="276" w:lineRule="auto"/>
        <w:jc w:val="both"/>
        <w:rPr>
          <w:rFonts w:ascii="Cambria" w:hAnsi="Cambria"/>
          <w:sz w:val="20"/>
          <w:szCs w:val="20"/>
          <w:lang w:val="sr-Latn-BA"/>
        </w:rPr>
      </w:pPr>
      <w:r w:rsidRPr="00EC20F0">
        <w:rPr>
          <w:rFonts w:ascii="Cambria" w:hAnsi="Cambria"/>
          <w:sz w:val="20"/>
          <w:szCs w:val="20"/>
          <w:lang w:val="sr-Latn-BA"/>
        </w:rPr>
        <w:t>Уважавајући претходне чињенице, финансијска дисциплина у ЈЛС није на задовољавајућем нивоу јер су констатно присутна мишљења са резервом која се понављају.</w:t>
      </w:r>
      <w:r w:rsidR="00D66BE9" w:rsidRPr="00EC20F0">
        <w:rPr>
          <w:rFonts w:ascii="Cambria" w:hAnsi="Cambria"/>
          <w:sz w:val="20"/>
          <w:szCs w:val="20"/>
          <w:lang w:val="sr-Latn-BA"/>
        </w:rPr>
        <w:t xml:space="preserve"> Планом Главне службе за ревизију ЈСРС предвиђе су финансијске ревизије за 21 ЈЛС.</w:t>
      </w:r>
    </w:p>
    <w:p w:rsidR="00787B7E" w:rsidRPr="00EC20F0" w:rsidRDefault="00787B7E" w:rsidP="00EC20F0">
      <w:pPr>
        <w:spacing w:after="0" w:line="276" w:lineRule="auto"/>
        <w:jc w:val="both"/>
        <w:rPr>
          <w:rFonts w:ascii="Cambria" w:hAnsi="Cambria"/>
          <w:sz w:val="20"/>
          <w:szCs w:val="20"/>
        </w:rPr>
      </w:pPr>
    </w:p>
    <w:p w:rsidR="00524772" w:rsidRPr="00EC20F0" w:rsidRDefault="004F503C" w:rsidP="00EC20F0">
      <w:pPr>
        <w:spacing w:after="0" w:line="276" w:lineRule="auto"/>
        <w:jc w:val="both"/>
        <w:rPr>
          <w:rFonts w:ascii="Cambria" w:hAnsi="Cambria"/>
          <w:sz w:val="20"/>
          <w:szCs w:val="20"/>
          <w:lang w:val="sr-Latn-BA"/>
        </w:rPr>
      </w:pPr>
      <w:r w:rsidRPr="00EC20F0">
        <w:rPr>
          <w:rFonts w:ascii="Cambria" w:hAnsi="Cambria"/>
          <w:i/>
          <w:sz w:val="20"/>
          <w:szCs w:val="20"/>
          <w:u w:val="single"/>
          <w:lang w:val="sr-Latn-BA"/>
        </w:rPr>
        <w:t>Циљ водича</w:t>
      </w:r>
      <w:r w:rsidRPr="00EC20F0">
        <w:rPr>
          <w:rFonts w:ascii="Cambria" w:hAnsi="Cambria"/>
          <w:sz w:val="20"/>
          <w:szCs w:val="20"/>
          <w:lang w:val="sr-Latn-BA"/>
        </w:rPr>
        <w:t xml:space="preserve"> је </w:t>
      </w:r>
      <w:r w:rsidRPr="00EC20F0">
        <w:rPr>
          <w:rFonts w:ascii="Cambria" w:hAnsi="Cambria"/>
          <w:sz w:val="20"/>
          <w:szCs w:val="20"/>
        </w:rPr>
        <w:t>сумирање и побројавање сви</w:t>
      </w:r>
      <w:r w:rsidRPr="00EC20F0">
        <w:rPr>
          <w:rFonts w:ascii="Cambria" w:hAnsi="Cambria"/>
          <w:sz w:val="20"/>
          <w:szCs w:val="20"/>
          <w:lang w:val="sr-Latn-BA"/>
        </w:rPr>
        <w:t xml:space="preserve">х </w:t>
      </w:r>
      <w:r w:rsidRPr="00EC20F0">
        <w:rPr>
          <w:rFonts w:ascii="Cambria" w:hAnsi="Cambria"/>
          <w:sz w:val="20"/>
          <w:szCs w:val="20"/>
        </w:rPr>
        <w:t>кључни</w:t>
      </w:r>
      <w:r w:rsidRPr="00EC20F0">
        <w:rPr>
          <w:rFonts w:ascii="Cambria" w:hAnsi="Cambria"/>
          <w:sz w:val="20"/>
          <w:szCs w:val="20"/>
          <w:lang w:val="sr-Latn-BA"/>
        </w:rPr>
        <w:t>х</w:t>
      </w:r>
      <w:r w:rsidRPr="00EC20F0">
        <w:rPr>
          <w:rFonts w:ascii="Cambria" w:hAnsi="Cambria"/>
          <w:sz w:val="20"/>
          <w:szCs w:val="20"/>
        </w:rPr>
        <w:t xml:space="preserve"> налаза из вишегодишњих</w:t>
      </w:r>
      <w:r w:rsidRPr="00EC20F0">
        <w:rPr>
          <w:rFonts w:ascii="Cambria" w:hAnsi="Cambria"/>
          <w:sz w:val="20"/>
          <w:szCs w:val="20"/>
          <w:lang w:val="sr-Latn-BA"/>
        </w:rPr>
        <w:t xml:space="preserve"> </w:t>
      </w:r>
      <w:r w:rsidRPr="00EC20F0">
        <w:rPr>
          <w:rFonts w:ascii="Cambria" w:hAnsi="Cambria"/>
          <w:sz w:val="20"/>
          <w:szCs w:val="20"/>
        </w:rPr>
        <w:t>ревизија на локалном нивоу</w:t>
      </w:r>
      <w:r w:rsidR="00501C0F" w:rsidRPr="00EC20F0">
        <w:rPr>
          <w:rFonts w:ascii="Cambria" w:hAnsi="Cambria"/>
          <w:sz w:val="20"/>
          <w:szCs w:val="20"/>
          <w:lang w:val="sr-Latn-BA"/>
        </w:rPr>
        <w:t xml:space="preserve"> извршених од стране Главне службе за ревизију ЈСРС са узорком од 100% ЈЛС које су ревидиране у претходна три ревизорска циклуса.</w:t>
      </w:r>
      <w:r w:rsidR="00787B7E" w:rsidRPr="00EC20F0">
        <w:rPr>
          <w:rFonts w:ascii="Cambria" w:hAnsi="Cambria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Како су циљ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побољшања </w:t>
      </w:r>
      <w:r w:rsidRPr="00EC20F0">
        <w:rPr>
          <w:rFonts w:ascii="Cambria" w:eastAsia="MyriadPro-LightCond" w:hAnsi="Cambria" w:cs="MyriadPro-LightCond"/>
          <w:sz w:val="20"/>
          <w:szCs w:val="20"/>
        </w:rPr>
        <w:t>у области јавних финансија ради ефикаснијег управљања јавним финансијама и смањења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могућности за корупцију, овај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Водич</w:t>
      </w: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 подржава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успостављање нових и побољшање постојећих механизама за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спр</w:t>
      </w:r>
      <w:r w:rsidR="00D66BE9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ј</w:t>
      </w:r>
      <w:r w:rsidRPr="00EC20F0">
        <w:rPr>
          <w:rFonts w:ascii="Cambria" w:eastAsia="MyriadPro-LightCond" w:hAnsi="Cambria" w:cs="MyriadPro-LightCond"/>
          <w:sz w:val="20"/>
          <w:szCs w:val="20"/>
        </w:rPr>
        <w:t>ечавање неправилности у трошењу јавних средстава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у ЈЛС.</w:t>
      </w:r>
      <w:r w:rsidR="00787B7E" w:rsidRPr="00EC20F0">
        <w:rPr>
          <w:rFonts w:ascii="Cambria" w:hAnsi="Cambria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Ц</w:t>
      </w: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иљ јесте </w:t>
      </w:r>
      <w:r w:rsidR="00787B7E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и </w:t>
      </w:r>
      <w:r w:rsidRPr="00EC20F0">
        <w:rPr>
          <w:rFonts w:ascii="Cambria" w:eastAsia="MyriadPro-LightCond" w:hAnsi="Cambria" w:cs="MyriadPro-LightCond"/>
          <w:sz w:val="20"/>
          <w:szCs w:val="20"/>
        </w:rPr>
        <w:t>да се скрене пажња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="00F84DE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да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ЈЛС </w:t>
      </w:r>
      <w:r w:rsidRPr="00EC20F0">
        <w:rPr>
          <w:rFonts w:ascii="Cambria" w:eastAsia="MyriadPro-LightCond" w:hAnsi="Cambria" w:cs="MyriadPro-LightCond"/>
          <w:sz w:val="20"/>
          <w:szCs w:val="20"/>
        </w:rPr>
        <w:t>саме, сопственим снагама, отклоне побројане неправилности или несврсисходности, поготово оне које су таквог карактера</w:t>
      </w:r>
      <w:r w:rsidR="00F84DE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и природе да се могу лакше отклонити</w:t>
      </w:r>
      <w:r w:rsidR="00C01DBF" w:rsidRPr="00EC20F0">
        <w:rPr>
          <w:rFonts w:ascii="Cambria" w:eastAsia="MyriadPro-LightCond" w:hAnsi="Cambria" w:cs="MyriadPro-LightCond"/>
          <w:sz w:val="20"/>
          <w:szCs w:val="20"/>
        </w:rPr>
        <w:t>, односно да се</w:t>
      </w:r>
      <w:r w:rsidR="00F84DE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оно што није исправно или што није правилно урађено</w:t>
      </w:r>
      <w:r w:rsidR="00F84DE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отклони на вр</w:t>
      </w:r>
      <w:r w:rsidR="00F84DE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иј</w:t>
      </w: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еме, како не би стварало негативне </w:t>
      </w:r>
      <w:r w:rsidR="00F84DEA" w:rsidRPr="00EC20F0">
        <w:rPr>
          <w:rFonts w:ascii="Cambria" w:eastAsia="MyriadPro-LightCond" w:hAnsi="Cambria" w:cs="MyriadPro-LightCond"/>
          <w:sz w:val="20"/>
          <w:szCs w:val="20"/>
        </w:rPr>
        <w:t>посљ</w:t>
      </w:r>
      <w:r w:rsidRPr="00EC20F0">
        <w:rPr>
          <w:rFonts w:ascii="Cambria" w:eastAsia="MyriadPro-LightCond" w:hAnsi="Cambria" w:cs="MyriadPro-LightCond"/>
          <w:sz w:val="20"/>
          <w:szCs w:val="20"/>
        </w:rPr>
        <w:t>едице у пословању</w:t>
      </w:r>
      <w:r w:rsidR="00F84DE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локалних </w:t>
      </w:r>
      <w:r w:rsidR="00F84DEA" w:rsidRPr="00EC20F0">
        <w:rPr>
          <w:rFonts w:ascii="Cambria" w:eastAsia="MyriadPro-LightCond" w:hAnsi="Cambria" w:cs="MyriadPro-LightCond"/>
          <w:sz w:val="20"/>
          <w:szCs w:val="20"/>
        </w:rPr>
        <w:t>заједница.</w:t>
      </w:r>
    </w:p>
    <w:p w:rsidR="00CA331B" w:rsidRPr="00EC20F0" w:rsidRDefault="00CA331B" w:rsidP="00EC20F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</w:rPr>
        <w:t xml:space="preserve">Циљ овог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Водича </w:t>
      </w:r>
      <w:r w:rsidRPr="00EC20F0">
        <w:rPr>
          <w:rFonts w:ascii="Cambria" w:eastAsia="MyriadPro-LightCond" w:hAnsi="Cambria" w:cs="MyriadPro-LightCond"/>
          <w:sz w:val="20"/>
          <w:szCs w:val="20"/>
        </w:rPr>
        <w:t>је да помогне руководству јединице локалне самоуправе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у р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ј</w:t>
      </w:r>
      <w:r w:rsidRPr="00EC20F0">
        <w:rPr>
          <w:rFonts w:ascii="Cambria" w:eastAsia="MyriadPro-LightCond" w:hAnsi="Cambria" w:cs="MyriadPro-LightCond"/>
          <w:sz w:val="20"/>
          <w:szCs w:val="20"/>
        </w:rPr>
        <w:t>ешавању конкретних проблема кроз указивање на негативне прим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ј</w:t>
      </w:r>
      <w:r w:rsidRPr="00EC20F0">
        <w:rPr>
          <w:rFonts w:ascii="Cambria" w:eastAsia="MyriadPro-LightCond" w:hAnsi="Cambria" w:cs="MyriadPro-LightCond"/>
          <w:sz w:val="20"/>
          <w:szCs w:val="20"/>
        </w:rPr>
        <w:t>ере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у пракси, како се они не би понављали и како би се унапредили рад и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резултати у овим областима, што ће у коначном утицати на помаке и да ће локалне власти управљати јавним финансијама одговорно и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</w:rPr>
        <w:t>у складу са начелима сврсисходности и ефикасности.</w:t>
      </w:r>
      <w:r w:rsidR="00D66BE9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То ће уједно значити побољшање финансијског управљања, финансијског извјештавања и усклађености пословања са законима и прописима те омогућити избјегавање негативних квалификација.</w:t>
      </w:r>
    </w:p>
    <w:p w:rsidR="00787B7E" w:rsidRPr="00EC20F0" w:rsidRDefault="00787B7E" w:rsidP="00501C0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</w:p>
    <w:p w:rsidR="00787B7E" w:rsidRPr="00EC20F0" w:rsidRDefault="00787B7E" w:rsidP="00EC20F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MyriadPro-LightCond" w:hAnsi="Cambria" w:cs="MyriadPro-LightCond"/>
          <w:i/>
          <w:sz w:val="20"/>
          <w:szCs w:val="20"/>
          <w:u w:val="single"/>
          <w:lang w:val="sr-Latn-BA"/>
        </w:rPr>
      </w:pPr>
      <w:r w:rsidRPr="00EC20F0">
        <w:rPr>
          <w:rFonts w:ascii="Cambria" w:eastAsia="MyriadPro-LightCond" w:hAnsi="Cambria" w:cs="MyriadPro-LightCond"/>
          <w:i/>
          <w:sz w:val="20"/>
          <w:szCs w:val="20"/>
          <w:u w:val="single"/>
          <w:lang w:val="sr-Latn-BA"/>
        </w:rPr>
        <w:t>Структура водича:</w:t>
      </w:r>
      <w:r w:rsidR="00EC20F0" w:rsidRPr="00EC20F0">
        <w:rPr>
          <w:rFonts w:ascii="Cambria" w:eastAsia="MyriadPro-LightCond" w:hAnsi="Cambria" w:cs="MyriadPro-LightCond"/>
          <w:sz w:val="20"/>
          <w:szCs w:val="20"/>
          <w:lang w:val="sr-Cyrl-RS"/>
        </w:rPr>
        <w:t xml:space="preserve"> 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Водич би био структуриран на начин да су у њему </w:t>
      </w:r>
      <w:r w:rsidRPr="00EC20F0">
        <w:rPr>
          <w:rFonts w:ascii="Cambria" w:hAnsi="Cambria"/>
          <w:sz w:val="20"/>
          <w:szCs w:val="20"/>
        </w:rPr>
        <w:t>синтетизовани и таксативно побројани</w:t>
      </w: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</w:t>
      </w:r>
      <w:r w:rsidRPr="00EC20F0">
        <w:rPr>
          <w:rFonts w:ascii="Cambria" w:hAnsi="Cambria"/>
          <w:sz w:val="20"/>
          <w:szCs w:val="20"/>
        </w:rPr>
        <w:t>кључни проблеми и детаљно обрађени у смислу прецизног</w:t>
      </w:r>
      <w:r w:rsidRPr="00EC20F0">
        <w:rPr>
          <w:rFonts w:ascii="Cambria" w:hAnsi="Cambria"/>
          <w:sz w:val="20"/>
          <w:szCs w:val="20"/>
          <w:lang w:val="sr-Latn-BA"/>
        </w:rPr>
        <w:t xml:space="preserve"> </w:t>
      </w:r>
      <w:r w:rsidRPr="00EC20F0">
        <w:rPr>
          <w:rFonts w:ascii="Cambria" w:hAnsi="Cambria"/>
          <w:sz w:val="20"/>
          <w:szCs w:val="20"/>
        </w:rPr>
        <w:t>објашњења правног оквира који треба поштовати како се неправилности</w:t>
      </w:r>
      <w:r w:rsidRPr="00EC20F0">
        <w:rPr>
          <w:rFonts w:ascii="Cambria" w:hAnsi="Cambria"/>
          <w:sz w:val="20"/>
          <w:szCs w:val="20"/>
          <w:lang w:val="sr-Latn-BA"/>
        </w:rPr>
        <w:t xml:space="preserve"> </w:t>
      </w:r>
      <w:r w:rsidRPr="00EC20F0">
        <w:rPr>
          <w:rFonts w:ascii="Cambria" w:hAnsi="Cambria"/>
          <w:sz w:val="20"/>
          <w:szCs w:val="20"/>
        </w:rPr>
        <w:t>не би догодиле уз одређене приједлоге како исте отклонити тамо гјде је то могуће.</w:t>
      </w:r>
    </w:p>
    <w:p w:rsidR="00787B7E" w:rsidRPr="00EC20F0" w:rsidRDefault="00787B7E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Уопштено о финансијској ревизији и корацима финансијсе ревизије</w:t>
      </w:r>
      <w:r w:rsidR="00EC327A"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 код ЈЛС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Преглед </w:t>
      </w:r>
      <w:r w:rsidRPr="00EC20F0">
        <w:rPr>
          <w:rFonts w:ascii="Cambria" w:hAnsi="Cambria" w:cs="Arial"/>
          <w:iCs/>
          <w:sz w:val="20"/>
          <w:szCs w:val="20"/>
        </w:rPr>
        <w:t>финансијских ревизија јединица локалне самоуправе проведених у претходне три године, а закљу</w:t>
      </w:r>
      <w:r w:rsidRPr="00EC20F0">
        <w:rPr>
          <w:rFonts w:ascii="Cambria" w:hAnsi="Cambria" w:cs="Arial"/>
          <w:iCs/>
          <w:sz w:val="20"/>
          <w:szCs w:val="20"/>
          <w:lang w:val="sr-Latn-BA"/>
        </w:rPr>
        <w:t>чно са 31.12.2022.године на начин да се обухвате све ЈЛС са информацијама о периоду вршења ревизије, мишљењу, броу датих препорука итд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mbria" w:eastAsia="MyriadPro-LightCond" w:hAnsi="Cambria" w:cs="MyriadPro-LightCond"/>
          <w:b/>
          <w:i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</w:rPr>
        <w:t>Најзначајније грешке</w:t>
      </w:r>
      <w:r w:rsidRPr="00EC20F0">
        <w:rPr>
          <w:rFonts w:ascii="Cambria" w:hAnsi="Cambria" w:cs="Arial"/>
          <w:sz w:val="20"/>
          <w:szCs w:val="20"/>
          <w:lang w:val="sr-Latn-BA"/>
        </w:rPr>
        <w:t xml:space="preserve"> </w:t>
      </w:r>
      <w:r w:rsidRPr="00EC20F0">
        <w:rPr>
          <w:rFonts w:ascii="Cambria" w:hAnsi="Cambria" w:cs="Arial"/>
          <w:sz w:val="20"/>
          <w:szCs w:val="20"/>
        </w:rPr>
        <w:t>од утицаја на мишљење о финансијским извјештајима код ревидираних ЈЛС</w:t>
      </w:r>
      <w:r w:rsidR="008D0E3B" w:rsidRPr="00EC20F0">
        <w:rPr>
          <w:rFonts w:ascii="Cambria" w:hAnsi="Cambria" w:cs="Arial"/>
          <w:sz w:val="20"/>
          <w:szCs w:val="20"/>
        </w:rPr>
        <w:t xml:space="preserve"> и друге грешке од значаја </w:t>
      </w:r>
      <w:r w:rsidRPr="00EC20F0">
        <w:rPr>
          <w:rFonts w:ascii="Cambria" w:hAnsi="Cambria" w:cs="Arial"/>
          <w:sz w:val="20"/>
          <w:szCs w:val="20"/>
          <w:lang w:val="sr-Latn-BA"/>
        </w:rPr>
        <w:t>са статистичким обрадама</w:t>
      </w:r>
      <w:r w:rsidR="008D0E3B" w:rsidRPr="00EC20F0">
        <w:rPr>
          <w:rFonts w:ascii="Cambria" w:hAnsi="Cambria" w:cs="Arial"/>
          <w:sz w:val="20"/>
          <w:szCs w:val="20"/>
          <w:lang w:val="sr-Latn-BA"/>
        </w:rPr>
        <w:t xml:space="preserve"> – живи примјери према сљедећем</w:t>
      </w:r>
      <w:r w:rsidRPr="00EC20F0">
        <w:rPr>
          <w:rFonts w:ascii="Cambria" w:hAnsi="Cambria" w:cs="Arial"/>
          <w:sz w:val="20"/>
          <w:szCs w:val="20"/>
          <w:lang w:val="sr-Latn-BA"/>
        </w:rPr>
        <w:t>: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b/>
          <w:i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Консолидација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b/>
          <w:i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Попис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Напомене уз ФИ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Исказивање имовине у сталним средствима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Исказивање имовине у финансијским средствима</w:t>
      </w:r>
    </w:p>
    <w:p w:rsidR="008D0E3B" w:rsidRPr="00EC20F0" w:rsidRDefault="008D0E3B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lastRenderedPageBreak/>
        <w:t>Евиденције ванбилансне имовине</w:t>
      </w:r>
    </w:p>
    <w:p w:rsidR="008D0E3B" w:rsidRPr="00EC20F0" w:rsidRDefault="008D0E3B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Евиденције потенцијалне имовине и потенцијалних обавеза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Обавезе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Потраживања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личних примања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Расходи по основу коришћења роба и услуга 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закупа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комуналних услуга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за режијски материјал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за посебни материјал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текућег одржавања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по основу путовања и смјештаја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за стручне услуге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Расходи одржавања комуналне инфраструктуре</w:t>
      </w:r>
    </w:p>
    <w:p w:rsidR="00C74AD7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548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Остали расходи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Издаци за набавку сталне имовине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Издаци по основу отплате кредита и других обавеза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 xml:space="preserve">Идаци по основу 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Порески приходи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Непорески приходи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Остали приходи (транфери, грантови и др)</w:t>
      </w:r>
    </w:p>
    <w:p w:rsidR="00C74AD7" w:rsidRPr="00EC20F0" w:rsidRDefault="00C74AD7" w:rsidP="00EC20F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Примици</w:t>
      </w:r>
    </w:p>
    <w:p w:rsidR="008D0E3B" w:rsidRPr="00EC20F0" w:rsidRDefault="008D0E3B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Приједлози за отклањање неправилности према горе наведеним сегметнима за ФИ</w:t>
      </w:r>
    </w:p>
    <w:p w:rsidR="008D0E3B" w:rsidRPr="00EC20F0" w:rsidRDefault="00C74AD7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mbria" w:eastAsia="MyriadPro-LightCond" w:hAnsi="Cambria" w:cs="MyriadPro-LightCond"/>
          <w:b/>
          <w:i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</w:rPr>
        <w:t>Најзначајнији налази од утицаја на мишљење о усклађености код ревидираних општина и градова</w:t>
      </w:r>
      <w:r w:rsidRPr="00EC20F0">
        <w:rPr>
          <w:rFonts w:ascii="Cambria" w:hAnsi="Cambria" w:cs="Arial"/>
          <w:sz w:val="20"/>
          <w:szCs w:val="20"/>
          <w:lang w:val="sr-Latn-BA"/>
        </w:rPr>
        <w:t xml:space="preserve"> </w:t>
      </w:r>
      <w:r w:rsidRPr="00EC20F0">
        <w:rPr>
          <w:rFonts w:ascii="Cambria" w:hAnsi="Cambria" w:cs="Arial"/>
          <w:sz w:val="20"/>
          <w:szCs w:val="20"/>
        </w:rPr>
        <w:t xml:space="preserve">и друге грешке од значаја, </w:t>
      </w:r>
      <w:r w:rsidR="008D0E3B" w:rsidRPr="00EC20F0">
        <w:rPr>
          <w:rFonts w:ascii="Cambria" w:hAnsi="Cambria" w:cs="Arial"/>
          <w:sz w:val="20"/>
          <w:szCs w:val="20"/>
          <w:lang w:val="sr-Latn-BA"/>
        </w:rPr>
        <w:t>са статистичким обрадама – живи примјери, према сљедећем: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b/>
          <w:i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Јавне набавке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b/>
          <w:i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Финансијско управљање и контрола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Обрачун плата и накнада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Запошљавање и ангажовање по уговору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Додјела субвенција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Додјела грантова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Додјела помоћи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Доношење буџета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Поштовање скупштинских одлука</w:t>
      </w:r>
    </w:p>
    <w:p w:rsidR="008D0E3B" w:rsidRPr="00EC20F0" w:rsidRDefault="008D0E3B" w:rsidP="00EC20F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0" w:line="276" w:lineRule="auto"/>
        <w:ind w:left="1094" w:hanging="357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  <w:r w:rsidRPr="00EC20F0">
        <w:rPr>
          <w:rFonts w:ascii="Cambria" w:eastAsia="MyriadPro-LightCond" w:hAnsi="Cambria" w:cs="MyriadPro-LightCond"/>
          <w:sz w:val="20"/>
          <w:szCs w:val="20"/>
          <w:lang w:val="sr-Latn-BA"/>
        </w:rPr>
        <w:t>Друге појединачне неправилности</w:t>
      </w:r>
    </w:p>
    <w:p w:rsidR="008D0E3B" w:rsidRPr="00EC20F0" w:rsidRDefault="008D0E3B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mbria" w:hAnsi="Cambria" w:cs="Arial"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Приједлози за отклањање неправилности према горе наведеним сегментима за усклађеност пословања</w:t>
      </w:r>
    </w:p>
    <w:p w:rsidR="00C74AD7" w:rsidRPr="00EC20F0" w:rsidRDefault="008D0E3B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mbria" w:hAnsi="Cambria" w:cs="Arial"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Дате препоруке у периоду анализе статистичке обрађене према сегментима</w:t>
      </w:r>
    </w:p>
    <w:p w:rsidR="008D0E3B" w:rsidRPr="00EC20F0" w:rsidRDefault="008D0E3B" w:rsidP="00EC20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Cambria" w:hAnsi="Cambria" w:cs="Arial"/>
          <w:sz w:val="20"/>
          <w:szCs w:val="20"/>
          <w:lang w:val="sr-Latn-BA"/>
        </w:rPr>
      </w:pPr>
      <w:r w:rsidRPr="00EC20F0">
        <w:rPr>
          <w:rFonts w:ascii="Cambria" w:hAnsi="Cambria" w:cs="Arial"/>
          <w:sz w:val="20"/>
          <w:szCs w:val="20"/>
          <w:lang w:val="sr-Latn-BA"/>
        </w:rPr>
        <w:t>План мјера на отклањању неправилности</w:t>
      </w:r>
    </w:p>
    <w:p w:rsidR="008D0E3B" w:rsidRPr="00EC20F0" w:rsidRDefault="008D0E3B" w:rsidP="00EC20F0">
      <w:pPr>
        <w:pStyle w:val="ListParagraph"/>
        <w:autoSpaceDE w:val="0"/>
        <w:autoSpaceDN w:val="0"/>
        <w:adjustRightInd w:val="0"/>
        <w:spacing w:before="120" w:after="0" w:line="276" w:lineRule="auto"/>
        <w:jc w:val="both"/>
        <w:rPr>
          <w:rFonts w:ascii="Cambria" w:hAnsi="Cambria" w:cs="Arial"/>
          <w:sz w:val="20"/>
          <w:szCs w:val="20"/>
          <w:lang w:val="sr-Latn-BA"/>
        </w:rPr>
      </w:pPr>
    </w:p>
    <w:p w:rsidR="00C74AD7" w:rsidRPr="00EC20F0" w:rsidRDefault="00C74AD7" w:rsidP="00EC20F0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MyriadPro-LightCond" w:hAnsi="Cambria" w:cs="MyriadPro-LightCond"/>
          <w:sz w:val="20"/>
          <w:szCs w:val="20"/>
          <w:lang w:val="sr-Latn-BA"/>
        </w:rPr>
      </w:pPr>
    </w:p>
    <w:sectPr w:rsidR="00C74AD7" w:rsidRPr="00EC2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0506"/>
    <w:multiLevelType w:val="hybridMultilevel"/>
    <w:tmpl w:val="E3DE81BE"/>
    <w:lvl w:ilvl="0" w:tplc="1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5B3F"/>
    <w:multiLevelType w:val="hybridMultilevel"/>
    <w:tmpl w:val="8594F462"/>
    <w:lvl w:ilvl="0" w:tplc="1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1BC"/>
    <w:multiLevelType w:val="hybridMultilevel"/>
    <w:tmpl w:val="FF62FDFA"/>
    <w:lvl w:ilvl="0" w:tplc="EE3AB4EA">
      <w:numFmt w:val="bullet"/>
      <w:lvlText w:val="-"/>
      <w:lvlJc w:val="left"/>
      <w:pPr>
        <w:ind w:left="720" w:hanging="360"/>
      </w:pPr>
      <w:rPr>
        <w:rFonts w:ascii="Arial Narrow" w:eastAsia="MyriadPro-LightCond" w:hAnsi="Arial Narrow" w:cs="MyriadPro-LightCond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3C"/>
    <w:rsid w:val="004F503C"/>
    <w:rsid w:val="00501C0F"/>
    <w:rsid w:val="00524772"/>
    <w:rsid w:val="006A7FA3"/>
    <w:rsid w:val="00787B7E"/>
    <w:rsid w:val="008D0E3B"/>
    <w:rsid w:val="0090588B"/>
    <w:rsid w:val="00912E5E"/>
    <w:rsid w:val="00934878"/>
    <w:rsid w:val="00A57D9E"/>
    <w:rsid w:val="00BA7A82"/>
    <w:rsid w:val="00C01DBF"/>
    <w:rsid w:val="00C74AD7"/>
    <w:rsid w:val="00CA331B"/>
    <w:rsid w:val="00D66BE9"/>
    <w:rsid w:val="00EC20F0"/>
    <w:rsid w:val="00EC327A"/>
    <w:rsid w:val="00F214AF"/>
    <w:rsid w:val="00F8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7E60"/>
  <w15:chartTrackingRefBased/>
  <w15:docId w15:val="{AC321652-5745-45D9-99A2-C8C36311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GSR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Curic</dc:creator>
  <cp:keywords/>
  <dc:description/>
  <cp:lastModifiedBy>X</cp:lastModifiedBy>
  <cp:revision>4</cp:revision>
  <dcterms:created xsi:type="dcterms:W3CDTF">2023-03-05T10:24:00Z</dcterms:created>
  <dcterms:modified xsi:type="dcterms:W3CDTF">2023-03-05T11:04:00Z</dcterms:modified>
</cp:coreProperties>
</file>