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DC479" w14:textId="77777777" w:rsidR="00F767D7" w:rsidRDefault="00F767D7" w:rsidP="00E371A6">
      <w:pPr>
        <w:spacing w:before="0"/>
        <w:jc w:val="center"/>
        <w:rPr>
          <w:rFonts w:ascii="Cambria" w:hAnsi="Cambria"/>
          <w:b/>
          <w:color w:val="44546A" w:themeColor="text2"/>
          <w:sz w:val="28"/>
          <w:szCs w:val="28"/>
        </w:rPr>
      </w:pPr>
    </w:p>
    <w:p w14:paraId="0F19D08C" w14:textId="5FD7A04E" w:rsidR="00A770B7" w:rsidRPr="00E371A6" w:rsidRDefault="00283D70" w:rsidP="00E371A6">
      <w:pPr>
        <w:spacing w:before="0"/>
        <w:jc w:val="center"/>
        <w:rPr>
          <w:rFonts w:ascii="Cambria" w:hAnsi="Cambria"/>
          <w:b/>
          <w:color w:val="44546A" w:themeColor="text2"/>
          <w:sz w:val="28"/>
          <w:szCs w:val="28"/>
        </w:rPr>
      </w:pPr>
      <w:r>
        <w:rPr>
          <w:rFonts w:ascii="Cambria" w:hAnsi="Cambria"/>
          <w:b/>
          <w:color w:val="44546A" w:themeColor="text2"/>
          <w:sz w:val="28"/>
          <w:szCs w:val="28"/>
        </w:rPr>
        <w:t>TA</w:t>
      </w:r>
      <w:r w:rsidR="00A770B7" w:rsidRPr="00E371A6">
        <w:rPr>
          <w:rFonts w:ascii="Cambria" w:hAnsi="Cambria"/>
          <w:b/>
          <w:color w:val="44546A" w:themeColor="text2"/>
          <w:sz w:val="28"/>
          <w:szCs w:val="28"/>
        </w:rPr>
        <w:t xml:space="preserve"> GAF &amp; Guideline Review and Improvement</w:t>
      </w:r>
      <w:r w:rsidR="00C01EE4">
        <w:rPr>
          <w:rFonts w:ascii="Cambria" w:hAnsi="Cambria"/>
          <w:b/>
          <w:color w:val="44546A" w:themeColor="text2"/>
          <w:sz w:val="28"/>
          <w:szCs w:val="28"/>
        </w:rPr>
        <w:t xml:space="preserve"> </w:t>
      </w:r>
    </w:p>
    <w:p w14:paraId="6C6246A6" w14:textId="465EF278" w:rsidR="00A770B7" w:rsidRPr="00E371A6" w:rsidRDefault="00A770B7" w:rsidP="00E371A6">
      <w:pPr>
        <w:spacing w:before="0"/>
        <w:jc w:val="center"/>
        <w:rPr>
          <w:rFonts w:ascii="Cambria" w:hAnsi="Cambria"/>
          <w:b/>
          <w:color w:val="44546A" w:themeColor="text2"/>
          <w:sz w:val="28"/>
          <w:szCs w:val="28"/>
        </w:rPr>
      </w:pPr>
      <w:r w:rsidRPr="00E371A6">
        <w:rPr>
          <w:rFonts w:ascii="Cambria" w:hAnsi="Cambria"/>
          <w:b/>
          <w:color w:val="44546A" w:themeColor="text2"/>
          <w:sz w:val="28"/>
          <w:szCs w:val="28"/>
        </w:rPr>
        <w:t>Main changes overview</w:t>
      </w:r>
      <w:r w:rsidR="00D92729">
        <w:rPr>
          <w:rFonts w:ascii="Cambria" w:hAnsi="Cambria"/>
          <w:b/>
          <w:color w:val="44546A" w:themeColor="text2"/>
          <w:sz w:val="28"/>
          <w:szCs w:val="28"/>
        </w:rPr>
        <w:t>– version 0</w:t>
      </w:r>
      <w:r w:rsidR="00283D70">
        <w:rPr>
          <w:rFonts w:ascii="Cambria" w:hAnsi="Cambria"/>
          <w:b/>
          <w:color w:val="44546A" w:themeColor="text2"/>
          <w:sz w:val="28"/>
          <w:szCs w:val="28"/>
        </w:rPr>
        <w:t>1</w:t>
      </w:r>
    </w:p>
    <w:p w14:paraId="2221533F" w14:textId="54068C3C" w:rsidR="00224782" w:rsidRDefault="00283D70" w:rsidP="00224782">
      <w:pPr>
        <w:rPr>
          <w:rFonts w:ascii="Arial" w:hAnsi="Arial" w:cs="Arial"/>
          <w:sz w:val="20"/>
          <w:szCs w:val="20"/>
        </w:rPr>
      </w:pPr>
      <w:r w:rsidRPr="00CF1A03">
        <w:rPr>
          <w:rFonts w:ascii="Arial" w:hAnsi="Arial" w:cs="Arial"/>
          <w:sz w:val="20"/>
          <w:szCs w:val="20"/>
        </w:rPr>
        <w:t xml:space="preserve">This note accompanies the revised application form for </w:t>
      </w:r>
      <w:r w:rsidR="007628BB">
        <w:rPr>
          <w:rFonts w:ascii="Arial" w:hAnsi="Arial" w:cs="Arial"/>
          <w:sz w:val="20"/>
          <w:szCs w:val="20"/>
        </w:rPr>
        <w:t>the technical assistance</w:t>
      </w:r>
      <w:r w:rsidRPr="00CF1A03">
        <w:rPr>
          <w:rFonts w:ascii="Arial" w:hAnsi="Arial" w:cs="Arial"/>
          <w:sz w:val="20"/>
          <w:szCs w:val="20"/>
        </w:rPr>
        <w:t xml:space="preserve"> grants (</w:t>
      </w:r>
      <w:r w:rsidR="007628BB">
        <w:rPr>
          <w:rFonts w:ascii="Arial" w:hAnsi="Arial" w:cs="Arial"/>
          <w:sz w:val="20"/>
          <w:szCs w:val="20"/>
        </w:rPr>
        <w:t>TA</w:t>
      </w:r>
      <w:r w:rsidRPr="00CF1A03">
        <w:rPr>
          <w:rFonts w:ascii="Arial" w:hAnsi="Arial" w:cs="Arial"/>
          <w:sz w:val="20"/>
          <w:szCs w:val="20"/>
        </w:rPr>
        <w:t xml:space="preserve"> GAF) and the Guidelines and identifies the </w:t>
      </w:r>
      <w:r>
        <w:rPr>
          <w:rFonts w:ascii="Arial" w:hAnsi="Arial" w:cs="Arial"/>
          <w:sz w:val="20"/>
          <w:szCs w:val="20"/>
        </w:rPr>
        <w:t xml:space="preserve">key </w:t>
      </w:r>
      <w:r w:rsidRPr="00CF1A03">
        <w:rPr>
          <w:rFonts w:ascii="Arial" w:hAnsi="Arial" w:cs="Arial"/>
          <w:sz w:val="20"/>
          <w:szCs w:val="20"/>
        </w:rPr>
        <w:t xml:space="preserve">changes/amendments made to the version approved </w:t>
      </w:r>
      <w:r>
        <w:rPr>
          <w:rFonts w:ascii="Arial" w:hAnsi="Arial" w:cs="Arial"/>
          <w:sz w:val="20"/>
          <w:szCs w:val="20"/>
        </w:rPr>
        <w:t>by the WBIF Steering Committee</w:t>
      </w:r>
      <w:r w:rsidR="00C632D3">
        <w:rPr>
          <w:rFonts w:ascii="Arial" w:hAnsi="Arial" w:cs="Arial"/>
          <w:sz w:val="20"/>
          <w:szCs w:val="20"/>
        </w:rPr>
        <w:t xml:space="preserve"> (SC)</w:t>
      </w:r>
      <w:r>
        <w:rPr>
          <w:rFonts w:ascii="Arial" w:hAnsi="Arial" w:cs="Arial"/>
          <w:sz w:val="20"/>
          <w:szCs w:val="20"/>
        </w:rPr>
        <w:t xml:space="preserve"> </w:t>
      </w:r>
      <w:r w:rsidRPr="00CF1A03">
        <w:rPr>
          <w:rFonts w:ascii="Arial" w:hAnsi="Arial" w:cs="Arial"/>
          <w:sz w:val="20"/>
          <w:szCs w:val="20"/>
        </w:rPr>
        <w:t>on July 2017.</w:t>
      </w:r>
      <w:r w:rsidR="009F3A9E">
        <w:rPr>
          <w:rFonts w:ascii="Arial" w:hAnsi="Arial" w:cs="Arial"/>
          <w:sz w:val="20"/>
          <w:szCs w:val="20"/>
        </w:rPr>
        <w:t xml:space="preserve"> </w:t>
      </w:r>
      <w:r w:rsidR="00224782" w:rsidRPr="00224782">
        <w:rPr>
          <w:rFonts w:ascii="Arial" w:hAnsi="Arial" w:cs="Arial"/>
          <w:sz w:val="20"/>
          <w:szCs w:val="20"/>
        </w:rPr>
        <w:t xml:space="preserve">This </w:t>
      </w:r>
      <w:r w:rsidR="00C01EE4">
        <w:rPr>
          <w:rFonts w:ascii="Arial" w:hAnsi="Arial" w:cs="Arial"/>
          <w:sz w:val="20"/>
          <w:szCs w:val="20"/>
        </w:rPr>
        <w:t>document</w:t>
      </w:r>
      <w:r w:rsidR="00224782" w:rsidRPr="00224782">
        <w:rPr>
          <w:rFonts w:ascii="Arial" w:hAnsi="Arial" w:cs="Arial"/>
          <w:sz w:val="20"/>
          <w:szCs w:val="20"/>
        </w:rPr>
        <w:t xml:space="preserve"> accompanies the </w:t>
      </w:r>
      <w:r w:rsidR="00C01EE4">
        <w:rPr>
          <w:rFonts w:ascii="Arial" w:hAnsi="Arial" w:cs="Arial"/>
          <w:sz w:val="20"/>
          <w:szCs w:val="20"/>
        </w:rPr>
        <w:t xml:space="preserve">revised </w:t>
      </w:r>
      <w:r>
        <w:rPr>
          <w:rFonts w:ascii="Arial" w:hAnsi="Arial" w:cs="Arial"/>
          <w:sz w:val="20"/>
          <w:szCs w:val="20"/>
        </w:rPr>
        <w:t>TA</w:t>
      </w:r>
      <w:r w:rsidR="00224782" w:rsidRPr="00224782">
        <w:rPr>
          <w:rFonts w:ascii="Arial" w:hAnsi="Arial" w:cs="Arial"/>
          <w:sz w:val="20"/>
          <w:szCs w:val="20"/>
        </w:rPr>
        <w:t xml:space="preserve"> GAF </w:t>
      </w:r>
      <w:r w:rsidR="00C01EE4">
        <w:rPr>
          <w:rFonts w:ascii="Arial" w:hAnsi="Arial" w:cs="Arial"/>
          <w:sz w:val="20"/>
          <w:szCs w:val="20"/>
        </w:rPr>
        <w:t xml:space="preserve">Template </w:t>
      </w:r>
      <w:r w:rsidR="00224782" w:rsidRPr="00224782">
        <w:rPr>
          <w:rFonts w:ascii="Arial" w:hAnsi="Arial" w:cs="Arial"/>
          <w:sz w:val="20"/>
          <w:szCs w:val="20"/>
        </w:rPr>
        <w:t xml:space="preserve">and Guidelines </w:t>
      </w:r>
      <w:r w:rsidR="00C01EE4">
        <w:rPr>
          <w:rFonts w:ascii="Arial" w:hAnsi="Arial" w:cs="Arial"/>
          <w:sz w:val="20"/>
          <w:szCs w:val="20"/>
        </w:rPr>
        <w:t>– version 0</w:t>
      </w:r>
      <w:r>
        <w:rPr>
          <w:rFonts w:ascii="Arial" w:hAnsi="Arial" w:cs="Arial"/>
          <w:sz w:val="20"/>
          <w:szCs w:val="20"/>
        </w:rPr>
        <w:t>1</w:t>
      </w:r>
      <w:r w:rsidR="00224782" w:rsidRPr="00224782">
        <w:rPr>
          <w:rFonts w:ascii="Arial" w:hAnsi="Arial" w:cs="Arial"/>
          <w:sz w:val="20"/>
          <w:szCs w:val="20"/>
        </w:rPr>
        <w:t xml:space="preserve">. </w:t>
      </w:r>
    </w:p>
    <w:p w14:paraId="62A77F43" w14:textId="77777777" w:rsidR="009F3A9E" w:rsidRPr="0090018E" w:rsidRDefault="009F3A9E" w:rsidP="009F3A9E">
      <w:pPr>
        <w:shd w:val="clear" w:color="auto" w:fill="80A1B6"/>
        <w:spacing w:before="120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90018E">
        <w:rPr>
          <w:rFonts w:ascii="Arial" w:hAnsi="Arial" w:cs="Arial"/>
          <w:b/>
          <w:bCs/>
          <w:color w:val="FFFFFF" w:themeColor="background1"/>
          <w:sz w:val="20"/>
          <w:szCs w:val="20"/>
        </w:rPr>
        <w:t>Rationale behind updates</w:t>
      </w:r>
    </w:p>
    <w:p w14:paraId="4ECA0F58" w14:textId="77777777" w:rsidR="009F3A9E" w:rsidRPr="00D27BF4" w:rsidRDefault="009F3A9E" w:rsidP="009F3A9E">
      <w:pPr>
        <w:numPr>
          <w:ilvl w:val="0"/>
          <w:numId w:val="6"/>
        </w:numPr>
        <w:tabs>
          <w:tab w:val="num" w:pos="720"/>
        </w:tabs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D27BF4">
        <w:rPr>
          <w:rFonts w:ascii="Arial" w:hAnsi="Arial" w:cs="Arial"/>
          <w:sz w:val="20"/>
          <w:szCs w:val="20"/>
        </w:rPr>
        <w:t>Avoid duplication, misunderstandings and confusions</w:t>
      </w:r>
      <w:r>
        <w:rPr>
          <w:rFonts w:ascii="Arial" w:hAnsi="Arial" w:cs="Arial"/>
          <w:sz w:val="20"/>
          <w:szCs w:val="20"/>
        </w:rPr>
        <w:t>;</w:t>
      </w:r>
    </w:p>
    <w:p w14:paraId="625280DD" w14:textId="788BC114" w:rsidR="009F3A9E" w:rsidRPr="009F3A9E" w:rsidRDefault="009F3A9E" w:rsidP="00C632D3">
      <w:pPr>
        <w:numPr>
          <w:ilvl w:val="0"/>
          <w:numId w:val="6"/>
        </w:numPr>
        <w:tabs>
          <w:tab w:val="num" w:pos="720"/>
        </w:tabs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9F3A9E">
        <w:rPr>
          <w:rFonts w:ascii="Arial" w:hAnsi="Arial" w:cs="Arial"/>
          <w:sz w:val="20"/>
          <w:szCs w:val="20"/>
        </w:rPr>
        <w:t xml:space="preserve">Ensure correlation </w:t>
      </w:r>
      <w:r>
        <w:rPr>
          <w:rFonts w:ascii="Arial" w:hAnsi="Arial" w:cs="Arial"/>
          <w:sz w:val="20"/>
          <w:szCs w:val="20"/>
        </w:rPr>
        <w:t xml:space="preserve">with the revised </w:t>
      </w:r>
      <w:r w:rsidRPr="009F3A9E">
        <w:rPr>
          <w:rFonts w:ascii="Arial" w:hAnsi="Arial" w:cs="Arial"/>
          <w:sz w:val="20"/>
          <w:szCs w:val="20"/>
        </w:rPr>
        <w:t>INV GAF</w:t>
      </w:r>
      <w:r w:rsidR="007628BB">
        <w:rPr>
          <w:rFonts w:ascii="Arial" w:hAnsi="Arial" w:cs="Arial"/>
          <w:sz w:val="20"/>
          <w:szCs w:val="20"/>
        </w:rPr>
        <w:t xml:space="preserve"> Template;</w:t>
      </w:r>
    </w:p>
    <w:p w14:paraId="2F89C177" w14:textId="613E1B6D" w:rsidR="00CC3B22" w:rsidRPr="00C632D3" w:rsidRDefault="00CC3B22" w:rsidP="000734DF">
      <w:pPr>
        <w:numPr>
          <w:ilvl w:val="0"/>
          <w:numId w:val="6"/>
        </w:numPr>
        <w:tabs>
          <w:tab w:val="num" w:pos="720"/>
        </w:tabs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C632D3">
        <w:rPr>
          <w:rFonts w:ascii="Arial" w:hAnsi="Arial" w:cs="Arial"/>
          <w:sz w:val="20"/>
          <w:szCs w:val="20"/>
        </w:rPr>
        <w:t xml:space="preserve">Incorporate the IAS report </w:t>
      </w:r>
      <w:r w:rsidR="00C632D3" w:rsidRPr="00C632D3">
        <w:rPr>
          <w:rFonts w:ascii="Arial" w:hAnsi="Arial" w:cs="Arial"/>
          <w:sz w:val="20"/>
          <w:szCs w:val="20"/>
        </w:rPr>
        <w:t xml:space="preserve">recommendations </w:t>
      </w:r>
      <w:r w:rsidRPr="00C632D3">
        <w:rPr>
          <w:rFonts w:ascii="Arial" w:hAnsi="Arial" w:cs="Arial"/>
          <w:sz w:val="20"/>
          <w:szCs w:val="20"/>
        </w:rPr>
        <w:t xml:space="preserve">and </w:t>
      </w:r>
      <w:r w:rsidR="009F7DC1">
        <w:rPr>
          <w:rFonts w:ascii="Arial" w:hAnsi="Arial" w:cs="Arial"/>
          <w:sz w:val="20"/>
          <w:szCs w:val="20"/>
        </w:rPr>
        <w:t xml:space="preserve">the </w:t>
      </w:r>
      <w:r w:rsidR="00C632D3">
        <w:rPr>
          <w:rFonts w:ascii="Arial" w:hAnsi="Arial" w:cs="Arial"/>
          <w:sz w:val="20"/>
          <w:szCs w:val="20"/>
        </w:rPr>
        <w:t xml:space="preserve">background documents for </w:t>
      </w:r>
      <w:r w:rsidRPr="00C632D3">
        <w:rPr>
          <w:rFonts w:ascii="Arial" w:hAnsi="Arial" w:cs="Arial"/>
          <w:sz w:val="20"/>
          <w:szCs w:val="20"/>
        </w:rPr>
        <w:t>the 23</w:t>
      </w:r>
      <w:r w:rsidRPr="00C632D3">
        <w:rPr>
          <w:rFonts w:ascii="Arial" w:hAnsi="Arial" w:cs="Arial"/>
          <w:sz w:val="20"/>
          <w:szCs w:val="20"/>
          <w:vertAlign w:val="superscript"/>
        </w:rPr>
        <w:t xml:space="preserve">rd </w:t>
      </w:r>
      <w:r w:rsidRPr="00C632D3">
        <w:rPr>
          <w:rFonts w:ascii="Arial" w:hAnsi="Arial" w:cs="Arial"/>
          <w:sz w:val="20"/>
          <w:szCs w:val="20"/>
        </w:rPr>
        <w:t xml:space="preserve">WBIF </w:t>
      </w:r>
      <w:r w:rsidR="00C632D3" w:rsidRPr="00C632D3">
        <w:rPr>
          <w:rFonts w:ascii="Arial" w:hAnsi="Arial" w:cs="Arial"/>
          <w:sz w:val="20"/>
          <w:szCs w:val="20"/>
        </w:rPr>
        <w:t>SC (e.g. Document 4</w:t>
      </w:r>
      <w:r w:rsidR="00C632D3">
        <w:rPr>
          <w:rFonts w:ascii="Arial" w:hAnsi="Arial" w:cs="Arial"/>
          <w:sz w:val="20"/>
          <w:szCs w:val="20"/>
        </w:rPr>
        <w:t xml:space="preserve"> </w:t>
      </w:r>
      <w:r w:rsidR="009F7DC1">
        <w:rPr>
          <w:rFonts w:ascii="Arial" w:hAnsi="Arial" w:cs="Arial"/>
          <w:sz w:val="20"/>
          <w:szCs w:val="20"/>
        </w:rPr>
        <w:t>‘</w:t>
      </w:r>
      <w:r w:rsidR="00C632D3" w:rsidRPr="00C632D3">
        <w:rPr>
          <w:rFonts w:ascii="Arial" w:hAnsi="Arial" w:cs="Arial"/>
          <w:sz w:val="20"/>
          <w:szCs w:val="20"/>
        </w:rPr>
        <w:t>Announcement of TA Round 25 and INV Round 0</w:t>
      </w:r>
      <w:r w:rsidR="00C632D3">
        <w:rPr>
          <w:rFonts w:ascii="Arial" w:hAnsi="Arial" w:cs="Arial"/>
          <w:sz w:val="20"/>
          <w:szCs w:val="20"/>
        </w:rPr>
        <w:t>6</w:t>
      </w:r>
      <w:r w:rsidR="009F7DC1">
        <w:rPr>
          <w:rFonts w:ascii="Arial" w:hAnsi="Arial" w:cs="Arial"/>
          <w:sz w:val="20"/>
          <w:szCs w:val="20"/>
        </w:rPr>
        <w:t>’</w:t>
      </w:r>
      <w:r w:rsidR="00C632D3" w:rsidRPr="00C632D3">
        <w:rPr>
          <w:rFonts w:ascii="Arial" w:hAnsi="Arial" w:cs="Arial"/>
          <w:sz w:val="20"/>
          <w:szCs w:val="20"/>
        </w:rPr>
        <w:t xml:space="preserve"> and Document 6</w:t>
      </w:r>
      <w:r w:rsidR="00C632D3">
        <w:rPr>
          <w:rFonts w:ascii="Arial" w:hAnsi="Arial" w:cs="Arial"/>
          <w:sz w:val="20"/>
          <w:szCs w:val="20"/>
        </w:rPr>
        <w:t xml:space="preserve"> </w:t>
      </w:r>
      <w:r w:rsidR="009F7DC1">
        <w:rPr>
          <w:rFonts w:ascii="Arial" w:hAnsi="Arial" w:cs="Arial"/>
          <w:sz w:val="20"/>
          <w:szCs w:val="20"/>
        </w:rPr>
        <w:t>‘</w:t>
      </w:r>
      <w:r w:rsidR="00C632D3" w:rsidRPr="00C632D3">
        <w:rPr>
          <w:rFonts w:ascii="Arial" w:hAnsi="Arial" w:cs="Arial"/>
          <w:sz w:val="20"/>
          <w:szCs w:val="20"/>
        </w:rPr>
        <w:t>Public blending - EU eligibility criteria aligned with the E</w:t>
      </w:r>
      <w:r w:rsidR="009F7DC1">
        <w:rPr>
          <w:rFonts w:ascii="Arial" w:hAnsi="Arial" w:cs="Arial"/>
          <w:sz w:val="20"/>
          <w:szCs w:val="20"/>
        </w:rPr>
        <w:t xml:space="preserve">conomic and </w:t>
      </w:r>
      <w:r w:rsidR="00C632D3" w:rsidRPr="00C632D3">
        <w:rPr>
          <w:rFonts w:ascii="Arial" w:hAnsi="Arial" w:cs="Arial"/>
          <w:sz w:val="20"/>
          <w:szCs w:val="20"/>
        </w:rPr>
        <w:t>I</w:t>
      </w:r>
      <w:r w:rsidR="009F7DC1">
        <w:rPr>
          <w:rFonts w:ascii="Arial" w:hAnsi="Arial" w:cs="Arial"/>
          <w:sz w:val="20"/>
          <w:szCs w:val="20"/>
        </w:rPr>
        <w:t xml:space="preserve">nvestment </w:t>
      </w:r>
      <w:r w:rsidR="00C632D3" w:rsidRPr="00C632D3">
        <w:rPr>
          <w:rFonts w:ascii="Arial" w:hAnsi="Arial" w:cs="Arial"/>
          <w:sz w:val="20"/>
          <w:szCs w:val="20"/>
        </w:rPr>
        <w:t>P</w:t>
      </w:r>
      <w:r w:rsidR="009F7DC1">
        <w:rPr>
          <w:rFonts w:ascii="Arial" w:hAnsi="Arial" w:cs="Arial"/>
          <w:sz w:val="20"/>
          <w:szCs w:val="20"/>
        </w:rPr>
        <w:t>lan’</w:t>
      </w:r>
      <w:r w:rsidR="00C632D3" w:rsidRPr="00C632D3">
        <w:rPr>
          <w:rFonts w:ascii="Arial" w:hAnsi="Arial" w:cs="Arial"/>
          <w:sz w:val="20"/>
          <w:szCs w:val="20"/>
        </w:rPr>
        <w:t>)</w:t>
      </w:r>
      <w:r w:rsidRPr="00C632D3">
        <w:rPr>
          <w:rFonts w:ascii="Arial" w:hAnsi="Arial" w:cs="Arial"/>
          <w:sz w:val="20"/>
          <w:szCs w:val="20"/>
        </w:rPr>
        <w:t>;</w:t>
      </w:r>
    </w:p>
    <w:p w14:paraId="5296128D" w14:textId="623AC459" w:rsidR="009F3A9E" w:rsidRPr="00D27BF4" w:rsidRDefault="009F3A9E" w:rsidP="009F3A9E">
      <w:pPr>
        <w:numPr>
          <w:ilvl w:val="0"/>
          <w:numId w:val="6"/>
        </w:numPr>
        <w:tabs>
          <w:tab w:val="num" w:pos="720"/>
        </w:tabs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D27BF4">
        <w:rPr>
          <w:rFonts w:ascii="Arial" w:hAnsi="Arial" w:cs="Arial"/>
          <w:sz w:val="20"/>
          <w:szCs w:val="20"/>
        </w:rPr>
        <w:t xml:space="preserve">Better support to the applicants in the preparation of the candidate </w:t>
      </w:r>
      <w:r>
        <w:rPr>
          <w:rFonts w:ascii="Arial" w:hAnsi="Arial" w:cs="Arial"/>
          <w:sz w:val="20"/>
          <w:szCs w:val="20"/>
        </w:rPr>
        <w:t>TA</w:t>
      </w:r>
      <w:r w:rsidRPr="00D27BF4">
        <w:rPr>
          <w:rFonts w:ascii="Arial" w:hAnsi="Arial" w:cs="Arial"/>
          <w:sz w:val="20"/>
          <w:szCs w:val="20"/>
        </w:rPr>
        <w:t xml:space="preserve"> GAF</w:t>
      </w:r>
      <w:r>
        <w:rPr>
          <w:rFonts w:ascii="Arial" w:hAnsi="Arial" w:cs="Arial"/>
          <w:sz w:val="20"/>
          <w:szCs w:val="20"/>
        </w:rPr>
        <w:t>;</w:t>
      </w:r>
    </w:p>
    <w:p w14:paraId="3023759A" w14:textId="614B0D67" w:rsidR="009F3A9E" w:rsidRPr="00D27BF4" w:rsidRDefault="009F3A9E" w:rsidP="009F3A9E">
      <w:pPr>
        <w:numPr>
          <w:ilvl w:val="0"/>
          <w:numId w:val="6"/>
        </w:numPr>
        <w:tabs>
          <w:tab w:val="num" w:pos="720"/>
        </w:tabs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D27BF4">
        <w:rPr>
          <w:rFonts w:ascii="Arial" w:hAnsi="Arial" w:cs="Arial"/>
          <w:sz w:val="20"/>
          <w:szCs w:val="20"/>
        </w:rPr>
        <w:t xml:space="preserve">Improve the quality of the </w:t>
      </w:r>
      <w:r>
        <w:rPr>
          <w:rFonts w:ascii="Arial" w:hAnsi="Arial" w:cs="Arial"/>
          <w:sz w:val="20"/>
          <w:szCs w:val="20"/>
        </w:rPr>
        <w:t>TA</w:t>
      </w:r>
      <w:r w:rsidRPr="00D27BF4">
        <w:rPr>
          <w:rFonts w:ascii="Arial" w:hAnsi="Arial" w:cs="Arial"/>
          <w:sz w:val="20"/>
          <w:szCs w:val="20"/>
        </w:rPr>
        <w:t xml:space="preserve"> applications</w:t>
      </w:r>
      <w:r>
        <w:rPr>
          <w:rFonts w:ascii="Arial" w:hAnsi="Arial" w:cs="Arial"/>
          <w:sz w:val="20"/>
          <w:szCs w:val="20"/>
        </w:rPr>
        <w:t>;</w:t>
      </w:r>
    </w:p>
    <w:p w14:paraId="5B636079" w14:textId="77777777" w:rsidR="009F3A9E" w:rsidRPr="00D27BF4" w:rsidRDefault="009F3A9E" w:rsidP="009F3A9E">
      <w:pPr>
        <w:numPr>
          <w:ilvl w:val="0"/>
          <w:numId w:val="6"/>
        </w:numPr>
        <w:tabs>
          <w:tab w:val="num" w:pos="720"/>
        </w:tabs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D27BF4">
        <w:rPr>
          <w:rFonts w:ascii="Arial" w:hAnsi="Arial" w:cs="Arial"/>
          <w:sz w:val="20"/>
          <w:szCs w:val="20"/>
        </w:rPr>
        <w:t>Match the form currently used in the MIS</w:t>
      </w:r>
      <w:r>
        <w:rPr>
          <w:rFonts w:ascii="Arial" w:hAnsi="Arial" w:cs="Arial"/>
          <w:sz w:val="20"/>
          <w:szCs w:val="20"/>
        </w:rPr>
        <w:t>;</w:t>
      </w:r>
    </w:p>
    <w:p w14:paraId="0E78DF65" w14:textId="77777777" w:rsidR="009F3A9E" w:rsidRPr="00D27BF4" w:rsidRDefault="009F3A9E" w:rsidP="009F3A9E">
      <w:pPr>
        <w:numPr>
          <w:ilvl w:val="0"/>
          <w:numId w:val="6"/>
        </w:numPr>
        <w:spacing w:before="0"/>
        <w:ind w:left="346" w:hanging="346"/>
        <w:rPr>
          <w:rFonts w:ascii="Arial" w:hAnsi="Arial" w:cs="Arial"/>
          <w:sz w:val="20"/>
          <w:szCs w:val="20"/>
        </w:rPr>
      </w:pPr>
      <w:r w:rsidRPr="00D27BF4">
        <w:rPr>
          <w:rFonts w:ascii="Arial" w:hAnsi="Arial" w:cs="Arial"/>
          <w:sz w:val="20"/>
          <w:szCs w:val="20"/>
        </w:rPr>
        <w:t>Increased focus on the description of both Project and Action</w:t>
      </w:r>
      <w:r>
        <w:rPr>
          <w:rFonts w:ascii="Arial" w:hAnsi="Arial" w:cs="Arial"/>
          <w:sz w:val="20"/>
          <w:szCs w:val="20"/>
        </w:rPr>
        <w:t>.</w:t>
      </w:r>
    </w:p>
    <w:p w14:paraId="22C53117" w14:textId="1759ADC1" w:rsidR="00D85224" w:rsidRDefault="009F3A9E" w:rsidP="009F3A9E">
      <w:pPr>
        <w:shd w:val="clear" w:color="auto" w:fill="80A1B6"/>
        <w:spacing w:before="120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  <w:r w:rsidRPr="009F3A9E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Intervention in the </w:t>
      </w:r>
      <w:r w:rsidR="00283D70" w:rsidRPr="009F3A9E">
        <w:rPr>
          <w:rFonts w:ascii="Arial" w:hAnsi="Arial" w:cs="Arial"/>
          <w:b/>
          <w:bCs/>
          <w:color w:val="FFFFFF" w:themeColor="background1"/>
          <w:sz w:val="20"/>
          <w:szCs w:val="20"/>
        </w:rPr>
        <w:t>TA</w:t>
      </w:r>
      <w:r w:rsidR="00D85224" w:rsidRPr="009F3A9E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GAF </w:t>
      </w:r>
      <w:r w:rsidR="00012D9E" w:rsidRPr="009F3A9E">
        <w:rPr>
          <w:rFonts w:ascii="Arial" w:hAnsi="Arial" w:cs="Arial"/>
          <w:b/>
          <w:bCs/>
          <w:color w:val="FFFFFF" w:themeColor="background1"/>
          <w:sz w:val="20"/>
          <w:szCs w:val="20"/>
        </w:rPr>
        <w:t>Template</w:t>
      </w:r>
    </w:p>
    <w:p w14:paraId="39F25999" w14:textId="406283A4" w:rsidR="00083FEB" w:rsidRDefault="00083FEB" w:rsidP="00083FEB">
      <w:pPr>
        <w:spacing w:before="120"/>
        <w:rPr>
          <w:color w:val="002060"/>
          <w:sz w:val="20"/>
          <w:szCs w:val="20"/>
        </w:rPr>
      </w:pPr>
      <w:r w:rsidRPr="00083FEB">
        <w:rPr>
          <w:rFonts w:ascii="Arial" w:hAnsi="Arial" w:cs="Arial"/>
          <w:sz w:val="20"/>
          <w:szCs w:val="20"/>
        </w:rPr>
        <w:t xml:space="preserve">The revised TA GAF Template has been correlated/structured with the revised version of </w:t>
      </w:r>
      <w:r w:rsidR="007628BB">
        <w:rPr>
          <w:rFonts w:ascii="Arial" w:hAnsi="Arial" w:cs="Arial"/>
          <w:sz w:val="20"/>
          <w:szCs w:val="20"/>
        </w:rPr>
        <w:t xml:space="preserve">the </w:t>
      </w:r>
      <w:r w:rsidRPr="00083FEB">
        <w:rPr>
          <w:rFonts w:ascii="Arial" w:hAnsi="Arial" w:cs="Arial"/>
          <w:sz w:val="20"/>
          <w:szCs w:val="20"/>
        </w:rPr>
        <w:t>INV GAF</w:t>
      </w:r>
      <w:r>
        <w:rPr>
          <w:rFonts w:ascii="Arial" w:hAnsi="Arial" w:cs="Arial"/>
          <w:sz w:val="20"/>
          <w:szCs w:val="20"/>
        </w:rPr>
        <w:t xml:space="preserve"> Template</w:t>
      </w:r>
      <w:r w:rsidRPr="00083FEB">
        <w:rPr>
          <w:rFonts w:ascii="Arial" w:hAnsi="Arial" w:cs="Arial"/>
          <w:sz w:val="20"/>
          <w:szCs w:val="20"/>
        </w:rPr>
        <w:t>.</w:t>
      </w:r>
      <w:bookmarkStart w:id="0" w:name="_Hlk53491175"/>
      <w:r>
        <w:rPr>
          <w:rFonts w:ascii="Arial" w:hAnsi="Arial" w:cs="Arial"/>
          <w:sz w:val="20"/>
          <w:szCs w:val="20"/>
        </w:rPr>
        <w:t xml:space="preserve"> </w:t>
      </w:r>
      <w:r w:rsidRPr="00655939">
        <w:rPr>
          <w:rFonts w:ascii="Arial" w:hAnsi="Arial" w:cs="Arial"/>
          <w:b/>
          <w:bCs/>
          <w:sz w:val="20"/>
          <w:szCs w:val="20"/>
        </w:rPr>
        <w:t>More elaborated/explanatory instructions on how each section of the TA GAF must be completed have been included</w:t>
      </w:r>
      <w:bookmarkEnd w:id="0"/>
      <w:r w:rsidRPr="00655939">
        <w:rPr>
          <w:rFonts w:ascii="Arial" w:hAnsi="Arial" w:cs="Arial"/>
          <w:b/>
          <w:bCs/>
          <w:sz w:val="20"/>
          <w:szCs w:val="20"/>
        </w:rPr>
        <w:t xml:space="preserve">; </w:t>
      </w:r>
      <w:r w:rsidRPr="00655939">
        <w:rPr>
          <w:rFonts w:ascii="Arial" w:hAnsi="Arial" w:cs="Arial"/>
          <w:sz w:val="20"/>
          <w:szCs w:val="20"/>
        </w:rPr>
        <w:t xml:space="preserve">primarily those pertaining to the description of Project and Action, </w:t>
      </w:r>
      <w:r w:rsidR="009F7DC1">
        <w:rPr>
          <w:rFonts w:ascii="Arial" w:hAnsi="Arial" w:cs="Arial"/>
          <w:sz w:val="20"/>
          <w:szCs w:val="20"/>
        </w:rPr>
        <w:t>p</w:t>
      </w:r>
      <w:r w:rsidRPr="00655939">
        <w:rPr>
          <w:rFonts w:ascii="Arial" w:hAnsi="Arial" w:cs="Arial"/>
          <w:sz w:val="20"/>
          <w:szCs w:val="20"/>
        </w:rPr>
        <w:t>roject status and planning, budget, grant calculation, estimated timelines for Action implementation, the principles of gender quality, equal opportunities and non-discrimination</w:t>
      </w:r>
      <w:r>
        <w:rPr>
          <w:rFonts w:ascii="Arial" w:hAnsi="Arial" w:cs="Arial"/>
          <w:sz w:val="20"/>
          <w:szCs w:val="20"/>
        </w:rPr>
        <w:t xml:space="preserve">, and risk assessment categories. </w:t>
      </w:r>
      <w:r w:rsidRPr="00083FEB">
        <w:rPr>
          <w:rFonts w:ascii="Arial" w:hAnsi="Arial" w:cs="Arial"/>
          <w:sz w:val="20"/>
          <w:szCs w:val="20"/>
        </w:rPr>
        <w:t>Briefly, the interventions consist of:</w:t>
      </w:r>
    </w:p>
    <w:p w14:paraId="666B78E3" w14:textId="77777777" w:rsidR="009F3A9E" w:rsidRPr="009F3A9E" w:rsidRDefault="009F3A9E" w:rsidP="009F3A9E">
      <w:pPr>
        <w:spacing w:before="0"/>
        <w:rPr>
          <w:rFonts w:ascii="Arial" w:hAnsi="Arial" w:cs="Arial"/>
          <w:b/>
          <w:bCs/>
          <w:color w:val="FFFFFF" w:themeColor="background1"/>
          <w:sz w:val="20"/>
          <w:szCs w:val="20"/>
        </w:rPr>
      </w:pPr>
    </w:p>
    <w:tbl>
      <w:tblPr>
        <w:tblStyle w:val="GridTable1Light-Accent5"/>
        <w:tblW w:w="5000" w:type="pct"/>
        <w:tblLook w:val="04A0" w:firstRow="1" w:lastRow="0" w:firstColumn="1" w:lastColumn="0" w:noHBand="0" w:noVBand="1"/>
      </w:tblPr>
      <w:tblGrid>
        <w:gridCol w:w="1794"/>
        <w:gridCol w:w="7916"/>
      </w:tblGrid>
      <w:tr w:rsidR="004374D2" w:rsidRPr="007628BB" w14:paraId="73B02B19" w14:textId="77777777" w:rsidTr="007628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pct"/>
            <w:tcBorders>
              <w:top w:val="single" w:sz="4" w:space="0" w:color="80A1B6"/>
              <w:left w:val="single" w:sz="4" w:space="0" w:color="80A1B6"/>
              <w:bottom w:val="single" w:sz="12" w:space="0" w:color="80A1B6"/>
              <w:right w:val="single" w:sz="4" w:space="0" w:color="80A1B6"/>
            </w:tcBorders>
            <w:vAlign w:val="center"/>
          </w:tcPr>
          <w:p w14:paraId="352B6F85" w14:textId="77777777" w:rsidR="004374D2" w:rsidRPr="007628BB" w:rsidRDefault="004374D2" w:rsidP="007628BB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Change</w:t>
            </w:r>
          </w:p>
        </w:tc>
        <w:tc>
          <w:tcPr>
            <w:tcW w:w="4076" w:type="pct"/>
            <w:tcBorders>
              <w:top w:val="single" w:sz="4" w:space="0" w:color="80A1B6"/>
              <w:left w:val="single" w:sz="4" w:space="0" w:color="80A1B6"/>
              <w:bottom w:val="single" w:sz="12" w:space="0" w:color="80A1B6"/>
              <w:right w:val="single" w:sz="4" w:space="0" w:color="80A1B6"/>
            </w:tcBorders>
            <w:vAlign w:val="center"/>
          </w:tcPr>
          <w:p w14:paraId="5E621443" w14:textId="77777777" w:rsidR="004374D2" w:rsidRPr="007628BB" w:rsidRDefault="004374D2" w:rsidP="00BC6B60">
            <w:pPr>
              <w:spacing w:before="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6A42E6" w:rsidRPr="007628BB" w14:paraId="534BB9F5" w14:textId="77777777" w:rsidTr="007628BB">
        <w:trPr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pct"/>
            <w:tcBorders>
              <w:top w:val="single" w:sz="12" w:space="0" w:color="80A1B6"/>
              <w:left w:val="single" w:sz="4" w:space="0" w:color="80A1B6"/>
              <w:right w:val="single" w:sz="4" w:space="0" w:color="80A1B6"/>
            </w:tcBorders>
            <w:vAlign w:val="center"/>
          </w:tcPr>
          <w:p w14:paraId="00855FA7" w14:textId="10A7B858" w:rsidR="006A42E6" w:rsidRPr="007628BB" w:rsidRDefault="006A42E6" w:rsidP="007628BB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Introduction of new sections</w:t>
            </w:r>
          </w:p>
        </w:tc>
        <w:tc>
          <w:tcPr>
            <w:tcW w:w="4076" w:type="pct"/>
            <w:tcBorders>
              <w:top w:val="single" w:sz="12" w:space="0" w:color="80A1B6"/>
              <w:left w:val="single" w:sz="4" w:space="0" w:color="80A1B6"/>
              <w:right w:val="single" w:sz="4" w:space="0" w:color="80A1B6"/>
            </w:tcBorders>
            <w:vAlign w:val="center"/>
          </w:tcPr>
          <w:p w14:paraId="197092E8" w14:textId="612DA4E5" w:rsidR="00F767D7" w:rsidRDefault="00F767D7" w:rsidP="00BC6B60">
            <w:pPr>
              <w:numPr>
                <w:ilvl w:val="0"/>
                <w:numId w:val="6"/>
              </w:numPr>
              <w:spacing w:before="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S4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>
              <w:rPr>
                <w:rFonts w:ascii="Arial" w:hAnsi="Arial" w:cs="Arial"/>
                <w:sz w:val="20"/>
                <w:szCs w:val="20"/>
              </w:rPr>
              <w:t>Flagship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</w:p>
          <w:p w14:paraId="04EAF77D" w14:textId="1FFC3397" w:rsidR="006A42E6" w:rsidRPr="007628BB" w:rsidRDefault="006A42E6" w:rsidP="00BC6B60">
            <w:pPr>
              <w:numPr>
                <w:ilvl w:val="0"/>
                <w:numId w:val="6"/>
              </w:numPr>
              <w:spacing w:before="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S1</w:t>
            </w:r>
            <w:r w:rsidR="00F767D7">
              <w:rPr>
                <w:rFonts w:ascii="Arial" w:hAnsi="Arial" w:cs="Arial"/>
                <w:sz w:val="20"/>
                <w:szCs w:val="20"/>
              </w:rPr>
              <w:t>5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sz w:val="20"/>
                <w:szCs w:val="20"/>
              </w:rPr>
              <w:t>Type of WBIF financing source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; and, </w:t>
            </w:r>
          </w:p>
          <w:p w14:paraId="0F091C84" w14:textId="0988F5FF" w:rsidR="00BC6B60" w:rsidRDefault="006A42E6" w:rsidP="00BC6B60">
            <w:pPr>
              <w:numPr>
                <w:ilvl w:val="0"/>
                <w:numId w:val="6"/>
              </w:numPr>
              <w:spacing w:before="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S1</w:t>
            </w:r>
            <w:r w:rsidR="00F767D7">
              <w:rPr>
                <w:rFonts w:ascii="Arial" w:hAnsi="Arial" w:cs="Arial"/>
                <w:sz w:val="20"/>
                <w:szCs w:val="20"/>
              </w:rPr>
              <w:t>6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1106C5">
              <w:rPr>
                <w:rFonts w:ascii="Arial" w:hAnsi="Arial" w:cs="Arial"/>
                <w:sz w:val="20"/>
                <w:szCs w:val="20"/>
              </w:rPr>
              <w:t>I</w:t>
            </w:r>
            <w:r w:rsidR="001106C5" w:rsidRPr="007628BB">
              <w:rPr>
                <w:rFonts w:ascii="Arial" w:hAnsi="Arial" w:cs="Arial"/>
                <w:sz w:val="20"/>
                <w:szCs w:val="20"/>
              </w:rPr>
              <w:t xml:space="preserve">mplementation </w:t>
            </w:r>
            <w:r w:rsidR="001106C5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7628BB" w:rsidRPr="007628BB">
              <w:rPr>
                <w:rFonts w:ascii="Arial" w:hAnsi="Arial" w:cs="Arial"/>
                <w:sz w:val="20"/>
                <w:szCs w:val="20"/>
              </w:rPr>
              <w:t xml:space="preserve">TA </w:t>
            </w:r>
            <w:r w:rsidR="001106C5">
              <w:rPr>
                <w:rFonts w:ascii="Arial" w:hAnsi="Arial" w:cs="Arial"/>
                <w:sz w:val="20"/>
                <w:szCs w:val="20"/>
              </w:rPr>
              <w:t>activities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BC6B6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7B34431" w14:textId="0C865249" w:rsidR="00BC6B60" w:rsidRPr="00BC6B60" w:rsidRDefault="00CF05F8" w:rsidP="00BC6B60">
            <w:pPr>
              <w:spacing w:before="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sz w:val="20"/>
                <w:szCs w:val="20"/>
              </w:rPr>
              <w:t>therefore,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 xml:space="preserve"> various sections within the template have been re-numbered</w:t>
            </w:r>
            <w:r w:rsidR="00BC6B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00B15" w:rsidRPr="007628BB" w14:paraId="2DA2A14A" w14:textId="77777777" w:rsidTr="00C632D3">
        <w:trPr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pct"/>
            <w:tcBorders>
              <w:left w:val="single" w:sz="4" w:space="0" w:color="80A1B6"/>
              <w:right w:val="single" w:sz="4" w:space="0" w:color="80A1B6"/>
            </w:tcBorders>
          </w:tcPr>
          <w:p w14:paraId="52CC2ECD" w14:textId="1A0C0DA6" w:rsidR="00C00B15" w:rsidRPr="007628BB" w:rsidRDefault="00C00B15" w:rsidP="007628BB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Slightly changed titles</w:t>
            </w:r>
            <w:r w:rsidR="006155F1" w:rsidRPr="007628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76" w:type="pct"/>
            <w:tcBorders>
              <w:left w:val="single" w:sz="4" w:space="0" w:color="80A1B6"/>
              <w:right w:val="single" w:sz="4" w:space="0" w:color="80A1B6"/>
            </w:tcBorders>
          </w:tcPr>
          <w:p w14:paraId="7E2C47B5" w14:textId="097FDC0D" w:rsidR="00C00B15" w:rsidRPr="007628BB" w:rsidRDefault="00C00B15" w:rsidP="00BC6B60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t>The title</w:t>
            </w:r>
            <w:r w:rsidR="00657DCC" w:rsidRPr="007628BB">
              <w:rPr>
                <w:rFonts w:ascii="Arial" w:hAnsi="Arial" w:cs="Arial"/>
                <w:sz w:val="20"/>
                <w:szCs w:val="20"/>
              </w:rPr>
              <w:t>s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 of a few sections ha</w:t>
            </w:r>
            <w:r w:rsidR="00657DCC" w:rsidRPr="007628BB">
              <w:rPr>
                <w:rFonts w:ascii="Arial" w:hAnsi="Arial" w:cs="Arial"/>
                <w:sz w:val="20"/>
                <w:szCs w:val="20"/>
              </w:rPr>
              <w:t>ve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 been slightly changed, as follows: </w:t>
            </w:r>
          </w:p>
          <w:p w14:paraId="5640FBA8" w14:textId="43719C3C" w:rsidR="00E05E83" w:rsidRPr="007628BB" w:rsidRDefault="00E05E83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Part II of the </w:t>
            </w:r>
            <w:r w:rsidR="00283D70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TA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GAF: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Description of the Project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283D70" w:rsidRPr="007628BB">
              <w:rPr>
                <w:rFonts w:ascii="Arial" w:hAnsi="Arial" w:cs="Arial"/>
                <w:sz w:val="20"/>
                <w:szCs w:val="20"/>
              </w:rPr>
              <w:t xml:space="preserve">Detailed </w:t>
            </w:r>
            <w:r w:rsidR="007628BB" w:rsidRPr="007628BB">
              <w:rPr>
                <w:rFonts w:ascii="Arial" w:hAnsi="Arial" w:cs="Arial"/>
                <w:sz w:val="20"/>
                <w:szCs w:val="20"/>
              </w:rPr>
              <w:t>d</w:t>
            </w:r>
            <w:r w:rsidRPr="007628BB">
              <w:rPr>
                <w:rFonts w:ascii="Arial" w:hAnsi="Arial" w:cs="Arial"/>
                <w:sz w:val="20"/>
                <w:szCs w:val="20"/>
              </w:rPr>
              <w:t>escription of the Project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E300B3" w:rsidRP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4B7B385" w14:textId="79CACFAB" w:rsidR="00283D70" w:rsidRPr="007628BB" w:rsidRDefault="00283D70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Part III of the TA GAF: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Description of the Action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Detailed </w:t>
            </w:r>
            <w:r w:rsidR="007628BB" w:rsidRPr="007628BB">
              <w:rPr>
                <w:rFonts w:ascii="Arial" w:hAnsi="Arial" w:cs="Arial"/>
                <w:sz w:val="20"/>
                <w:szCs w:val="20"/>
              </w:rPr>
              <w:t>d</w:t>
            </w:r>
            <w:r w:rsidRPr="007628BB">
              <w:rPr>
                <w:rFonts w:ascii="Arial" w:hAnsi="Arial" w:cs="Arial"/>
                <w:sz w:val="20"/>
                <w:szCs w:val="20"/>
              </w:rPr>
              <w:t>escription of the Action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E300B3" w:rsidRP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679A91" w14:textId="19C28ECB" w:rsidR="00C00B15" w:rsidRPr="007628BB" w:rsidRDefault="009C7CD9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S2</w:t>
            </w:r>
            <w:r w:rsidR="00C00B15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C00B15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Grant code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C00B15" w:rsidRPr="007628BB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C00B15" w:rsidRPr="007628BB">
              <w:rPr>
                <w:rFonts w:ascii="Arial" w:hAnsi="Arial" w:cs="Arial"/>
                <w:sz w:val="20"/>
                <w:szCs w:val="20"/>
              </w:rPr>
              <w:t>Grant number/code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B02580" w:rsidRP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533571" w14:textId="52A3303C" w:rsidR="00C00B15" w:rsidRPr="007628BB" w:rsidRDefault="009C7CD9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S3</w:t>
            </w:r>
            <w:r w:rsidR="00C00B15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E300B3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WBIF</w:t>
            </w:r>
            <w:r w:rsidR="00C00B15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approval date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C00B15" w:rsidRPr="007628BB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C00B15" w:rsidRPr="007628BB">
              <w:rPr>
                <w:rFonts w:ascii="Arial" w:hAnsi="Arial" w:cs="Arial"/>
                <w:sz w:val="20"/>
                <w:szCs w:val="20"/>
              </w:rPr>
              <w:t>Date of Steering Committee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C00B15" w:rsidRPr="007628B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D453548" w14:textId="23F28719" w:rsidR="009C7CD9" w:rsidRPr="007628BB" w:rsidRDefault="009C7CD9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S1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Lead Financial Institution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sz w:val="20"/>
                <w:szCs w:val="20"/>
              </w:rPr>
              <w:t>Lead International Financial Institution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695FB8" w14:textId="0715FC5A" w:rsidR="00910A00" w:rsidRPr="00910A00" w:rsidRDefault="00910A00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S14 ‘</w:t>
            </w:r>
            <w:r>
              <w:rPr>
                <w:rFonts w:ascii="Arial" w:hAnsi="Arial" w:cs="Arial"/>
                <w:b/>
                <w:sz w:val="20"/>
                <w:szCs w:val="20"/>
              </w:rPr>
              <w:t>Total WBIF grant</w:t>
            </w:r>
            <w:r w:rsidRPr="00DD3D14">
              <w:rPr>
                <w:rFonts w:ascii="Arial" w:hAnsi="Arial" w:cs="Arial"/>
                <w:b/>
                <w:sz w:val="20"/>
                <w:szCs w:val="20"/>
              </w:rPr>
              <w:t xml:space="preserve"> amount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’ </w:t>
            </w:r>
            <w:r w:rsidRPr="007628BB">
              <w:rPr>
                <w:rFonts w:ascii="Arial" w:hAnsi="Arial" w:cs="Arial"/>
                <w:sz w:val="20"/>
                <w:szCs w:val="20"/>
              </w:rPr>
              <w:t>instead of</w:t>
            </w:r>
            <w:r>
              <w:rPr>
                <w:rFonts w:ascii="Arial" w:hAnsi="Arial" w:cs="Arial"/>
                <w:sz w:val="20"/>
                <w:szCs w:val="20"/>
              </w:rPr>
              <w:t xml:space="preserve"> ‘Grant amount requested’</w:t>
            </w:r>
          </w:p>
          <w:p w14:paraId="55C00C8F" w14:textId="7E6F42FA" w:rsidR="009C7CD9" w:rsidRPr="007628BB" w:rsidRDefault="00910A00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D3D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C7CD9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S1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9C7CD9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9C7CD9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Description of the Project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9C7CD9" w:rsidRPr="007628BB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9C7CD9" w:rsidRPr="007628BB">
              <w:rPr>
                <w:rFonts w:ascii="Arial" w:hAnsi="Arial" w:cs="Arial"/>
                <w:sz w:val="20"/>
                <w:szCs w:val="20"/>
              </w:rPr>
              <w:t>Short description and context of the Project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9C7CD9" w:rsidRP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8A02448" w14:textId="5BE8C226" w:rsidR="00E05E83" w:rsidRDefault="00E05E83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7628BB">
              <w:rPr>
                <w:rFonts w:ascii="Arial" w:hAnsi="Arial" w:cs="Arial"/>
                <w:b/>
                <w:bCs/>
                <w:sz w:val="20"/>
                <w:szCs w:val="20"/>
              </w:rPr>
              <w:t>Indicative p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roject status and planning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sz w:val="20"/>
                <w:szCs w:val="20"/>
              </w:rPr>
              <w:t>Project</w:t>
            </w:r>
            <w:r w:rsidR="009C7CD9" w:rsidRPr="007628BB">
              <w:rPr>
                <w:rFonts w:ascii="Arial" w:hAnsi="Arial" w:cs="Arial"/>
                <w:sz w:val="20"/>
                <w:szCs w:val="20"/>
              </w:rPr>
              <w:t xml:space="preserve"> stage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9C7CD9" w:rsidRP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F798D60" w14:textId="2DCA5E4E" w:rsidR="007628BB" w:rsidRPr="007628BB" w:rsidRDefault="007628BB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S2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4B4994">
              <w:rPr>
                <w:rFonts w:ascii="Arial" w:hAnsi="Arial" w:cs="Arial"/>
                <w:b/>
                <w:sz w:val="20"/>
                <w:szCs w:val="20"/>
              </w:rPr>
              <w:t>oherence with the WBIF objectives, EU policies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4B4994">
              <w:rPr>
                <w:rFonts w:ascii="Arial" w:hAnsi="Arial" w:cs="Arial"/>
                <w:b/>
                <w:sz w:val="20"/>
                <w:szCs w:val="20"/>
              </w:rPr>
              <w:t xml:space="preserve"> adopted national/sectoral strategy</w:t>
            </w:r>
            <w:r w:rsidR="009F7DC1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628BB">
              <w:rPr>
                <w:rFonts w:ascii="Arial" w:hAnsi="Arial" w:cs="Arial"/>
                <w:sz w:val="20"/>
                <w:szCs w:val="20"/>
              </w:rPr>
              <w:t>instead 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sz w:val="20"/>
                <w:szCs w:val="20"/>
              </w:rPr>
              <w:t>Strategic justification and coherence with the WBIF objectives, adopted national</w:t>
            </w:r>
            <w:r w:rsidR="00CF05F8">
              <w:rPr>
                <w:rFonts w:ascii="Arial" w:hAnsi="Arial" w:cs="Arial"/>
                <w:sz w:val="20"/>
                <w:szCs w:val="20"/>
              </w:rPr>
              <w:t>/</w:t>
            </w:r>
            <w:r w:rsidRPr="007628BB">
              <w:rPr>
                <w:rFonts w:ascii="Arial" w:hAnsi="Arial" w:cs="Arial"/>
                <w:sz w:val="20"/>
                <w:szCs w:val="20"/>
              </w:rPr>
              <w:t>sectoral strategy and EU policies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CF05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951EDEF" w14:textId="5341FACE" w:rsidR="00E300B3" w:rsidRDefault="009C7CD9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S3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7628BB" w:rsidRPr="00834B5C">
              <w:rPr>
                <w:rFonts w:ascii="Arial" w:hAnsi="Arial" w:cs="Arial"/>
                <w:b/>
                <w:sz w:val="20"/>
                <w:szCs w:val="20"/>
              </w:rPr>
              <w:t xml:space="preserve">Issues to be clarified before WBIF grant </w:t>
            </w:r>
            <w:r w:rsidR="007628BB"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approva</w:t>
            </w:r>
            <w:r w:rsidR="007628BB" w:rsidRPr="007628BB">
              <w:rPr>
                <w:rFonts w:ascii="Arial" w:hAnsi="Arial" w:cs="Arial"/>
                <w:sz w:val="20"/>
                <w:szCs w:val="20"/>
              </w:rPr>
              <w:t>l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7628BB" w:rsidRPr="007628BB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E300B3" w:rsidRPr="007628BB">
              <w:rPr>
                <w:rFonts w:ascii="Arial" w:hAnsi="Arial" w:cs="Arial"/>
                <w:sz w:val="20"/>
                <w:szCs w:val="20"/>
              </w:rPr>
              <w:t>Issues to be clarified before submission to the WBIF Steering Committee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7628B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1A7638B" w14:textId="0C5D5543" w:rsidR="007628BB" w:rsidRPr="007628BB" w:rsidRDefault="007628BB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Annex </w:t>
            </w:r>
            <w:r w:rsidR="009F7DC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‘</w:t>
            </w:r>
            <w:r w:rsidRPr="007628B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Approval by the EWBJF Assembly of Contributors</w:t>
            </w:r>
            <w:r w:rsidR="009F7DC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’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7628BB">
              <w:rPr>
                <w:rFonts w:ascii="Arial" w:hAnsi="Arial" w:cs="Arial"/>
                <w:sz w:val="20"/>
                <w:szCs w:val="20"/>
              </w:rPr>
              <w:t xml:space="preserve">instead of </w:t>
            </w:r>
            <w:r w:rsidR="009F7DC1"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Pr="007628BB">
              <w:rPr>
                <w:rFonts w:ascii="Arial" w:eastAsia="Calibri" w:hAnsi="Arial" w:cs="Arial"/>
                <w:sz w:val="20"/>
                <w:szCs w:val="20"/>
              </w:rPr>
              <w:t>Approval by the WBIF Steering Committee and by the EWBJF Assembly of Contributors</w:t>
            </w:r>
            <w:r w:rsidR="009F7DC1">
              <w:rPr>
                <w:rFonts w:ascii="Arial" w:eastAsia="Calibri" w:hAnsi="Arial" w:cs="Arial"/>
                <w:sz w:val="20"/>
                <w:szCs w:val="20"/>
              </w:rPr>
              <w:t>’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F72174" w:rsidRPr="007628BB" w14:paraId="7DE81F22" w14:textId="77777777" w:rsidTr="007628BB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pct"/>
            <w:tcBorders>
              <w:left w:val="single" w:sz="4" w:space="0" w:color="80A1B6"/>
              <w:right w:val="single" w:sz="4" w:space="0" w:color="80A1B6"/>
            </w:tcBorders>
          </w:tcPr>
          <w:p w14:paraId="46E40EBA" w14:textId="42F39F26" w:rsidR="00F72174" w:rsidRPr="007628BB" w:rsidRDefault="00D15A75" w:rsidP="007628BB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lastRenderedPageBreak/>
              <w:t>Improved/</w:t>
            </w:r>
            <w:r w:rsidR="00E371A6" w:rsidRPr="007628BB">
              <w:rPr>
                <w:rFonts w:ascii="Arial" w:hAnsi="Arial" w:cs="Arial"/>
                <w:sz w:val="20"/>
                <w:szCs w:val="20"/>
              </w:rPr>
              <w:br/>
            </w:r>
            <w:r w:rsidRPr="007628BB">
              <w:rPr>
                <w:rFonts w:ascii="Arial" w:hAnsi="Arial" w:cs="Arial"/>
                <w:sz w:val="20"/>
                <w:szCs w:val="20"/>
              </w:rPr>
              <w:t>restructured</w:t>
            </w:r>
            <w:r w:rsidR="00F72174" w:rsidRPr="007628BB">
              <w:rPr>
                <w:rFonts w:ascii="Arial" w:hAnsi="Arial" w:cs="Arial"/>
                <w:sz w:val="20"/>
                <w:szCs w:val="20"/>
              </w:rPr>
              <w:t xml:space="preserve"> sections</w:t>
            </w:r>
            <w:r w:rsidR="006155F1" w:rsidRPr="007628BB">
              <w:rPr>
                <w:rFonts w:ascii="Arial" w:hAnsi="Arial" w:cs="Arial"/>
                <w:sz w:val="20"/>
                <w:szCs w:val="20"/>
              </w:rPr>
              <w:t xml:space="preserve"> in line with revised INV GAF and MIS format</w:t>
            </w:r>
          </w:p>
        </w:tc>
        <w:tc>
          <w:tcPr>
            <w:tcW w:w="4076" w:type="pct"/>
            <w:tcBorders>
              <w:left w:val="single" w:sz="4" w:space="0" w:color="80A1B6"/>
              <w:right w:val="single" w:sz="4" w:space="0" w:color="80A1B6"/>
            </w:tcBorders>
          </w:tcPr>
          <w:p w14:paraId="1D13E019" w14:textId="3373DCF5" w:rsidR="005D5844" w:rsidRPr="005D5844" w:rsidRDefault="005D5844" w:rsidP="005D5844">
            <w:pPr>
              <w:pStyle w:val="ListParagraph"/>
              <w:numPr>
                <w:ilvl w:val="0"/>
                <w:numId w:val="6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D5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S5 </w:t>
            </w:r>
            <w:r w:rsidRPr="005D5844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5D5844">
              <w:rPr>
                <w:rFonts w:ascii="Arial" w:hAnsi="Arial" w:cs="Arial"/>
                <w:b/>
                <w:bCs/>
                <w:sz w:val="20"/>
                <w:szCs w:val="20"/>
              </w:rPr>
              <w:t>Sectors</w:t>
            </w:r>
            <w:r w:rsidRPr="005D5844">
              <w:rPr>
                <w:rFonts w:ascii="Arial" w:hAnsi="Arial" w:cs="Arial"/>
                <w:b/>
                <w:bCs/>
                <w:sz w:val="20"/>
                <w:szCs w:val="20"/>
              </w:rPr>
              <w:t>’: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844">
              <w:rPr>
                <w:rFonts w:ascii="Arial" w:hAnsi="Arial" w:cs="Arial"/>
                <w:sz w:val="20"/>
                <w:szCs w:val="20"/>
              </w:rPr>
              <w:t xml:space="preserve">eligible sectors </w:t>
            </w:r>
            <w:r>
              <w:rPr>
                <w:rFonts w:ascii="Arial" w:hAnsi="Arial" w:cs="Arial"/>
                <w:sz w:val="20"/>
                <w:szCs w:val="20"/>
              </w:rPr>
              <w:t>have been</w:t>
            </w:r>
            <w:r w:rsidRPr="005D5844">
              <w:rPr>
                <w:rFonts w:ascii="Arial" w:hAnsi="Arial" w:cs="Arial"/>
                <w:sz w:val="20"/>
                <w:szCs w:val="20"/>
              </w:rPr>
              <w:t xml:space="preserve"> amended to those included in “Doc 6 - Public blending - EU eligibility criteria aligned with the Economic and Investment Plan for the Western Balkans”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5E147B6" w14:textId="77777777" w:rsidR="005D5844" w:rsidRPr="005D5844" w:rsidRDefault="005D5844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549280B" w14:textId="731F6136" w:rsidR="00C84BFA" w:rsidRPr="00BC6B60" w:rsidRDefault="00E27604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S1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910A00">
              <w:rPr>
                <w:rFonts w:ascii="Arial" w:hAnsi="Arial" w:cs="Arial"/>
                <w:b/>
                <w:sz w:val="20"/>
                <w:szCs w:val="20"/>
              </w:rPr>
              <w:t>Total WBIF grant</w:t>
            </w:r>
            <w:r w:rsidR="00910A00" w:rsidRPr="00DD3D14">
              <w:rPr>
                <w:rFonts w:ascii="Arial" w:hAnsi="Arial" w:cs="Arial"/>
                <w:b/>
                <w:sz w:val="20"/>
                <w:szCs w:val="20"/>
              </w:rPr>
              <w:t xml:space="preserve"> amount</w:t>
            </w:r>
            <w:r w:rsidR="00910A00">
              <w:rPr>
                <w:rFonts w:ascii="Arial" w:hAnsi="Arial" w:cs="Arial"/>
                <w:b/>
                <w:sz w:val="20"/>
                <w:szCs w:val="20"/>
              </w:rPr>
              <w:t xml:space="preserve">’ </w:t>
            </w:r>
            <w:r w:rsidR="00B02580" w:rsidRPr="00BC6B60">
              <w:rPr>
                <w:rFonts w:ascii="Arial" w:hAnsi="Arial" w:cs="Arial"/>
                <w:sz w:val="20"/>
                <w:szCs w:val="20"/>
              </w:rPr>
              <w:t xml:space="preserve">has been slightly amended </w:t>
            </w:r>
            <w:bookmarkStart w:id="1" w:name="_Hlk40879252"/>
            <w:r w:rsidR="00C84BFA" w:rsidRPr="00BC6B60">
              <w:rPr>
                <w:rFonts w:ascii="Arial" w:hAnsi="Arial" w:cs="Arial"/>
                <w:sz w:val="20"/>
                <w:szCs w:val="20"/>
              </w:rPr>
              <w:t>to match the form currently used in the MIS</w:t>
            </w:r>
            <w:bookmarkEnd w:id="1"/>
            <w:r w:rsidR="00C84BFA" w:rsidRPr="00BC6B6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FE6802" w14:textId="22DC9AEE" w:rsidR="006155F1" w:rsidRPr="00BC6B60" w:rsidRDefault="006155F1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S1</w:t>
            </w:r>
            <w:r w:rsidR="000734DF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Description of the Project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S16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sz w:val="20"/>
                <w:szCs w:val="20"/>
              </w:rPr>
              <w:t>Short description and context of the Project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and S1</w:t>
            </w:r>
            <w:r w:rsidR="009F7DC1">
              <w:rPr>
                <w:rFonts w:ascii="Arial" w:hAnsi="Arial" w:cs="Arial"/>
                <w:sz w:val="20"/>
                <w:szCs w:val="20"/>
              </w:rPr>
              <w:t>7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sz w:val="20"/>
                <w:szCs w:val="20"/>
              </w:rPr>
              <w:t>Main objectives of the Project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have been merged into a single section, as well as restructured into </w:t>
            </w:r>
            <w:r w:rsidR="001106C5">
              <w:rPr>
                <w:rFonts w:ascii="Arial" w:hAnsi="Arial" w:cs="Arial"/>
                <w:sz w:val="20"/>
                <w:szCs w:val="20"/>
              </w:rPr>
              <w:t>six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sub-sections, to avoid repetition and possible misunderstandings, as follows: 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="001106C5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.1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Background and context of the Project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; 1</w:t>
            </w:r>
            <w:r w:rsidR="001106C5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.2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Needs/demand analysis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; 1</w:t>
            </w:r>
            <w:r w:rsidR="001106C5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.3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Main objectives of the Project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; 1</w:t>
            </w:r>
            <w:r w:rsidR="001106C5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.4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Description of the Project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; 1</w:t>
            </w:r>
            <w:r w:rsidR="001106C5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.5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Project map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; </w:t>
            </w:r>
            <w:r w:rsidR="007628BB"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and, 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="001106C5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.6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Reference documents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4DB177FE" w14:textId="39F46DA2" w:rsidR="00CE60C2" w:rsidRPr="00BC6B60" w:rsidRDefault="00C84BFA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Section</w:t>
            </w:r>
            <w:r w:rsidR="00CE60C2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18 ‘</w:t>
            </w:r>
            <w:r w:rsidR="00CE60C2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Project stage summary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CE60C2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has been removed, </w:t>
            </w:r>
            <w:r w:rsidR="00CE60C2" w:rsidRPr="00BC6B60">
              <w:rPr>
                <w:rFonts w:ascii="Arial" w:hAnsi="Arial" w:cs="Arial"/>
                <w:sz w:val="20"/>
                <w:szCs w:val="20"/>
              </w:rPr>
              <w:t>and therefore various sections within the template have been re-numbered.</w:t>
            </w:r>
          </w:p>
          <w:p w14:paraId="37645B07" w14:textId="354536D2" w:rsidR="0035709F" w:rsidRPr="00BC6B60" w:rsidRDefault="00CE60C2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BC6B60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Indicative p</w:t>
            </w:r>
            <w:r w:rsidR="002C4589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roject status and planning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5709F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ha</w:t>
            </w:r>
            <w:r w:rsidR="0011155F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35709F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7DCC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been </w:t>
            </w:r>
            <w:bookmarkStart w:id="2" w:name="_Hlk44491685"/>
            <w:r w:rsidR="008844C9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amended and restructured:</w:t>
            </w:r>
            <w:r w:rsidR="0058670E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8670E" w:rsidRPr="00BC6B6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58670E" w:rsidRPr="00BC6B6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58670E" w:rsidRPr="00BC6B60">
              <w:rPr>
                <w:rFonts w:ascii="Arial" w:hAnsi="Arial" w:cs="Arial"/>
                <w:sz w:val="20"/>
                <w:szCs w:val="20"/>
              </w:rPr>
              <w:t>)</w:t>
            </w:r>
            <w:r w:rsidR="008844C9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a distinctive line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="0035709F"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Construction and other statutory permits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>after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="00BC6B60" w:rsidRPr="00BC6B60">
              <w:rPr>
                <w:rFonts w:ascii="Arial" w:hAnsi="Arial" w:cs="Arial"/>
                <w:i/>
                <w:iCs/>
                <w:sz w:val="20"/>
                <w:szCs w:val="20"/>
              </w:rPr>
              <w:t>Detailed Design</w:t>
            </w:r>
            <w:r w:rsid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 ha</w:t>
            </w:r>
            <w:r w:rsidR="00F16C4B" w:rsidRPr="00BC6B60">
              <w:rPr>
                <w:rFonts w:ascii="Arial" w:hAnsi="Arial" w:cs="Arial"/>
                <w:sz w:val="20"/>
                <w:szCs w:val="20"/>
              </w:rPr>
              <w:t>s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 been added</w:t>
            </w:r>
            <w:bookmarkEnd w:id="2"/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58670E" w:rsidRPr="00BC6B60">
              <w:rPr>
                <w:rFonts w:ascii="Arial" w:hAnsi="Arial" w:cs="Arial"/>
                <w:sz w:val="20"/>
                <w:szCs w:val="20"/>
              </w:rPr>
              <w:t xml:space="preserve">(ii)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>Procurement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 has been replaced with </w:t>
            </w:r>
            <w:bookmarkStart w:id="3" w:name="_Hlk44491726"/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35709F" w:rsidRPr="00BC6B60">
              <w:rPr>
                <w:rFonts w:ascii="Arial" w:hAnsi="Arial" w:cs="Arial"/>
                <w:sz w:val="20"/>
                <w:szCs w:val="20"/>
              </w:rPr>
              <w:t xml:space="preserve">Procurement </w:t>
            </w:r>
            <w:r w:rsidR="002C4589" w:rsidRPr="00BC6B60">
              <w:rPr>
                <w:rFonts w:ascii="Arial" w:hAnsi="Arial" w:cs="Arial"/>
                <w:sz w:val="20"/>
                <w:szCs w:val="20"/>
              </w:rPr>
              <w:t>for works (per phase/component)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bookmarkEnd w:id="3"/>
            <w:r w:rsidR="00C84BFA" w:rsidRPr="00BC6B60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3234A" w:rsidRPr="00BC6B60">
              <w:rPr>
                <w:rFonts w:ascii="Arial" w:hAnsi="Arial" w:cs="Arial"/>
                <w:sz w:val="20"/>
                <w:szCs w:val="20"/>
              </w:rPr>
              <w:t xml:space="preserve">(iii) </w:t>
            </w:r>
            <w:r w:rsidR="00C84BFA" w:rsidRPr="00BC6B60">
              <w:rPr>
                <w:rFonts w:ascii="Arial" w:hAnsi="Arial" w:cs="Arial"/>
                <w:sz w:val="20"/>
                <w:szCs w:val="20"/>
              </w:rPr>
              <w:t xml:space="preserve">a distinctive line </w:t>
            </w:r>
            <w:r w:rsidR="009F7DC1">
              <w:rPr>
                <w:rFonts w:ascii="Arial" w:hAnsi="Arial" w:cs="Arial"/>
                <w:sz w:val="20"/>
                <w:szCs w:val="20"/>
              </w:rPr>
              <w:t>for ‘</w:t>
            </w:r>
            <w:r w:rsidR="00C84BFA" w:rsidRPr="00BC6B60">
              <w:rPr>
                <w:rFonts w:ascii="Arial" w:hAnsi="Arial" w:cs="Arial"/>
                <w:sz w:val="20"/>
                <w:szCs w:val="20"/>
              </w:rPr>
              <w:t xml:space="preserve">Construction of works 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>(</w:t>
            </w:r>
            <w:r w:rsidR="00C84BFA" w:rsidRPr="00BC6B60">
              <w:rPr>
                <w:rFonts w:ascii="Arial" w:hAnsi="Arial" w:cs="Arial"/>
                <w:sz w:val="20"/>
                <w:szCs w:val="20"/>
              </w:rPr>
              <w:t>per phase/component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>)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C84BFA" w:rsidRPr="00BC6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44C9" w:rsidRPr="00BC6B60">
              <w:rPr>
                <w:rFonts w:ascii="Arial" w:hAnsi="Arial" w:cs="Arial"/>
                <w:sz w:val="20"/>
                <w:szCs w:val="20"/>
              </w:rPr>
              <w:t>h</w:t>
            </w:r>
            <w:r w:rsidR="00C84BFA" w:rsidRPr="00BC6B60">
              <w:rPr>
                <w:rFonts w:ascii="Arial" w:hAnsi="Arial" w:cs="Arial"/>
                <w:sz w:val="20"/>
                <w:szCs w:val="20"/>
              </w:rPr>
              <w:t>as been introduce</w:t>
            </w:r>
            <w:r w:rsidR="00E300B3" w:rsidRPr="00BC6B60">
              <w:rPr>
                <w:rFonts w:ascii="Arial" w:hAnsi="Arial" w:cs="Arial"/>
                <w:sz w:val="20"/>
                <w:szCs w:val="20"/>
              </w:rPr>
              <w:t>d</w:t>
            </w:r>
            <w:r w:rsidR="00A3234A" w:rsidRPr="00BC6B60">
              <w:rPr>
                <w:rFonts w:ascii="Arial" w:hAnsi="Arial" w:cs="Arial"/>
                <w:sz w:val="20"/>
                <w:szCs w:val="20"/>
              </w:rPr>
              <w:t xml:space="preserve">; and, (iv) </w:t>
            </w:r>
            <w:r w:rsidR="008844C9" w:rsidRPr="00BC6B60">
              <w:rPr>
                <w:rFonts w:ascii="Arial" w:hAnsi="Arial" w:cs="Arial"/>
                <w:sz w:val="20"/>
                <w:szCs w:val="20"/>
              </w:rPr>
              <w:t>two columns</w:t>
            </w:r>
            <w:r w:rsidR="008844C9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844C9" w:rsidRPr="00BC6B60">
              <w:rPr>
                <w:rFonts w:ascii="Arial" w:hAnsi="Arial" w:cs="Arial"/>
                <w:sz w:val="20"/>
                <w:szCs w:val="20"/>
              </w:rPr>
              <w:t>related to the expected start and completion dates of the various project stage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>s</w:t>
            </w:r>
            <w:r w:rsidR="008844C9" w:rsidRPr="00BC6B60">
              <w:rPr>
                <w:rFonts w:ascii="Arial" w:hAnsi="Arial" w:cs="Arial"/>
                <w:sz w:val="20"/>
                <w:szCs w:val="20"/>
              </w:rPr>
              <w:t xml:space="preserve"> have been introduced.</w:t>
            </w:r>
          </w:p>
          <w:p w14:paraId="09346DEA" w14:textId="4C472F0B" w:rsidR="00A3234A" w:rsidRPr="00BC6B60" w:rsidRDefault="0035709F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S2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Project budget and financing plan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A3234A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3234A" w:rsidRPr="00BC6B60">
              <w:rPr>
                <w:rFonts w:ascii="Arial" w:hAnsi="Arial" w:cs="Arial"/>
                <w:sz w:val="20"/>
                <w:szCs w:val="20"/>
              </w:rPr>
              <w:t xml:space="preserve">has been replaced with the section used in the revised INV GAF Template to </w:t>
            </w:r>
            <w:r w:rsidR="00B5271A" w:rsidRPr="00BC6B60">
              <w:rPr>
                <w:rFonts w:ascii="Arial" w:hAnsi="Arial" w:cs="Arial"/>
                <w:sz w:val="20"/>
                <w:szCs w:val="20"/>
              </w:rPr>
              <w:t xml:space="preserve">have </w:t>
            </w:r>
            <w:r w:rsidR="002740E8" w:rsidRPr="00BC6B60">
              <w:rPr>
                <w:rFonts w:ascii="Arial" w:hAnsi="Arial" w:cs="Arial"/>
                <w:sz w:val="20"/>
                <w:szCs w:val="20"/>
              </w:rPr>
              <w:t>a</w:t>
            </w:r>
            <w:r w:rsidR="00B5271A" w:rsidRPr="00BC6B60">
              <w:rPr>
                <w:rFonts w:ascii="Arial" w:hAnsi="Arial" w:cs="Arial"/>
                <w:sz w:val="20"/>
                <w:szCs w:val="20"/>
              </w:rPr>
              <w:t xml:space="preserve"> unitary format </w:t>
            </w:r>
            <w:r w:rsidR="00A3234A" w:rsidRPr="00BC6B60">
              <w:rPr>
                <w:rFonts w:ascii="Arial" w:hAnsi="Arial" w:cs="Arial"/>
                <w:sz w:val="20"/>
                <w:szCs w:val="20"/>
              </w:rPr>
              <w:t>in the MIS</w:t>
            </w:r>
            <w:r w:rsidR="002740E8" w:rsidRPr="00BC6B60">
              <w:rPr>
                <w:rFonts w:ascii="Arial" w:hAnsi="Arial" w:cs="Arial"/>
                <w:sz w:val="20"/>
                <w:szCs w:val="20"/>
              </w:rPr>
              <w:t>. Additional clarification about the various cost components has been included</w:t>
            </w:r>
            <w:r w:rsidR="00412259" w:rsidRPr="00BC6B6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0DF86E" w14:textId="4B87C015" w:rsidR="00412259" w:rsidRPr="00BC6B60" w:rsidRDefault="00412259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S2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Project</w:t>
            </w:r>
            <w:r w:rsidRPr="00BC6B60">
              <w:rPr>
                <w:rFonts w:ascii="Arial" w:hAnsi="Arial" w:cs="Arial"/>
                <w:b/>
                <w:sz w:val="20"/>
                <w:szCs w:val="20"/>
              </w:rPr>
              <w:t xml:space="preserve"> sustainability</w:t>
            </w:r>
            <w:r w:rsidR="009F7DC1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C6B60">
              <w:rPr>
                <w:rFonts w:ascii="Arial" w:hAnsi="Arial" w:cs="Arial"/>
                <w:sz w:val="20"/>
                <w:szCs w:val="20"/>
              </w:rPr>
              <w:t>has</w:t>
            </w:r>
            <w:r w:rsidRPr="00BC6B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C6B60">
              <w:rPr>
                <w:rFonts w:ascii="Arial" w:hAnsi="Arial" w:cs="Arial"/>
                <w:sz w:val="20"/>
                <w:szCs w:val="20"/>
              </w:rPr>
              <w:t>been restructured into four sub-sections, as follows: (</w:t>
            </w:r>
            <w:proofErr w:type="spellStart"/>
            <w:r w:rsidRPr="00BC6B6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C6B60">
              <w:rPr>
                <w:rFonts w:ascii="Arial" w:hAnsi="Arial" w:cs="Arial"/>
                <w:sz w:val="20"/>
                <w:szCs w:val="20"/>
              </w:rPr>
              <w:t>) Economic/financial viability; (ii) Environmental aspects; (iii) Social aspects; and, (iv) Institutional aspects</w:t>
            </w:r>
            <w:r w:rsidR="006155F1" w:rsidRPr="00BC6B6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="006155F1" w:rsidRPr="00BC6B60">
              <w:rPr>
                <w:rFonts w:ascii="Arial" w:hAnsi="Arial" w:cs="Arial"/>
                <w:sz w:val="20"/>
                <w:szCs w:val="20"/>
              </w:rPr>
              <w:t>similar to</w:t>
            </w:r>
            <w:proofErr w:type="gramEnd"/>
            <w:r w:rsidR="006155F1" w:rsidRPr="00BC6B60">
              <w:rPr>
                <w:rFonts w:ascii="Arial" w:hAnsi="Arial" w:cs="Arial"/>
                <w:sz w:val="20"/>
                <w:szCs w:val="20"/>
              </w:rPr>
              <w:t xml:space="preserve"> that one used in the </w:t>
            </w:r>
            <w:r w:rsidR="00E300B3" w:rsidRPr="00BC6B60">
              <w:rPr>
                <w:rFonts w:ascii="Arial" w:hAnsi="Arial" w:cs="Arial"/>
                <w:sz w:val="20"/>
                <w:szCs w:val="20"/>
              </w:rPr>
              <w:t>revised</w:t>
            </w:r>
            <w:r w:rsidR="006155F1" w:rsidRPr="00BC6B60">
              <w:rPr>
                <w:rFonts w:ascii="Arial" w:hAnsi="Arial" w:cs="Arial"/>
                <w:sz w:val="20"/>
                <w:szCs w:val="20"/>
              </w:rPr>
              <w:t xml:space="preserve"> INV GAF Template);</w:t>
            </w:r>
          </w:p>
          <w:p w14:paraId="48101A06" w14:textId="77179AE4" w:rsidR="00412259" w:rsidRPr="00BC6B60" w:rsidRDefault="00412259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S2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Risk assessment categories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6B60">
              <w:rPr>
                <w:rFonts w:ascii="Arial" w:hAnsi="Arial" w:cs="Arial"/>
                <w:sz w:val="20"/>
                <w:szCs w:val="20"/>
              </w:rPr>
              <w:t>has been amended: (</w:t>
            </w:r>
            <w:proofErr w:type="spellStart"/>
            <w:r w:rsidRPr="00BC6B6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C6B60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sz w:val="20"/>
                <w:szCs w:val="20"/>
              </w:rPr>
              <w:t>Social and gender equality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has been replaced with the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sz w:val="20"/>
                <w:szCs w:val="20"/>
              </w:rPr>
              <w:t>Socio-economic, equality/gender, minority/vulnerable groups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; and, (ii) a distinctive line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Operation </w:t>
            </w:r>
            <w:r w:rsidR="00E300B3" w:rsidRPr="00BC6B60">
              <w:rPr>
                <w:rFonts w:ascii="Arial" w:hAnsi="Arial" w:cs="Arial"/>
                <w:sz w:val="20"/>
                <w:szCs w:val="20"/>
              </w:rPr>
              <w:t>risks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has been introduced.</w:t>
            </w:r>
          </w:p>
          <w:p w14:paraId="15D214CE" w14:textId="37F2C066" w:rsidR="00F16C4B" w:rsidRPr="00BC6B60" w:rsidRDefault="00F16C4B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412259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ection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Indicative project calendar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has been </w:t>
            </w:r>
            <w:r w:rsidR="00412259" w:rsidRPr="00BC6B60">
              <w:rPr>
                <w:rFonts w:ascii="Arial" w:hAnsi="Arial" w:cs="Arial"/>
                <w:sz w:val="20"/>
                <w:szCs w:val="20"/>
              </w:rPr>
              <w:t>removed</w:t>
            </w:r>
            <w:r w:rsidR="002616CD" w:rsidRPr="00BC6B60">
              <w:rPr>
                <w:rFonts w:ascii="Arial" w:hAnsi="Arial" w:cs="Arial"/>
                <w:sz w:val="20"/>
                <w:szCs w:val="20"/>
              </w:rPr>
              <w:t xml:space="preserve"> to avoid duplication of information with 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 xml:space="preserve">the new </w:t>
            </w:r>
            <w:r w:rsidR="002616CD" w:rsidRPr="00BC6B60">
              <w:rPr>
                <w:rFonts w:ascii="Arial" w:hAnsi="Arial" w:cs="Arial"/>
                <w:sz w:val="20"/>
                <w:szCs w:val="20"/>
              </w:rPr>
              <w:t>section S</w:t>
            </w:r>
            <w:r w:rsidR="00910A00">
              <w:rPr>
                <w:rFonts w:ascii="Arial" w:hAnsi="Arial" w:cs="Arial"/>
                <w:sz w:val="20"/>
                <w:szCs w:val="20"/>
              </w:rPr>
              <w:t>20</w:t>
            </w:r>
            <w:r w:rsidR="002616CD" w:rsidRPr="00BC6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="00BC6B60" w:rsidRPr="00BC6B60">
              <w:rPr>
                <w:rFonts w:ascii="Arial" w:hAnsi="Arial" w:cs="Arial"/>
                <w:sz w:val="20"/>
                <w:szCs w:val="20"/>
              </w:rPr>
              <w:t>Indicative p</w:t>
            </w:r>
            <w:r w:rsidR="002616CD" w:rsidRPr="00BC6B60">
              <w:rPr>
                <w:rFonts w:ascii="Arial" w:hAnsi="Arial" w:cs="Arial"/>
                <w:sz w:val="20"/>
                <w:szCs w:val="20"/>
              </w:rPr>
              <w:t>roject status and planning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2616CD" w:rsidRPr="00BC6B6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45AD0E" w14:textId="3DF70942" w:rsidR="009B09FF" w:rsidRPr="00BC6B60" w:rsidRDefault="00BC6B60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S2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9B09FF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Climate mitigation and adaptation aspects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9B09FF"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9B09FF" w:rsidRPr="00BC6B60">
              <w:rPr>
                <w:rFonts w:ascii="Arial" w:hAnsi="Arial" w:cs="Arial"/>
                <w:sz w:val="20"/>
                <w:szCs w:val="20"/>
              </w:rPr>
              <w:t xml:space="preserve"> a textbox has been added to provide additional explanations about the Rio markers;</w:t>
            </w:r>
          </w:p>
          <w:p w14:paraId="63B53248" w14:textId="2579FC99" w:rsidR="0017637A" w:rsidRPr="00BC6B60" w:rsidRDefault="00412259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S3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WBIF grant amount calculation and justification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BC6B60">
              <w:rPr>
                <w:rFonts w:ascii="Arial" w:hAnsi="Arial" w:cs="Arial"/>
                <w:sz w:val="20"/>
                <w:szCs w:val="20"/>
              </w:rPr>
              <w:t>distinctive lines related to the activities associated with the Action</w:t>
            </w:r>
            <w:r w:rsidRPr="00BC6B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have been introduced </w:t>
            </w:r>
            <w:r w:rsidR="002616CD" w:rsidRPr="00BC6B60">
              <w:rPr>
                <w:rFonts w:ascii="Arial" w:hAnsi="Arial" w:cs="Arial"/>
                <w:sz w:val="20"/>
                <w:szCs w:val="20"/>
              </w:rPr>
              <w:t>(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e.g. </w:t>
            </w:r>
            <w:r w:rsidR="0017637A" w:rsidRPr="00BC6B60">
              <w:rPr>
                <w:rFonts w:ascii="Arial" w:hAnsi="Arial" w:cs="Arial"/>
                <w:sz w:val="20"/>
                <w:szCs w:val="20"/>
              </w:rPr>
              <w:t xml:space="preserve">Preliminary Design, Preparation of </w:t>
            </w:r>
            <w:r w:rsidR="00BC6B60">
              <w:rPr>
                <w:rFonts w:ascii="Arial" w:hAnsi="Arial" w:cs="Arial"/>
                <w:sz w:val="20"/>
                <w:szCs w:val="20"/>
              </w:rPr>
              <w:t>t</w:t>
            </w:r>
            <w:r w:rsidR="0017637A" w:rsidRPr="00BC6B60">
              <w:rPr>
                <w:rFonts w:ascii="Arial" w:hAnsi="Arial" w:cs="Arial"/>
                <w:sz w:val="20"/>
                <w:szCs w:val="20"/>
              </w:rPr>
              <w:t>ender dossiers, etc</w:t>
            </w:r>
            <w:r w:rsidR="00E300B3" w:rsidRPr="00BC6B60">
              <w:rPr>
                <w:rFonts w:ascii="Arial" w:hAnsi="Arial" w:cs="Arial"/>
                <w:sz w:val="20"/>
                <w:szCs w:val="20"/>
              </w:rPr>
              <w:t>.</w:t>
            </w:r>
            <w:r w:rsidR="0017637A" w:rsidRPr="00BC6B60">
              <w:rPr>
                <w:rFonts w:ascii="Arial" w:hAnsi="Arial" w:cs="Arial"/>
                <w:sz w:val="20"/>
                <w:szCs w:val="20"/>
              </w:rPr>
              <w:t>)</w:t>
            </w:r>
            <w:r w:rsidR="00BC6B6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A291B84" w14:textId="0377A78D" w:rsidR="00655939" w:rsidRPr="00BC6B60" w:rsidRDefault="0017637A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S3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Indicative calendar of Action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5939" w:rsidRPr="00BC6B60">
              <w:rPr>
                <w:rFonts w:ascii="Arial" w:hAnsi="Arial" w:cs="Arial"/>
                <w:sz w:val="20"/>
                <w:szCs w:val="20"/>
              </w:rPr>
              <w:t>has been slightly restructured to match the form currently used in the MIS</w:t>
            </w:r>
            <w:r w:rsidR="00BC6B6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712946" w14:textId="60E2BCB5" w:rsidR="00655939" w:rsidRPr="00BC6B60" w:rsidRDefault="00655939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Issues to be clarified before WBIF </w:t>
            </w:r>
            <w:r w:rsid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grant </w:t>
            </w:r>
            <w:r w:rsidR="00C45650">
              <w:rPr>
                <w:rFonts w:ascii="Arial" w:hAnsi="Arial" w:cs="Arial"/>
                <w:b/>
                <w:bCs/>
                <w:sz w:val="20"/>
                <w:szCs w:val="20"/>
              </w:rPr>
              <w:t>approval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6B60">
              <w:rPr>
                <w:rFonts w:ascii="Arial" w:hAnsi="Arial" w:cs="Arial"/>
                <w:sz w:val="20"/>
                <w:szCs w:val="20"/>
              </w:rPr>
              <w:t>has been moved before S3</w:t>
            </w:r>
            <w:r w:rsidR="001106C5">
              <w:rPr>
                <w:rFonts w:ascii="Arial" w:hAnsi="Arial" w:cs="Arial"/>
                <w:sz w:val="20"/>
                <w:szCs w:val="20"/>
              </w:rPr>
              <w:t>7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Contacts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and become S3</w:t>
            </w:r>
            <w:r w:rsidR="001106C5">
              <w:rPr>
                <w:rFonts w:ascii="Arial" w:hAnsi="Arial" w:cs="Arial"/>
                <w:sz w:val="20"/>
                <w:szCs w:val="20"/>
              </w:rPr>
              <w:t>6</w:t>
            </w:r>
            <w:r w:rsidRPr="00BC6B6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15D062" w14:textId="47ED9F6C" w:rsidR="00525753" w:rsidRPr="00BC6B60" w:rsidRDefault="00655939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S3</w:t>
            </w:r>
            <w:r w:rsidR="001106C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Contacts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BC6B6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BC6B60">
              <w:rPr>
                <w:rFonts w:ascii="Arial" w:hAnsi="Arial" w:cs="Arial"/>
                <w:sz w:val="20"/>
                <w:szCs w:val="20"/>
              </w:rPr>
              <w:t xml:space="preserve"> the contact for DG NEAR has been removed.</w:t>
            </w:r>
          </w:p>
        </w:tc>
      </w:tr>
      <w:tr w:rsidR="00525753" w:rsidRPr="007628BB" w14:paraId="362DCF02" w14:textId="77777777" w:rsidTr="005D5844">
        <w:trPr>
          <w:trHeight w:val="2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pct"/>
            <w:tcBorders>
              <w:left w:val="single" w:sz="4" w:space="0" w:color="80A1B6"/>
              <w:right w:val="single" w:sz="4" w:space="0" w:color="80A1B6"/>
            </w:tcBorders>
          </w:tcPr>
          <w:p w14:paraId="3D37760E" w14:textId="6135EB03" w:rsidR="00525753" w:rsidRPr="007628BB" w:rsidRDefault="009B09FF" w:rsidP="007628BB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sz w:val="20"/>
                <w:szCs w:val="20"/>
              </w:rPr>
              <w:lastRenderedPageBreak/>
              <w:t>Restructured annexes</w:t>
            </w:r>
          </w:p>
        </w:tc>
        <w:tc>
          <w:tcPr>
            <w:tcW w:w="4076" w:type="pct"/>
            <w:tcBorders>
              <w:left w:val="single" w:sz="4" w:space="0" w:color="80A1B6"/>
              <w:right w:val="single" w:sz="4" w:space="0" w:color="80A1B6"/>
            </w:tcBorders>
          </w:tcPr>
          <w:p w14:paraId="09784841" w14:textId="72B56C9D" w:rsidR="002B6EB8" w:rsidRPr="002B6EB8" w:rsidRDefault="002B6EB8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628B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Annex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Key requirements checklist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7628BB">
              <w:rPr>
                <w:rFonts w:ascii="Arial" w:hAnsi="Arial" w:cs="Arial"/>
                <w:sz w:val="20"/>
                <w:szCs w:val="20"/>
              </w:rPr>
              <w:t>the text related to the WBIF beneficiaries has been reordered and updated; the eligible sectors have been revised.</w:t>
            </w:r>
          </w:p>
          <w:p w14:paraId="7CC24534" w14:textId="6D37BC9D" w:rsidR="00655939" w:rsidRPr="007628BB" w:rsidRDefault="002B6EB8" w:rsidP="00BC6B60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Annex </w:t>
            </w:r>
            <w:r w:rsidR="009F7DC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‘</w:t>
            </w:r>
            <w:r w:rsidR="00655939" w:rsidRPr="007628B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Approval</w:t>
            </w:r>
            <w:r w:rsidR="009F7DC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’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>has been</w:t>
            </w:r>
            <w:r w:rsidR="00655939" w:rsidRPr="007628B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>moved under</w:t>
            </w:r>
            <w:r w:rsidR="00CF05F8">
              <w:rPr>
                <w:rFonts w:ascii="Arial" w:eastAsia="Calibri" w:hAnsi="Arial" w:cs="Arial"/>
                <w:sz w:val="20"/>
                <w:szCs w:val="20"/>
              </w:rPr>
              <w:t xml:space="preserve"> Annex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>Payment of the grant from the Joint Fund</w:t>
            </w:r>
            <w:r w:rsidR="009F7DC1">
              <w:rPr>
                <w:rFonts w:ascii="Arial" w:eastAsia="Calibri" w:hAnsi="Arial" w:cs="Arial"/>
                <w:sz w:val="20"/>
                <w:szCs w:val="20"/>
              </w:rPr>
              <w:t>’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 xml:space="preserve">, and the contact details </w:t>
            </w:r>
            <w:r>
              <w:rPr>
                <w:rFonts w:ascii="Arial" w:eastAsia="Calibri" w:hAnsi="Arial" w:cs="Arial"/>
                <w:sz w:val="20"/>
                <w:szCs w:val="20"/>
              </w:rPr>
              <w:t>have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 xml:space="preserve"> been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revised</w:t>
            </w:r>
            <w:r w:rsidR="00655939" w:rsidRPr="007628BB">
              <w:rPr>
                <w:rFonts w:ascii="Arial" w:eastAsia="Calibri" w:hAnsi="Arial" w:cs="Arial"/>
                <w:sz w:val="20"/>
                <w:szCs w:val="20"/>
              </w:rPr>
              <w:t>;</w:t>
            </w:r>
          </w:p>
          <w:p w14:paraId="13B8DE1E" w14:textId="1136C6E8" w:rsidR="004958C5" w:rsidRPr="00910A00" w:rsidRDefault="00C65435" w:rsidP="005D5844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>Payment of the Grant from the Joint Fund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7628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628BB">
              <w:rPr>
                <w:rFonts w:ascii="Arial" w:eastAsia="Calibri" w:hAnsi="Arial" w:cs="Arial"/>
                <w:sz w:val="20"/>
                <w:szCs w:val="20"/>
              </w:rPr>
              <w:t xml:space="preserve">has been slightly revised: </w:t>
            </w:r>
            <w:r w:rsidR="009F7DC1">
              <w:rPr>
                <w:rFonts w:ascii="Arial" w:eastAsia="Calibri" w:hAnsi="Arial" w:cs="Arial"/>
                <w:sz w:val="20"/>
                <w:szCs w:val="20"/>
              </w:rPr>
              <w:t>(</w:t>
            </w:r>
            <w:proofErr w:type="spellStart"/>
            <w:r w:rsidR="009F7DC1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 w:rsidR="009F7DC1">
              <w:rPr>
                <w:rFonts w:ascii="Arial" w:eastAsia="Calibri" w:hAnsi="Arial" w:cs="Arial"/>
                <w:sz w:val="20"/>
                <w:szCs w:val="20"/>
              </w:rPr>
              <w:t xml:space="preserve">) </w:t>
            </w:r>
            <w:r w:rsidRPr="007628BB">
              <w:rPr>
                <w:rFonts w:ascii="Arial" w:eastAsia="Calibri" w:hAnsi="Arial" w:cs="Arial"/>
                <w:sz w:val="20"/>
                <w:szCs w:val="20"/>
              </w:rPr>
              <w:t>the timescales for disbursement has been updated (e.g. 15 days have been replaced by 60 days)</w:t>
            </w:r>
            <w:r w:rsidR="009F7DC1">
              <w:rPr>
                <w:rFonts w:ascii="Arial" w:eastAsia="Calibri" w:hAnsi="Arial" w:cs="Arial"/>
                <w:sz w:val="20"/>
                <w:szCs w:val="20"/>
              </w:rPr>
              <w:t xml:space="preserve">; and, (ii) </w:t>
            </w:r>
            <w:r w:rsidR="009F7DC1" w:rsidRPr="009F7DC1">
              <w:rPr>
                <w:rFonts w:ascii="Arial" w:eastAsia="Calibri" w:hAnsi="Arial" w:cs="Arial"/>
                <w:sz w:val="20"/>
                <w:szCs w:val="20"/>
              </w:rPr>
              <w:t>distinctive line</w:t>
            </w:r>
            <w:r w:rsidR="00910A0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10A00" w:rsidRPr="00910A00">
              <w:rPr>
                <w:rFonts w:ascii="Arial" w:eastAsia="Calibri" w:hAnsi="Arial" w:cs="Arial"/>
                <w:sz w:val="20"/>
                <w:szCs w:val="20"/>
                <w:lang w:val="en-US"/>
              </w:rPr>
              <w:t>for ‘Final date of contracting’</w:t>
            </w:r>
            <w:r w:rsidR="00910A0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9F7DC1" w:rsidRPr="00910A00">
              <w:rPr>
                <w:rFonts w:ascii="Arial" w:eastAsia="Calibri" w:hAnsi="Arial" w:cs="Arial"/>
                <w:sz w:val="20"/>
                <w:szCs w:val="20"/>
              </w:rPr>
              <w:t>ha</w:t>
            </w:r>
            <w:r w:rsidR="00910A00"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="009F7DC1" w:rsidRPr="00910A00">
              <w:rPr>
                <w:rFonts w:ascii="Arial" w:eastAsia="Calibri" w:hAnsi="Arial" w:cs="Arial"/>
                <w:sz w:val="20"/>
                <w:szCs w:val="20"/>
              </w:rPr>
              <w:t xml:space="preserve"> been introduced.</w:t>
            </w:r>
          </w:p>
        </w:tc>
      </w:tr>
      <w:tr w:rsidR="005D5844" w:rsidRPr="005334C8" w14:paraId="6317C65C" w14:textId="77777777" w:rsidTr="005D5844">
        <w:trPr>
          <w:trHeight w:val="890"/>
        </w:trPr>
        <w:tc>
          <w:tcPr>
            <w:tcW w:w="924" w:type="pct"/>
            <w:tcBorders>
              <w:left w:val="single" w:sz="4" w:space="0" w:color="80A1B6"/>
              <w:right w:val="single" w:sz="4" w:space="0" w:color="80A1B6"/>
            </w:tcBorders>
          </w:tcPr>
          <w:p w14:paraId="6AB01669" w14:textId="77777777" w:rsidR="005D5844" w:rsidRPr="005D5844" w:rsidRDefault="005D5844" w:rsidP="00E917FC">
            <w:pPr>
              <w:spacing w:before="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D5844">
              <w:rPr>
                <w:rFonts w:ascii="Arial" w:hAnsi="Arial" w:cs="Arial"/>
                <w:sz w:val="20"/>
                <w:szCs w:val="20"/>
              </w:rPr>
              <w:t>Instructions included in the template</w:t>
            </w:r>
          </w:p>
        </w:tc>
        <w:tc>
          <w:tcPr>
            <w:tcW w:w="4076" w:type="pct"/>
            <w:tcBorders>
              <w:left w:val="single" w:sz="4" w:space="0" w:color="80A1B6"/>
              <w:right w:val="single" w:sz="4" w:space="0" w:color="80A1B6"/>
            </w:tcBorders>
          </w:tcPr>
          <w:p w14:paraId="0058A0A7" w14:textId="78EAF2FB" w:rsidR="005D5844" w:rsidRPr="005D5844" w:rsidRDefault="005D5844" w:rsidP="005D5844">
            <w:pPr>
              <w:spacing w:before="0" w:after="40"/>
              <w:rPr>
                <w:rFonts w:ascii="Times New Roman" w:hAnsi="Times New Roman" w:cs="Times New Roman"/>
                <w:i/>
                <w:iCs/>
              </w:rPr>
            </w:pP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All the instructions included in the template </w:t>
            </w:r>
            <w:r>
              <w:rPr>
                <w:rFonts w:ascii="Arial" w:eastAsia="Calibri" w:hAnsi="Arial" w:cs="Arial"/>
                <w:sz w:val="20"/>
                <w:szCs w:val="20"/>
              </w:rPr>
              <w:t>have been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 amended accordingly and drop-down lists </w:t>
            </w:r>
            <w:r>
              <w:rPr>
                <w:rFonts w:ascii="Arial" w:eastAsia="Calibri" w:hAnsi="Arial" w:cs="Arial"/>
                <w:sz w:val="20"/>
                <w:szCs w:val="20"/>
              </w:rPr>
              <w:t>have been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 included in sections </w:t>
            </w: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>Flagship</w:t>
            </w:r>
            <w:r>
              <w:rPr>
                <w:rFonts w:ascii="Arial" w:eastAsia="Calibri" w:hAnsi="Arial" w:cs="Arial"/>
                <w:sz w:val="20"/>
                <w:szCs w:val="20"/>
              </w:rPr>
              <w:t>’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5 </w:t>
            </w:r>
            <w:r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>Sector</w:t>
            </w:r>
            <w:r>
              <w:rPr>
                <w:rFonts w:ascii="Arial" w:eastAsia="Calibri" w:hAnsi="Arial" w:cs="Arial"/>
                <w:sz w:val="20"/>
                <w:szCs w:val="20"/>
              </w:rPr>
              <w:t>’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7 </w:t>
            </w:r>
            <w:r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>Beneficiary country</w:t>
            </w:r>
            <w:r>
              <w:rPr>
                <w:rFonts w:ascii="Arial" w:eastAsia="Calibri" w:hAnsi="Arial" w:cs="Arial"/>
                <w:sz w:val="20"/>
                <w:szCs w:val="20"/>
              </w:rPr>
              <w:t>’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>Lead Financial Institution</w:t>
            </w:r>
            <w:r>
              <w:rPr>
                <w:rFonts w:ascii="Arial" w:eastAsia="Calibri" w:hAnsi="Arial" w:cs="Arial"/>
                <w:sz w:val="20"/>
                <w:szCs w:val="20"/>
              </w:rPr>
              <w:t>’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S12’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 Co-financiers</w:t>
            </w:r>
            <w:r>
              <w:rPr>
                <w:rFonts w:ascii="Arial" w:eastAsia="Calibri" w:hAnsi="Arial" w:cs="Arial"/>
                <w:sz w:val="20"/>
                <w:szCs w:val="20"/>
              </w:rPr>
              <w:t>’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</w:rPr>
              <w:t>S20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‘</w:t>
            </w:r>
            <w:r w:rsidRPr="005D5844">
              <w:rPr>
                <w:rFonts w:ascii="Arial" w:eastAsia="Calibri" w:hAnsi="Arial" w:cs="Arial"/>
                <w:sz w:val="20"/>
                <w:szCs w:val="20"/>
              </w:rPr>
              <w:t>Indicative project status and planning</w:t>
            </w:r>
            <w:r>
              <w:rPr>
                <w:rFonts w:ascii="Arial" w:eastAsia="Calibri" w:hAnsi="Arial" w:cs="Arial"/>
                <w:sz w:val="20"/>
                <w:szCs w:val="20"/>
              </w:rPr>
              <w:t>’</w:t>
            </w:r>
            <w:bookmarkStart w:id="4" w:name="_GoBack"/>
            <w:bookmarkEnd w:id="4"/>
            <w:r w:rsidRPr="005D584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14:paraId="3505582C" w14:textId="6F99BF0D" w:rsidR="00AA3313" w:rsidRDefault="009F3A9E" w:rsidP="00183083">
      <w:pPr>
        <w:shd w:val="clear" w:color="auto" w:fill="80A1B6"/>
        <w:spacing w:before="120" w:after="120" w:line="360" w:lineRule="auto"/>
        <w:rPr>
          <w:rFonts w:ascii="Arial" w:hAnsi="Arial" w:cs="Arial"/>
          <w:b/>
          <w:bCs/>
          <w:color w:val="FFFFFF" w:themeColor="background1"/>
        </w:rPr>
      </w:pPr>
      <w:r>
        <w:rPr>
          <w:rFonts w:ascii="Arial" w:hAnsi="Arial" w:cs="Arial"/>
          <w:b/>
          <w:bCs/>
          <w:color w:val="FFFFFF" w:themeColor="background1"/>
        </w:rPr>
        <w:t xml:space="preserve">Intervention in the </w:t>
      </w:r>
      <w:r w:rsidR="00D04C08">
        <w:rPr>
          <w:rFonts w:ascii="Arial" w:hAnsi="Arial" w:cs="Arial"/>
          <w:b/>
          <w:bCs/>
          <w:color w:val="FFFFFF" w:themeColor="background1"/>
        </w:rPr>
        <w:t>TA</w:t>
      </w:r>
      <w:r w:rsidR="00012D9E" w:rsidRPr="00010FBD">
        <w:rPr>
          <w:rFonts w:ascii="Arial" w:hAnsi="Arial" w:cs="Arial"/>
          <w:b/>
          <w:bCs/>
          <w:color w:val="FFFFFF" w:themeColor="background1"/>
        </w:rPr>
        <w:t xml:space="preserve"> GAF </w:t>
      </w:r>
      <w:r w:rsidR="00D85224" w:rsidRPr="00010FBD">
        <w:rPr>
          <w:rFonts w:ascii="Arial" w:hAnsi="Arial" w:cs="Arial"/>
          <w:b/>
          <w:bCs/>
          <w:color w:val="FFFFFF" w:themeColor="background1"/>
        </w:rPr>
        <w:t>Guidelines</w:t>
      </w:r>
      <w:r w:rsidR="00150415">
        <w:rPr>
          <w:rFonts w:ascii="Arial" w:hAnsi="Arial" w:cs="Arial"/>
          <w:b/>
          <w:bCs/>
          <w:color w:val="FFFFFF" w:themeColor="background1"/>
        </w:rPr>
        <w:t xml:space="preserve"> </w:t>
      </w:r>
    </w:p>
    <w:p w14:paraId="189ED5A5" w14:textId="073E3058" w:rsidR="00D04C08" w:rsidRPr="00CF1A03" w:rsidRDefault="002B6EB8" w:rsidP="00D04C08">
      <w:pPr>
        <w:spacing w:after="120"/>
        <w:rPr>
          <w:rFonts w:ascii="Arial" w:hAnsi="Arial" w:cs="Arial"/>
          <w:sz w:val="20"/>
          <w:szCs w:val="20"/>
        </w:rPr>
      </w:pPr>
      <w:r w:rsidRPr="002B6EB8">
        <w:rPr>
          <w:rFonts w:ascii="Arial" w:hAnsi="Arial" w:cs="Arial"/>
          <w:sz w:val="20"/>
          <w:szCs w:val="20"/>
        </w:rPr>
        <w:t>The TA Guidelines have been largely restructured and rewritten to (</w:t>
      </w:r>
      <w:proofErr w:type="spellStart"/>
      <w:r w:rsidRPr="002B6EB8">
        <w:rPr>
          <w:rFonts w:ascii="Arial" w:hAnsi="Arial" w:cs="Arial"/>
          <w:sz w:val="20"/>
          <w:szCs w:val="20"/>
        </w:rPr>
        <w:t>i</w:t>
      </w:r>
      <w:proofErr w:type="spellEnd"/>
      <w:r w:rsidRPr="002B6EB8">
        <w:rPr>
          <w:rFonts w:ascii="Arial" w:hAnsi="Arial" w:cs="Arial"/>
          <w:sz w:val="20"/>
          <w:szCs w:val="20"/>
        </w:rPr>
        <w:t>) ensure correlation with the background documents for the 23</w:t>
      </w:r>
      <w:r w:rsidRPr="002B6EB8">
        <w:rPr>
          <w:rFonts w:ascii="Arial" w:hAnsi="Arial" w:cs="Arial"/>
          <w:sz w:val="20"/>
          <w:szCs w:val="20"/>
          <w:vertAlign w:val="superscript"/>
        </w:rPr>
        <w:t>rd</w:t>
      </w:r>
      <w:r w:rsidRPr="002B6EB8">
        <w:rPr>
          <w:rFonts w:ascii="Arial" w:hAnsi="Arial" w:cs="Arial"/>
          <w:sz w:val="20"/>
          <w:szCs w:val="20"/>
        </w:rPr>
        <w:t xml:space="preserve"> WBIF S</w:t>
      </w:r>
      <w:r>
        <w:rPr>
          <w:rFonts w:ascii="Arial" w:hAnsi="Arial" w:cs="Arial"/>
          <w:sz w:val="20"/>
          <w:szCs w:val="20"/>
        </w:rPr>
        <w:t xml:space="preserve">teering </w:t>
      </w:r>
      <w:r w:rsidRPr="002B6E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ommittee</w:t>
      </w:r>
      <w:r w:rsidRPr="002B6EB8">
        <w:rPr>
          <w:rFonts w:ascii="Arial" w:hAnsi="Arial" w:cs="Arial"/>
          <w:sz w:val="20"/>
          <w:szCs w:val="20"/>
        </w:rPr>
        <w:t xml:space="preserve">; (ii) avoid duplication of information provided in the guidelines </w:t>
      </w:r>
      <w:r w:rsidR="009F7DC1" w:rsidRPr="009F7DC1">
        <w:rPr>
          <w:rFonts w:ascii="Arial" w:hAnsi="Arial" w:cs="Arial"/>
          <w:i/>
          <w:iCs/>
          <w:sz w:val="20"/>
          <w:szCs w:val="20"/>
        </w:rPr>
        <w:t>‘</w:t>
      </w:r>
      <w:r w:rsidRPr="009F7DC1">
        <w:rPr>
          <w:rFonts w:ascii="Arial" w:hAnsi="Arial" w:cs="Arial"/>
          <w:i/>
          <w:iCs/>
          <w:sz w:val="20"/>
          <w:szCs w:val="20"/>
        </w:rPr>
        <w:t>Western Balkans Investment Framework. A Guide</w:t>
      </w:r>
      <w:r w:rsidR="009F7DC1" w:rsidRPr="009F7DC1">
        <w:rPr>
          <w:rFonts w:ascii="Arial" w:hAnsi="Arial" w:cs="Arial"/>
          <w:i/>
          <w:iCs/>
          <w:sz w:val="20"/>
          <w:szCs w:val="20"/>
        </w:rPr>
        <w:t>’</w:t>
      </w:r>
      <w:r w:rsidRPr="009F7DC1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DC1">
        <w:rPr>
          <w:rFonts w:ascii="Arial" w:hAnsi="Arial" w:cs="Arial"/>
          <w:sz w:val="20"/>
          <w:szCs w:val="20"/>
        </w:rPr>
        <w:t>and</w:t>
      </w:r>
      <w:r w:rsidRPr="009F7DC1">
        <w:rPr>
          <w:rFonts w:ascii="Arial" w:hAnsi="Arial" w:cs="Arial"/>
          <w:i/>
          <w:iCs/>
          <w:sz w:val="20"/>
          <w:szCs w:val="20"/>
        </w:rPr>
        <w:t xml:space="preserve"> </w:t>
      </w:r>
      <w:r w:rsidR="009F7DC1" w:rsidRPr="009F7DC1">
        <w:rPr>
          <w:rFonts w:ascii="Arial" w:hAnsi="Arial" w:cs="Arial"/>
          <w:i/>
          <w:iCs/>
          <w:sz w:val="20"/>
          <w:szCs w:val="20"/>
        </w:rPr>
        <w:t>‘</w:t>
      </w:r>
      <w:r w:rsidRPr="009F7DC1">
        <w:rPr>
          <w:rFonts w:ascii="Arial" w:hAnsi="Arial" w:cs="Arial"/>
          <w:i/>
          <w:iCs/>
          <w:sz w:val="20"/>
          <w:szCs w:val="20"/>
        </w:rPr>
        <w:t>WBIF Communication and Visibility Guidelines</w:t>
      </w:r>
      <w:r w:rsidR="009F7DC1" w:rsidRPr="009F7DC1">
        <w:rPr>
          <w:rFonts w:ascii="Arial" w:hAnsi="Arial" w:cs="Arial"/>
          <w:i/>
          <w:iCs/>
          <w:sz w:val="20"/>
          <w:szCs w:val="20"/>
        </w:rPr>
        <w:t>’</w:t>
      </w:r>
      <w:r w:rsidRPr="009F7DC1">
        <w:rPr>
          <w:rFonts w:ascii="Arial" w:hAnsi="Arial" w:cs="Arial"/>
          <w:i/>
          <w:iCs/>
          <w:sz w:val="20"/>
          <w:szCs w:val="20"/>
        </w:rPr>
        <w:t>;</w:t>
      </w:r>
      <w:r w:rsidRPr="002B6EB8">
        <w:rPr>
          <w:rFonts w:ascii="Arial" w:hAnsi="Arial" w:cs="Arial"/>
          <w:sz w:val="20"/>
          <w:szCs w:val="20"/>
        </w:rPr>
        <w:t xml:space="preserve"> and, (iii) </w:t>
      </w:r>
      <w:r>
        <w:rPr>
          <w:rFonts w:ascii="Arial" w:hAnsi="Arial" w:cs="Arial"/>
          <w:sz w:val="20"/>
          <w:szCs w:val="20"/>
        </w:rPr>
        <w:t>help</w:t>
      </w:r>
      <w:r w:rsidRPr="002B6EB8">
        <w:rPr>
          <w:rFonts w:ascii="Arial" w:hAnsi="Arial" w:cs="Arial"/>
          <w:sz w:val="20"/>
          <w:szCs w:val="20"/>
        </w:rPr>
        <w:t xml:space="preserve"> applicants in completing the </w:t>
      </w:r>
      <w:r w:rsidR="009F7DC1">
        <w:rPr>
          <w:rFonts w:ascii="Arial" w:hAnsi="Arial" w:cs="Arial"/>
          <w:sz w:val="20"/>
          <w:szCs w:val="20"/>
        </w:rPr>
        <w:t>TA GAFs</w:t>
      </w:r>
      <w:r w:rsidRPr="002B6EB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D04C08" w:rsidRPr="006A66C8">
        <w:rPr>
          <w:rFonts w:ascii="Arial" w:hAnsi="Arial" w:cs="Arial"/>
          <w:sz w:val="20"/>
          <w:szCs w:val="20"/>
        </w:rPr>
        <w:t>The key changes are as follows:</w:t>
      </w:r>
    </w:p>
    <w:tbl>
      <w:tblPr>
        <w:tblStyle w:val="GridTable1Light-Accent5"/>
        <w:tblW w:w="5000" w:type="pct"/>
        <w:tblBorders>
          <w:top w:val="single" w:sz="4" w:space="0" w:color="80A1B6"/>
          <w:left w:val="single" w:sz="4" w:space="0" w:color="80A1B6"/>
          <w:bottom w:val="single" w:sz="4" w:space="0" w:color="80A1B6"/>
          <w:right w:val="single" w:sz="4" w:space="0" w:color="80A1B6"/>
          <w:insideH w:val="single" w:sz="4" w:space="0" w:color="80A1B6"/>
          <w:insideV w:val="single" w:sz="4" w:space="0" w:color="80A1B6"/>
        </w:tblBorders>
        <w:tblLook w:val="04A0" w:firstRow="1" w:lastRow="0" w:firstColumn="1" w:lastColumn="0" w:noHBand="0" w:noVBand="1"/>
      </w:tblPr>
      <w:tblGrid>
        <w:gridCol w:w="1528"/>
        <w:gridCol w:w="8182"/>
      </w:tblGrid>
      <w:tr w:rsidR="00CF1A03" w:rsidRPr="00CF1A03" w14:paraId="2E7C9ADB" w14:textId="77777777" w:rsidTr="002B6E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  <w:tcBorders>
              <w:bottom w:val="none" w:sz="0" w:space="0" w:color="auto"/>
            </w:tcBorders>
            <w:vAlign w:val="center"/>
          </w:tcPr>
          <w:p w14:paraId="2724E2EB" w14:textId="77777777" w:rsidR="00CF1A03" w:rsidRPr="00CF1A03" w:rsidRDefault="00CF1A03" w:rsidP="007628BB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F1A03">
              <w:rPr>
                <w:rFonts w:ascii="Arial" w:hAnsi="Arial" w:cs="Arial"/>
                <w:sz w:val="20"/>
                <w:szCs w:val="20"/>
              </w:rPr>
              <w:t>Change</w:t>
            </w:r>
          </w:p>
        </w:tc>
        <w:tc>
          <w:tcPr>
            <w:tcW w:w="4307" w:type="pct"/>
            <w:tcBorders>
              <w:bottom w:val="none" w:sz="0" w:space="0" w:color="auto"/>
            </w:tcBorders>
            <w:vAlign w:val="center"/>
          </w:tcPr>
          <w:p w14:paraId="4D220DEA" w14:textId="77777777" w:rsidR="00CF1A03" w:rsidRPr="00CF1A03" w:rsidRDefault="00CF1A03" w:rsidP="002B6EB8">
            <w:pPr>
              <w:spacing w:before="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1A03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CF1A03" w:rsidRPr="00CF1A03" w14:paraId="6EF87310" w14:textId="77777777" w:rsidTr="002B6EB8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</w:tcPr>
          <w:p w14:paraId="7D4D9D05" w14:textId="7E7825D0" w:rsidR="00CF1A03" w:rsidRPr="00CF1A03" w:rsidRDefault="00CF1A03" w:rsidP="007628BB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CF1A03">
              <w:rPr>
                <w:rFonts w:ascii="Arial" w:hAnsi="Arial" w:cs="Arial"/>
                <w:sz w:val="20"/>
                <w:szCs w:val="20"/>
              </w:rPr>
              <w:t xml:space="preserve">Structure </w:t>
            </w:r>
          </w:p>
        </w:tc>
        <w:tc>
          <w:tcPr>
            <w:tcW w:w="4307" w:type="pct"/>
          </w:tcPr>
          <w:p w14:paraId="59BB2DDA" w14:textId="77777777" w:rsidR="001C768E" w:rsidRDefault="001C768E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3316CC">
              <w:rPr>
                <w:rFonts w:ascii="Arial" w:hAnsi="Arial" w:cs="Arial"/>
                <w:sz w:val="20"/>
                <w:szCs w:val="20"/>
              </w:rPr>
              <w:t xml:space="preserve">eneral information </w:t>
            </w:r>
            <w:r>
              <w:rPr>
                <w:rFonts w:ascii="Arial" w:hAnsi="Arial" w:cs="Arial"/>
                <w:sz w:val="20"/>
                <w:szCs w:val="20"/>
              </w:rPr>
              <w:t>has been u</w:t>
            </w:r>
            <w:r w:rsidRPr="003316CC">
              <w:rPr>
                <w:rFonts w:ascii="Arial" w:hAnsi="Arial" w:cs="Arial"/>
                <w:sz w:val="20"/>
                <w:szCs w:val="20"/>
              </w:rPr>
              <w:t>pdate</w:t>
            </w:r>
            <w:r>
              <w:rPr>
                <w:rFonts w:ascii="Arial" w:hAnsi="Arial" w:cs="Arial"/>
                <w:sz w:val="20"/>
                <w:szCs w:val="20"/>
              </w:rPr>
              <w:t>d;</w:t>
            </w:r>
            <w:r w:rsidRPr="00F339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8F4CC9" w14:textId="7921096D" w:rsidR="001C768E" w:rsidRDefault="001C768E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3392F">
              <w:rPr>
                <w:rFonts w:ascii="Arial" w:hAnsi="Arial" w:cs="Arial"/>
                <w:sz w:val="20"/>
                <w:szCs w:val="20"/>
              </w:rPr>
              <w:t xml:space="preserve">Additional references to the various guidelines/webpages </w:t>
            </w:r>
            <w:r w:rsidR="006131FA">
              <w:rPr>
                <w:rFonts w:ascii="Arial" w:hAnsi="Arial" w:cs="Arial"/>
                <w:sz w:val="20"/>
                <w:szCs w:val="20"/>
              </w:rPr>
              <w:t>and/or information on the WBIF-funded projects</w:t>
            </w:r>
            <w:r w:rsidR="006131FA" w:rsidRPr="00CF1A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392F">
              <w:rPr>
                <w:rFonts w:ascii="Arial" w:hAnsi="Arial" w:cs="Arial"/>
                <w:sz w:val="20"/>
                <w:szCs w:val="20"/>
              </w:rPr>
              <w:t>have been inserted</w:t>
            </w:r>
            <w:r w:rsidR="00083FE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43B6AEB" w14:textId="42755988" w:rsidR="00845ECE" w:rsidRDefault="00845ECE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64086">
              <w:rPr>
                <w:rFonts w:ascii="Arial" w:hAnsi="Arial" w:cs="Arial"/>
                <w:sz w:val="20"/>
                <w:szCs w:val="20"/>
              </w:rPr>
              <w:t>arious</w:t>
            </w:r>
            <w:r w:rsidRPr="001E48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086">
              <w:rPr>
                <w:rFonts w:ascii="Arial" w:hAnsi="Arial" w:cs="Arial"/>
                <w:sz w:val="20"/>
                <w:szCs w:val="20"/>
              </w:rPr>
              <w:t>definitions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have been added in the </w:t>
            </w:r>
            <w:r w:rsidRPr="00845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new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845ECE">
              <w:rPr>
                <w:rFonts w:ascii="Arial" w:hAnsi="Arial" w:cs="Arial"/>
                <w:b/>
                <w:bCs/>
                <w:sz w:val="20"/>
                <w:szCs w:val="20"/>
              </w:rPr>
              <w:t>Glossary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845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8F8">
              <w:rPr>
                <w:rFonts w:ascii="Arial" w:hAnsi="Arial" w:cs="Arial"/>
                <w:sz w:val="20"/>
                <w:szCs w:val="20"/>
              </w:rPr>
              <w:t>to avoid misunderstanding/confusions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FFF2267" w14:textId="1015ED40" w:rsidR="00CF1A03" w:rsidRPr="00CF1A03" w:rsidRDefault="00CF1A03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F1A03">
              <w:rPr>
                <w:rFonts w:ascii="Arial" w:hAnsi="Arial" w:cs="Arial"/>
                <w:sz w:val="20"/>
                <w:szCs w:val="20"/>
              </w:rPr>
              <w:t>The sections and sub-sections of the Guidelines have been reordered/reorganised</w:t>
            </w:r>
            <w:r w:rsidR="001C768E">
              <w:rPr>
                <w:rFonts w:ascii="Arial" w:hAnsi="Arial" w:cs="Arial"/>
                <w:sz w:val="20"/>
                <w:szCs w:val="20"/>
              </w:rPr>
              <w:t>, as follows:</w:t>
            </w:r>
          </w:p>
          <w:p w14:paraId="18B20FA4" w14:textId="45030EDB" w:rsidR="001C768E" w:rsidRPr="00910A00" w:rsidRDefault="001C768E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bookmarkStart w:id="5" w:name="_Hlk53488507"/>
            <w:r w:rsidRPr="00910A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Chapters 5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‘</w:t>
            </w:r>
            <w:r w:rsidRPr="00910A00">
              <w:rPr>
                <w:rFonts w:ascii="Arial" w:hAnsi="Arial" w:cs="Arial"/>
                <w:sz w:val="20"/>
                <w:szCs w:val="20"/>
              </w:rPr>
              <w:t>WBIF grant application process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’</w:t>
            </w:r>
            <w:r w:rsidRPr="00910A0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‘</w:t>
            </w:r>
            <w:r w:rsidRPr="00910A00">
              <w:rPr>
                <w:rFonts w:ascii="Arial" w:hAnsi="Arial" w:cs="Arial"/>
                <w:sz w:val="20"/>
                <w:szCs w:val="20"/>
              </w:rPr>
              <w:t>WBIF screening and assessment process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’</w:t>
            </w:r>
            <w:r w:rsidR="004D111A" w:rsidRPr="00910A0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‘</w:t>
            </w:r>
            <w:r w:rsidRPr="00910A00">
              <w:rPr>
                <w:rFonts w:ascii="Arial" w:hAnsi="Arial" w:cs="Arial"/>
                <w:sz w:val="20"/>
                <w:szCs w:val="20"/>
              </w:rPr>
              <w:t xml:space="preserve">Implementation of grants following approval by the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SC’</w:t>
            </w:r>
            <w:r w:rsidR="004D111A" w:rsidRPr="00910A00">
              <w:rPr>
                <w:rFonts w:ascii="Arial" w:hAnsi="Arial" w:cs="Arial"/>
                <w:sz w:val="20"/>
                <w:szCs w:val="20"/>
              </w:rPr>
              <w:t xml:space="preserve">, as well as </w:t>
            </w:r>
            <w:r w:rsidR="002B6EB8"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Annex 1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‘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>WBIF governance structure and related bodies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’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B6EB8"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Annex 2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‘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>Sector development projects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 xml:space="preserve">’, </w:t>
            </w:r>
            <w:r w:rsidR="002B6EB8"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Annex 6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‘</w:t>
            </w:r>
            <w:r w:rsidR="002B6EB8" w:rsidRPr="00910A00">
              <w:rPr>
                <w:rFonts w:ascii="Arial" w:hAnsi="Arial" w:cs="Arial"/>
                <w:sz w:val="20"/>
                <w:szCs w:val="20"/>
              </w:rPr>
              <w:t>Communication and visibility requirements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>’</w:t>
            </w:r>
            <w:r w:rsidR="004D111A" w:rsidRPr="00910A00">
              <w:rPr>
                <w:rFonts w:ascii="Arial" w:hAnsi="Arial" w:cs="Arial"/>
                <w:sz w:val="20"/>
                <w:szCs w:val="20"/>
              </w:rPr>
              <w:t>,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9F7DC1"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Annex 7</w:t>
            </w:r>
            <w:r w:rsidR="009F7DC1" w:rsidRPr="00910A00">
              <w:rPr>
                <w:rFonts w:ascii="Arial" w:hAnsi="Arial" w:cs="Arial"/>
                <w:sz w:val="20"/>
                <w:szCs w:val="20"/>
              </w:rPr>
              <w:t xml:space="preserve"> ‘WBIF regional support contact points’</w:t>
            </w:r>
            <w:r w:rsidR="009F7DC1" w:rsidRPr="00910A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10A00">
              <w:rPr>
                <w:rFonts w:ascii="Arial" w:hAnsi="Arial" w:cs="Arial"/>
                <w:b/>
                <w:bCs/>
                <w:sz w:val="20"/>
                <w:szCs w:val="20"/>
              </w:rPr>
              <w:t>have been removed</w:t>
            </w:r>
            <w:r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5"/>
            <w:r w:rsidRPr="00910A00">
              <w:rPr>
                <w:rFonts w:ascii="Arial" w:hAnsi="Arial" w:cs="Arial"/>
                <w:sz w:val="20"/>
                <w:szCs w:val="20"/>
              </w:rPr>
              <w:t xml:space="preserve">to avoid duplication </w:t>
            </w:r>
            <w:bookmarkStart w:id="6" w:name="_Hlk53488319"/>
            <w:r w:rsidRPr="00910A00">
              <w:rPr>
                <w:rFonts w:ascii="Arial" w:hAnsi="Arial" w:cs="Arial"/>
                <w:sz w:val="20"/>
                <w:szCs w:val="20"/>
              </w:rPr>
              <w:t xml:space="preserve">of information provided </w:t>
            </w:r>
            <w:bookmarkStart w:id="7" w:name="_Hlk53412486"/>
            <w:r w:rsidRPr="00910A00">
              <w:rPr>
                <w:rFonts w:ascii="Arial" w:hAnsi="Arial" w:cs="Arial"/>
                <w:sz w:val="20"/>
                <w:szCs w:val="20"/>
              </w:rPr>
              <w:t xml:space="preserve">in the </w:t>
            </w:r>
            <w:r w:rsidR="004D111A" w:rsidRPr="00910A00">
              <w:rPr>
                <w:rFonts w:ascii="Arial" w:hAnsi="Arial" w:cs="Arial"/>
                <w:sz w:val="20"/>
                <w:szCs w:val="20"/>
              </w:rPr>
              <w:t xml:space="preserve">above-mentioned </w:t>
            </w:r>
            <w:r w:rsidRPr="00910A00">
              <w:rPr>
                <w:rFonts w:ascii="Arial" w:hAnsi="Arial" w:cs="Arial"/>
                <w:sz w:val="20"/>
                <w:szCs w:val="20"/>
              </w:rPr>
              <w:t>guideline</w:t>
            </w:r>
            <w:r w:rsidR="004D111A" w:rsidRPr="00910A00">
              <w:rPr>
                <w:rFonts w:ascii="Arial" w:hAnsi="Arial" w:cs="Arial"/>
                <w:sz w:val="20"/>
                <w:szCs w:val="20"/>
              </w:rPr>
              <w:t>s;</w:t>
            </w:r>
            <w:r w:rsidRPr="00910A00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6"/>
            <w:bookmarkEnd w:id="7"/>
          </w:p>
          <w:p w14:paraId="25815DCE" w14:textId="70B8E429" w:rsidR="00E07329" w:rsidRPr="00CC37AA" w:rsidRDefault="00910A00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2B6EB8">
              <w:rPr>
                <w:rFonts w:ascii="Arial" w:hAnsi="Arial" w:cs="Arial"/>
                <w:b/>
                <w:bCs/>
                <w:sz w:val="20"/>
                <w:szCs w:val="20"/>
              </w:rPr>
              <w:t>hapter</w:t>
            </w:r>
            <w:r w:rsidR="00E07329" w:rsidRPr="002B6E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E07329" w:rsidRPr="002B6EB8">
              <w:rPr>
                <w:rFonts w:ascii="Arial" w:hAnsi="Arial" w:cs="Arial"/>
                <w:b/>
                <w:bCs/>
                <w:sz w:val="20"/>
                <w:szCs w:val="20"/>
              </w:rPr>
              <w:t>Eligibility provisions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E07329" w:rsidRPr="002B6EB8">
              <w:rPr>
                <w:rFonts w:ascii="Arial" w:hAnsi="Arial" w:cs="Arial"/>
                <w:sz w:val="20"/>
                <w:szCs w:val="20"/>
              </w:rPr>
              <w:t xml:space="preserve"> has been improved and restructured into two distinct </w:t>
            </w:r>
            <w:r w:rsidR="00BD5208" w:rsidRPr="002B6EB8">
              <w:rPr>
                <w:rFonts w:ascii="Arial" w:hAnsi="Arial" w:cs="Arial"/>
                <w:sz w:val="20"/>
                <w:szCs w:val="20"/>
              </w:rPr>
              <w:t>chapters</w:t>
            </w:r>
            <w:r w:rsidR="00E07329" w:rsidRPr="002B6EB8">
              <w:rPr>
                <w:rFonts w:ascii="Arial" w:hAnsi="Arial" w:cs="Arial"/>
                <w:sz w:val="20"/>
                <w:szCs w:val="20"/>
              </w:rPr>
              <w:t xml:space="preserve">, as follows: </w:t>
            </w:r>
            <w:r w:rsidR="00CF05F8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CF05F8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CF05F8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E07329" w:rsidRPr="00CF05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Chapter 3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E07329" w:rsidRPr="00CF05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Eligibility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criteria’</w:t>
            </w:r>
            <w:r w:rsidR="00E07329" w:rsidRPr="002B6EB8">
              <w:rPr>
                <w:rFonts w:ascii="Arial" w:hAnsi="Arial" w:cs="Arial"/>
                <w:sz w:val="20"/>
                <w:szCs w:val="20"/>
              </w:rPr>
              <w:t xml:space="preserve"> refers to the eligibility criteria</w:t>
            </w:r>
            <w:r w:rsidR="002B6EB8">
              <w:rPr>
                <w:rFonts w:ascii="Arial" w:hAnsi="Arial" w:cs="Arial"/>
                <w:sz w:val="20"/>
                <w:szCs w:val="20"/>
              </w:rPr>
              <w:t>;</w:t>
            </w:r>
            <w:r w:rsidR="00E07329" w:rsidRPr="002B6EB8">
              <w:rPr>
                <w:rFonts w:ascii="Arial" w:hAnsi="Arial" w:cs="Arial"/>
                <w:sz w:val="20"/>
                <w:szCs w:val="20"/>
              </w:rPr>
              <w:t xml:space="preserve"> and, </w:t>
            </w:r>
            <w:r w:rsidR="002B6EB8">
              <w:rPr>
                <w:rFonts w:ascii="Arial" w:hAnsi="Arial" w:cs="Arial"/>
                <w:sz w:val="20"/>
                <w:szCs w:val="20"/>
              </w:rPr>
              <w:t xml:space="preserve">(ii) </w:t>
            </w:r>
            <w:r w:rsidR="00E07329" w:rsidRPr="00CF05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Chapter 4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E07329" w:rsidRPr="00CF05F8">
              <w:rPr>
                <w:rFonts w:ascii="Arial" w:hAnsi="Arial" w:cs="Arial"/>
                <w:b/>
                <w:bCs/>
                <w:sz w:val="20"/>
                <w:szCs w:val="20"/>
              </w:rPr>
              <w:t>Step-by-step guide to developing a TA GAF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E07329">
              <w:rPr>
                <w:rFonts w:ascii="Arial" w:hAnsi="Arial" w:cs="Arial"/>
                <w:sz w:val="20"/>
                <w:szCs w:val="20"/>
              </w:rPr>
              <w:t xml:space="preserve"> - this</w:t>
            </w:r>
            <w:r w:rsidR="00E07329" w:rsidRPr="00E07329">
              <w:rPr>
                <w:rFonts w:ascii="Arial" w:hAnsi="Arial" w:cs="Arial"/>
                <w:sz w:val="20"/>
                <w:szCs w:val="20"/>
              </w:rPr>
              <w:t xml:space="preserve"> new chapter </w:t>
            </w:r>
            <w:bookmarkStart w:id="8" w:name="_Hlk60924295"/>
            <w:r w:rsidR="00E07329" w:rsidRPr="00E07329">
              <w:rPr>
                <w:rFonts w:ascii="Arial" w:hAnsi="Arial" w:cs="Arial"/>
                <w:sz w:val="20"/>
                <w:szCs w:val="20"/>
              </w:rPr>
              <w:t xml:space="preserve">focuses on the </w:t>
            </w:r>
            <w:r w:rsidR="00E07329">
              <w:rPr>
                <w:rFonts w:ascii="Arial" w:hAnsi="Arial" w:cs="Arial"/>
                <w:sz w:val="20"/>
                <w:szCs w:val="20"/>
              </w:rPr>
              <w:t xml:space="preserve">TA GAF </w:t>
            </w:r>
            <w:r w:rsidR="00E07329" w:rsidRPr="00E07329">
              <w:rPr>
                <w:rFonts w:ascii="Arial" w:hAnsi="Arial" w:cs="Arial"/>
                <w:sz w:val="20"/>
                <w:szCs w:val="20"/>
              </w:rPr>
              <w:t>sub-sections that generally raise issues when completing</w:t>
            </w:r>
            <w:r w:rsidR="002B6EB8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="00E07329" w:rsidRPr="00E07329">
              <w:rPr>
                <w:rFonts w:ascii="Arial" w:hAnsi="Arial" w:cs="Arial"/>
                <w:sz w:val="20"/>
                <w:szCs w:val="20"/>
              </w:rPr>
              <w:t xml:space="preserve"> applications</w:t>
            </w:r>
            <w:bookmarkEnd w:id="8"/>
            <w:r w:rsidR="00E073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66C8" w:rsidRPr="00CF1A03" w14:paraId="62CA922D" w14:textId="77777777" w:rsidTr="002B6EB8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pct"/>
          </w:tcPr>
          <w:p w14:paraId="3B43FAEC" w14:textId="29722A2D" w:rsidR="006A66C8" w:rsidRPr="00CF1A03" w:rsidRDefault="00A507F2" w:rsidP="007628BB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1D2714">
              <w:rPr>
                <w:rFonts w:ascii="Arial" w:hAnsi="Arial" w:cs="Arial"/>
                <w:sz w:val="20"/>
                <w:szCs w:val="20"/>
              </w:rPr>
              <w:t>Restructuring and improvement</w:t>
            </w:r>
          </w:p>
        </w:tc>
        <w:tc>
          <w:tcPr>
            <w:tcW w:w="4307" w:type="pct"/>
          </w:tcPr>
          <w:p w14:paraId="7C959386" w14:textId="32235DC3" w:rsidR="009E5EDE" w:rsidRPr="009E5EDE" w:rsidRDefault="009E5EDE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9" w:name="_Hlk53491604"/>
            <w:r w:rsidRPr="009E5EDE">
              <w:rPr>
                <w:rFonts w:ascii="Arial" w:hAnsi="Arial" w:cs="Arial"/>
                <w:sz w:val="20"/>
                <w:szCs w:val="20"/>
              </w:rPr>
              <w:t>Various sections have been amended to point out better the scope of the Guidelines and the WBIF process, such as</w:t>
            </w:r>
            <w:r w:rsidR="002B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EB8" w:rsidRPr="009F7DC1">
              <w:rPr>
                <w:rFonts w:ascii="Arial" w:hAnsi="Arial" w:cs="Arial"/>
                <w:b/>
                <w:bCs/>
                <w:sz w:val="20"/>
                <w:szCs w:val="20"/>
              </w:rPr>
              <w:t>Chapter 1</w:t>
            </w:r>
            <w:r w:rsidRPr="009F7DC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9F7DC1"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Purpose of the Guidelines</w:t>
            </w:r>
            <w:r w:rsidR="009F7DC1"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Pr="009E5E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36D58" w:rsidRPr="009E5EDE">
              <w:rPr>
                <w:rFonts w:ascii="Arial" w:hAnsi="Arial" w:cs="Arial"/>
                <w:sz w:val="20"/>
                <w:szCs w:val="20"/>
              </w:rPr>
              <w:t>and</w:t>
            </w:r>
            <w:r w:rsidR="00936D58" w:rsidRPr="009E5E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E5E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Chapter 2 </w:t>
            </w:r>
            <w:r w:rsidR="009F7DC1"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‘</w:t>
            </w:r>
            <w:r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General principal for</w:t>
            </w:r>
            <w:r w:rsidR="002B6EB8" w:rsidRPr="009F7DC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TA</w:t>
            </w:r>
            <w:r w:rsidRPr="009F7DC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grant support</w:t>
            </w:r>
            <w:r w:rsidR="009F7DC1"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’</w:t>
            </w:r>
            <w:r w:rsidR="00CF05F8" w:rsidRPr="009F7DC1">
              <w:rPr>
                <w:rFonts w:ascii="Arial" w:hAnsi="Arial" w:cs="Arial"/>
                <w:i/>
                <w:iCs/>
                <w:sz w:val="20"/>
                <w:szCs w:val="20"/>
              </w:rPr>
              <w:t>;</w:t>
            </w:r>
          </w:p>
          <w:bookmarkEnd w:id="9"/>
          <w:p w14:paraId="7421BA10" w14:textId="511F5F7D" w:rsidR="006D528E" w:rsidRPr="006D528E" w:rsidRDefault="00A507F2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231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Chapter </w:t>
            </w:r>
            <w:r w:rsidR="009E5ED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’</w:t>
            </w:r>
            <w:r w:rsidRPr="0042318B">
              <w:rPr>
                <w:rFonts w:ascii="Arial" w:hAnsi="Arial" w:cs="Arial"/>
                <w:b/>
                <w:bCs/>
                <w:sz w:val="20"/>
                <w:szCs w:val="20"/>
              </w:rPr>
              <w:t>Eligibility provisions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’: </w:t>
            </w:r>
            <w:r w:rsidR="00C16A3A" w:rsidRPr="00C16A3A">
              <w:rPr>
                <w:rFonts w:ascii="Arial" w:hAnsi="Arial" w:cs="Arial"/>
                <w:sz w:val="20"/>
                <w:szCs w:val="20"/>
              </w:rPr>
              <w:t>the title</w:t>
            </w:r>
            <w:r w:rsidR="00C16A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0600D">
              <w:rPr>
                <w:rFonts w:ascii="Arial" w:hAnsi="Arial" w:cs="Arial"/>
                <w:sz w:val="20"/>
                <w:szCs w:val="20"/>
              </w:rPr>
              <w:t>has</w:t>
            </w:r>
            <w:r w:rsidR="00C16A3A">
              <w:rPr>
                <w:rFonts w:ascii="Arial" w:hAnsi="Arial" w:cs="Arial"/>
                <w:sz w:val="20"/>
                <w:szCs w:val="20"/>
              </w:rPr>
              <w:t xml:space="preserve"> slightly</w:t>
            </w:r>
            <w:r w:rsidRPr="0070600D">
              <w:rPr>
                <w:rFonts w:ascii="Arial" w:hAnsi="Arial" w:cs="Arial"/>
                <w:sz w:val="20"/>
                <w:szCs w:val="20"/>
              </w:rPr>
              <w:t xml:space="preserve"> been </w:t>
            </w:r>
            <w:r w:rsidR="00C16A3A">
              <w:rPr>
                <w:rFonts w:ascii="Arial" w:hAnsi="Arial" w:cs="Arial"/>
                <w:sz w:val="20"/>
                <w:szCs w:val="20"/>
              </w:rPr>
              <w:t>changed (e.g. Eligibility criteria’</w:t>
            </w:r>
            <w:r w:rsidR="00853008">
              <w:rPr>
                <w:rFonts w:ascii="Arial" w:hAnsi="Arial" w:cs="Arial"/>
                <w:sz w:val="20"/>
                <w:szCs w:val="20"/>
              </w:rPr>
              <w:t>)</w:t>
            </w:r>
            <w:r w:rsidR="00C16A3A">
              <w:rPr>
                <w:rFonts w:ascii="Arial" w:hAnsi="Arial" w:cs="Arial"/>
                <w:sz w:val="20"/>
                <w:szCs w:val="20"/>
              </w:rPr>
              <w:t xml:space="preserve"> and the section has been</w:t>
            </w:r>
            <w:r w:rsidR="009F7D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600D">
              <w:rPr>
                <w:rFonts w:ascii="Arial" w:hAnsi="Arial" w:cs="Arial"/>
                <w:sz w:val="20"/>
                <w:szCs w:val="20"/>
              </w:rPr>
              <w:t>restructured</w:t>
            </w:r>
            <w:r w:rsidR="00C16A3A">
              <w:rPr>
                <w:rFonts w:ascii="Arial" w:hAnsi="Arial" w:cs="Arial"/>
                <w:sz w:val="20"/>
                <w:szCs w:val="20"/>
              </w:rPr>
              <w:t>/</w:t>
            </w:r>
            <w:r w:rsidRPr="0070600D">
              <w:rPr>
                <w:rFonts w:ascii="Arial" w:hAnsi="Arial" w:cs="Arial"/>
                <w:sz w:val="20"/>
                <w:szCs w:val="20"/>
              </w:rPr>
              <w:t>improved</w:t>
            </w:r>
            <w:r w:rsidRPr="006D528E">
              <w:rPr>
                <w:rFonts w:ascii="Arial" w:hAnsi="Arial" w:cs="Arial"/>
                <w:sz w:val="20"/>
                <w:szCs w:val="20"/>
              </w:rPr>
              <w:t>: (</w:t>
            </w:r>
            <w:proofErr w:type="spellStart"/>
            <w:r w:rsidRPr="006D528E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6D528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9E5EDE">
              <w:rPr>
                <w:rFonts w:ascii="Arial" w:hAnsi="Arial" w:cs="Arial"/>
                <w:sz w:val="20"/>
                <w:szCs w:val="20"/>
              </w:rPr>
              <w:t>a few</w:t>
            </w:r>
            <w:r w:rsidRPr="006D528E">
              <w:rPr>
                <w:rFonts w:ascii="Arial" w:hAnsi="Arial" w:cs="Arial"/>
                <w:sz w:val="20"/>
                <w:szCs w:val="20"/>
              </w:rPr>
              <w:t xml:space="preserve"> sub-sections have been moved to </w:t>
            </w:r>
            <w:r w:rsidR="0070600D">
              <w:rPr>
                <w:rFonts w:ascii="Arial" w:hAnsi="Arial" w:cs="Arial"/>
                <w:sz w:val="20"/>
                <w:szCs w:val="20"/>
              </w:rPr>
              <w:t>C</w:t>
            </w:r>
            <w:r w:rsidRPr="006D528E">
              <w:rPr>
                <w:rFonts w:ascii="Arial" w:hAnsi="Arial" w:cs="Arial"/>
                <w:sz w:val="20"/>
                <w:szCs w:val="20"/>
              </w:rPr>
              <w:t>hapter 4</w:t>
            </w:r>
            <w:r w:rsidR="009E5EDE">
              <w:rPr>
                <w:rFonts w:ascii="Arial" w:hAnsi="Arial" w:cs="Arial"/>
                <w:sz w:val="20"/>
                <w:szCs w:val="20"/>
              </w:rPr>
              <w:t xml:space="preserve"> and rewritten</w:t>
            </w:r>
            <w:r w:rsidRPr="006D528E">
              <w:rPr>
                <w:rFonts w:ascii="Arial" w:hAnsi="Arial" w:cs="Arial"/>
                <w:sz w:val="20"/>
                <w:szCs w:val="20"/>
              </w:rPr>
              <w:t xml:space="preserve"> (e.g.</w:t>
            </w:r>
            <w:bookmarkStart w:id="10" w:name="_Hlk45206441"/>
            <w:r w:rsidRPr="006D52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6D528E">
              <w:rPr>
                <w:rFonts w:ascii="Arial" w:hAnsi="Arial" w:cs="Arial"/>
                <w:sz w:val="20"/>
                <w:szCs w:val="20"/>
              </w:rPr>
              <w:t>Additionality of the WBIF grant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6D528E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6D528E">
              <w:rPr>
                <w:rFonts w:ascii="Arial" w:hAnsi="Arial" w:cs="Arial"/>
                <w:sz w:val="20"/>
                <w:szCs w:val="20"/>
              </w:rPr>
              <w:t>Budget and scope of the Project and Action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="009E5EDE">
              <w:rPr>
                <w:rFonts w:ascii="Arial" w:hAnsi="Arial" w:cs="Arial"/>
                <w:sz w:val="20"/>
                <w:szCs w:val="20"/>
              </w:rPr>
              <w:t>)</w:t>
            </w:r>
            <w:r w:rsidRPr="006D528E">
              <w:rPr>
                <w:rFonts w:ascii="Arial" w:hAnsi="Arial" w:cs="Arial"/>
                <w:sz w:val="20"/>
                <w:szCs w:val="20"/>
              </w:rPr>
              <w:t xml:space="preserve">; (ii) </w:t>
            </w:r>
            <w:r w:rsidR="006D528E" w:rsidRPr="006D528E">
              <w:rPr>
                <w:rFonts w:ascii="Arial" w:hAnsi="Arial" w:cs="Arial"/>
                <w:sz w:val="20"/>
                <w:szCs w:val="20"/>
              </w:rPr>
              <w:t xml:space="preserve">the eligibility criteria has been detailed by including further clarifications on the eligible </w:t>
            </w:r>
            <w:r w:rsidR="002B6EB8">
              <w:rPr>
                <w:rFonts w:ascii="Arial" w:hAnsi="Arial" w:cs="Arial"/>
                <w:sz w:val="20"/>
                <w:szCs w:val="20"/>
              </w:rPr>
              <w:t>sectors in line with the background documents for the 23</w:t>
            </w:r>
            <w:r w:rsidR="002B6EB8" w:rsidRPr="002B6EB8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="002B6EB8">
              <w:rPr>
                <w:rFonts w:ascii="Arial" w:hAnsi="Arial" w:cs="Arial"/>
                <w:sz w:val="20"/>
                <w:szCs w:val="20"/>
              </w:rPr>
              <w:t xml:space="preserve"> WBIF SC</w:t>
            </w:r>
            <w:r w:rsidR="006D528E" w:rsidRPr="006D528E">
              <w:rPr>
                <w:rFonts w:ascii="Arial" w:hAnsi="Arial" w:cs="Arial"/>
                <w:sz w:val="20"/>
                <w:szCs w:val="20"/>
              </w:rPr>
              <w:t xml:space="preserve">; the list of the non-eligible costs has been amended; (e.g. the cost for planning/design (permits) fees, project design review/check/verification of the revision committee, customs and import duties, or any </w:t>
            </w:r>
            <w:r w:rsidR="006D528E" w:rsidRPr="006D528E">
              <w:rPr>
                <w:rFonts w:ascii="Arial" w:hAnsi="Arial" w:cs="Arial"/>
                <w:sz w:val="20"/>
                <w:szCs w:val="20"/>
              </w:rPr>
              <w:lastRenderedPageBreak/>
              <w:t>other charges, second-hand equipment have been added)</w:t>
            </w:r>
            <w:r w:rsidR="0070600D">
              <w:rPr>
                <w:rFonts w:ascii="Arial" w:hAnsi="Arial" w:cs="Arial"/>
                <w:sz w:val="20"/>
                <w:szCs w:val="20"/>
              </w:rPr>
              <w:t>; and, (iii) f</w:t>
            </w:r>
            <w:r w:rsidR="0070600D" w:rsidRPr="008F293F">
              <w:rPr>
                <w:rFonts w:ascii="Arial" w:hAnsi="Arial" w:cs="Arial"/>
                <w:sz w:val="20"/>
                <w:szCs w:val="20"/>
              </w:rPr>
              <w:t>urther details regarding</w:t>
            </w:r>
            <w:r w:rsidR="007060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EB8">
              <w:rPr>
                <w:rFonts w:ascii="Arial" w:hAnsi="Arial" w:cs="Arial"/>
                <w:sz w:val="20"/>
                <w:szCs w:val="20"/>
              </w:rPr>
              <w:t>the timeline schedule for TA Round 25</w:t>
            </w:r>
            <w:r w:rsidR="0070600D">
              <w:rPr>
                <w:rFonts w:ascii="Arial" w:hAnsi="Arial" w:cs="Arial"/>
                <w:sz w:val="20"/>
                <w:szCs w:val="20"/>
              </w:rPr>
              <w:t xml:space="preserve"> have been included</w:t>
            </w:r>
            <w:r w:rsidR="00CF05F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3349EF" w14:textId="2D467BF0" w:rsidR="00A507F2" w:rsidRPr="00A507F2" w:rsidRDefault="00845ECE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bookmarkStart w:id="11" w:name="_Toc48227124"/>
            <w:bookmarkStart w:id="12" w:name="_Hlk53489459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CC37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hapter 4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CC37AA">
              <w:rPr>
                <w:rFonts w:ascii="Arial" w:hAnsi="Arial" w:cs="Arial"/>
                <w:b/>
                <w:bCs/>
                <w:sz w:val="20"/>
                <w:szCs w:val="20"/>
              </w:rPr>
              <w:t>Step</w:t>
            </w:r>
            <w:r w:rsidRPr="001C768E">
              <w:rPr>
                <w:rFonts w:ascii="Arial" w:hAnsi="Arial" w:cs="Arial"/>
                <w:b/>
                <w:bCs/>
                <w:sz w:val="20"/>
                <w:szCs w:val="20"/>
              </w:rPr>
              <w:t>-by-step guide to developing a TA GAF</w:t>
            </w:r>
            <w:bookmarkEnd w:id="11"/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E438B1">
              <w:rPr>
                <w:rFonts w:ascii="Arial" w:hAnsi="Arial" w:cs="Arial"/>
                <w:b/>
                <w:bCs/>
                <w:sz w:val="20"/>
                <w:szCs w:val="20"/>
              </w:rPr>
              <w:t>more elaborated/explanatory instructions</w:t>
            </w:r>
            <w:r w:rsidRPr="00E438B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and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182B47">
              <w:rPr>
                <w:rFonts w:ascii="Arial" w:hAnsi="Arial" w:cs="Arial"/>
                <w:b/>
                <w:bCs/>
                <w:sz w:val="20"/>
                <w:szCs w:val="20"/>
              </w:rPr>
              <w:t>Warning boxes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D2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06C6">
              <w:rPr>
                <w:rFonts w:ascii="Arial" w:hAnsi="Arial" w:cs="Arial"/>
                <w:sz w:val="20"/>
                <w:szCs w:val="20"/>
              </w:rPr>
              <w:t>have been included</w:t>
            </w:r>
            <w:r w:rsidRPr="00E438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27BF4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2B6EB8">
              <w:rPr>
                <w:rFonts w:ascii="Arial" w:hAnsi="Arial" w:cs="Arial"/>
                <w:sz w:val="20"/>
                <w:szCs w:val="20"/>
              </w:rPr>
              <w:t>assist</w:t>
            </w:r>
            <w:r w:rsidRPr="00D27BF4">
              <w:rPr>
                <w:rFonts w:ascii="Arial" w:hAnsi="Arial" w:cs="Arial"/>
                <w:sz w:val="20"/>
                <w:szCs w:val="20"/>
              </w:rPr>
              <w:t xml:space="preserve"> applicants in double-checking that the sections of the 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 w:rsidRPr="00D27BF4">
              <w:rPr>
                <w:rFonts w:ascii="Arial" w:hAnsi="Arial" w:cs="Arial"/>
                <w:sz w:val="20"/>
                <w:szCs w:val="20"/>
              </w:rPr>
              <w:t xml:space="preserve"> GAF are duly filled in with adequate information and data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bookmarkEnd w:id="12"/>
          </w:p>
          <w:bookmarkEnd w:id="10"/>
          <w:p w14:paraId="5703DE5F" w14:textId="554C2AEC" w:rsidR="006131FA" w:rsidRDefault="006131FA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618E4">
              <w:rPr>
                <w:rFonts w:ascii="Arial" w:hAnsi="Arial" w:cs="Arial"/>
                <w:sz w:val="20"/>
                <w:szCs w:val="20"/>
              </w:rPr>
              <w:t xml:space="preserve">Additional clarification </w:t>
            </w:r>
            <w:r>
              <w:rPr>
                <w:rFonts w:ascii="Arial" w:hAnsi="Arial" w:cs="Arial"/>
                <w:sz w:val="20"/>
                <w:szCs w:val="20"/>
              </w:rPr>
              <w:t>on the Project &amp; Action d</w:t>
            </w:r>
            <w:r w:rsidRPr="00A507F2">
              <w:rPr>
                <w:rFonts w:ascii="Arial" w:hAnsi="Arial" w:cs="Arial"/>
                <w:sz w:val="20"/>
                <w:szCs w:val="20"/>
              </w:rPr>
              <w:t xml:space="preserve">escription </w:t>
            </w:r>
            <w:r>
              <w:rPr>
                <w:rFonts w:ascii="Arial" w:hAnsi="Arial" w:cs="Arial"/>
                <w:sz w:val="20"/>
                <w:szCs w:val="20"/>
              </w:rPr>
              <w:t xml:space="preserve">has been included to ensure a better description of the </w:t>
            </w:r>
            <w:r w:rsidRPr="00A91EBB">
              <w:rPr>
                <w:rFonts w:ascii="Arial" w:hAnsi="Arial" w:cs="Arial"/>
                <w:sz w:val="20"/>
                <w:szCs w:val="20"/>
              </w:rPr>
              <w:t>grant-financed activities</w:t>
            </w:r>
            <w:r>
              <w:rPr>
                <w:rFonts w:ascii="Arial" w:hAnsi="Arial" w:cs="Arial"/>
                <w:sz w:val="20"/>
                <w:szCs w:val="20"/>
              </w:rPr>
              <w:t xml:space="preserve">, as well as a </w:t>
            </w:r>
            <w:r w:rsidRPr="00A91EBB">
              <w:rPr>
                <w:rFonts w:ascii="Arial" w:hAnsi="Arial" w:cs="Arial"/>
                <w:sz w:val="20"/>
                <w:szCs w:val="20"/>
              </w:rPr>
              <w:t xml:space="preserve">clear distinction between the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91EBB">
              <w:rPr>
                <w:rFonts w:ascii="Arial" w:hAnsi="Arial" w:cs="Arial"/>
                <w:sz w:val="20"/>
                <w:szCs w:val="20"/>
              </w:rPr>
              <w:t xml:space="preserve">roject and the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91EBB">
              <w:rPr>
                <w:rFonts w:ascii="Arial" w:hAnsi="Arial" w:cs="Arial"/>
                <w:sz w:val="20"/>
                <w:szCs w:val="20"/>
              </w:rPr>
              <w:t>ction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1786E9" w14:textId="6A63FB70" w:rsidR="006131FA" w:rsidRDefault="006131FA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B932F4">
              <w:rPr>
                <w:rFonts w:ascii="Arial" w:hAnsi="Arial" w:cs="Arial"/>
                <w:sz w:val="20"/>
                <w:szCs w:val="20"/>
              </w:rPr>
              <w:t>he main objectives of the Project in terms of outcomes/outputs</w:t>
            </w:r>
            <w:r>
              <w:rPr>
                <w:rFonts w:ascii="Arial" w:hAnsi="Arial" w:cs="Arial"/>
                <w:sz w:val="20"/>
                <w:szCs w:val="20"/>
              </w:rPr>
              <w:t xml:space="preserve">, as well as the </w:t>
            </w:r>
            <w:r w:rsidRPr="00B932F4">
              <w:rPr>
                <w:rFonts w:ascii="Arial" w:hAnsi="Arial" w:cs="Arial"/>
                <w:sz w:val="20"/>
                <w:szCs w:val="20"/>
              </w:rPr>
              <w:t>definition of the Project’s socio-economic objectives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E08A0">
              <w:rPr>
                <w:rFonts w:ascii="Arial" w:hAnsi="Arial" w:cs="Arial"/>
                <w:sz w:val="20"/>
                <w:szCs w:val="20"/>
              </w:rPr>
              <w:t>have been explicitly introduced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9292628" w14:textId="5F5BD404" w:rsidR="006131FA" w:rsidRPr="006131FA" w:rsidRDefault="006131FA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131FA">
              <w:rPr>
                <w:rFonts w:ascii="Arial" w:hAnsi="Arial" w:cs="Arial"/>
                <w:sz w:val="20"/>
                <w:szCs w:val="20"/>
              </w:rPr>
              <w:t xml:space="preserve">Additional clarification on the Project &amp; Action budget has been included; the list of the non-eligible cost has been amended; more elaborated instructions </w:t>
            </w:r>
            <w:r>
              <w:rPr>
                <w:rFonts w:ascii="Arial" w:hAnsi="Arial" w:cs="Arial"/>
                <w:sz w:val="20"/>
                <w:szCs w:val="20"/>
              </w:rPr>
              <w:t>related to the grant calculation has been included;</w:t>
            </w:r>
          </w:p>
          <w:p w14:paraId="06F0D81F" w14:textId="46061A45" w:rsidR="007B0F70" w:rsidRPr="002B6EB8" w:rsidRDefault="00BD5208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F293F">
              <w:rPr>
                <w:rFonts w:ascii="Arial" w:hAnsi="Arial" w:cs="Arial"/>
                <w:sz w:val="20"/>
                <w:szCs w:val="20"/>
              </w:rPr>
              <w:t xml:space="preserve">Further details regarding the key milestones </w:t>
            </w:r>
            <w:r w:rsidRPr="00D91495">
              <w:rPr>
                <w:rFonts w:ascii="Arial" w:hAnsi="Arial" w:cs="Arial"/>
                <w:sz w:val="20"/>
                <w:szCs w:val="20"/>
              </w:rPr>
              <w:t xml:space="preserve">expected for the </w:t>
            </w:r>
            <w:r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 w:rsidR="00583781">
              <w:rPr>
                <w:rFonts w:ascii="Arial" w:hAnsi="Arial" w:cs="Arial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93F">
              <w:rPr>
                <w:rFonts w:ascii="Arial" w:hAnsi="Arial" w:cs="Arial"/>
                <w:sz w:val="20"/>
                <w:szCs w:val="20"/>
              </w:rPr>
              <w:t>Action have been added to ensure that the planned activities are realistically implementable within the foreseen period and logically sequenced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F293F">
              <w:rPr>
                <w:rFonts w:ascii="Arial" w:hAnsi="Arial" w:cs="Arial"/>
                <w:sz w:val="20"/>
                <w:szCs w:val="20"/>
              </w:rPr>
              <w:t xml:space="preserve">Specifically, </w:t>
            </w:r>
            <w:r w:rsidRPr="002B6EB8">
              <w:rPr>
                <w:rFonts w:ascii="Arial" w:hAnsi="Arial" w:cs="Arial"/>
                <w:sz w:val="20"/>
                <w:szCs w:val="20"/>
              </w:rPr>
              <w:t xml:space="preserve">the planning principles of the timelines underlying the preparation and implementation of </w:t>
            </w:r>
            <w:r w:rsidR="006131FA" w:rsidRPr="002B6EB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B6EB8">
              <w:rPr>
                <w:rFonts w:ascii="Arial" w:hAnsi="Arial" w:cs="Arial"/>
                <w:sz w:val="20"/>
                <w:szCs w:val="20"/>
              </w:rPr>
              <w:t>Project/Action have been included.</w:t>
            </w:r>
          </w:p>
          <w:p w14:paraId="14158FDF" w14:textId="5617D39E" w:rsidR="006A66C8" w:rsidRPr="002B6EB8" w:rsidRDefault="006131FA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B6EB8">
              <w:rPr>
                <w:rFonts w:ascii="Arial" w:hAnsi="Arial" w:cs="Arial"/>
                <w:sz w:val="20"/>
                <w:szCs w:val="20"/>
              </w:rPr>
              <w:t xml:space="preserve">Cross-cutting issues, such as the environment, gender equality and equal opportunities, the rights of minorities and/or vulnerable groups have been explicitly introduced, as </w:t>
            </w:r>
            <w:r w:rsidR="00CF05F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B6EB8">
              <w:rPr>
                <w:rFonts w:ascii="Arial" w:hAnsi="Arial" w:cs="Arial"/>
                <w:sz w:val="20"/>
                <w:szCs w:val="20"/>
              </w:rPr>
              <w:t>condition for demonstrating compliance with EU social standards;</w:t>
            </w:r>
          </w:p>
          <w:p w14:paraId="15C28732" w14:textId="5530B70D" w:rsidR="00583781" w:rsidRPr="00866E0D" w:rsidRDefault="006131FA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E0D">
              <w:rPr>
                <w:rFonts w:ascii="Arial" w:hAnsi="Arial" w:cs="Arial"/>
                <w:sz w:val="20"/>
                <w:szCs w:val="20"/>
              </w:rPr>
              <w:t xml:space="preserve">Further details regarding the risk assessment categories have been added, </w:t>
            </w:r>
            <w:proofErr w:type="gramStart"/>
            <w:r w:rsidRPr="00866E0D">
              <w:rPr>
                <w:rFonts w:ascii="Arial" w:hAnsi="Arial" w:cs="Arial"/>
                <w:sz w:val="20"/>
                <w:szCs w:val="20"/>
              </w:rPr>
              <w:t>in particular for</w:t>
            </w:r>
            <w:proofErr w:type="gramEnd"/>
            <w:r w:rsidRPr="00866E0D">
              <w:rPr>
                <w:rFonts w:ascii="Arial" w:hAnsi="Arial" w:cs="Arial"/>
                <w:sz w:val="20"/>
                <w:szCs w:val="20"/>
              </w:rPr>
              <w:t xml:space="preserve"> the environmental, social and implementation risks; moreover,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866E0D">
              <w:rPr>
                <w:rFonts w:ascii="Arial" w:hAnsi="Arial" w:cs="Arial"/>
                <w:sz w:val="20"/>
                <w:szCs w:val="20"/>
              </w:rPr>
              <w:t>operation risks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866E0D">
              <w:rPr>
                <w:rFonts w:ascii="Arial" w:hAnsi="Arial" w:cs="Arial"/>
                <w:sz w:val="20"/>
                <w:szCs w:val="20"/>
              </w:rPr>
              <w:t xml:space="preserve"> have been included</w:t>
            </w:r>
            <w:r w:rsidR="00583781" w:rsidRPr="00866E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2A3EC4" w14:textId="7FD6D473" w:rsidR="00583781" w:rsidRPr="00866E0D" w:rsidRDefault="00583781" w:rsidP="002B6EB8">
            <w:pPr>
              <w:numPr>
                <w:ilvl w:val="1"/>
                <w:numId w:val="6"/>
              </w:numPr>
              <w:spacing w:before="0" w:after="40"/>
              <w:ind w:left="7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E0D">
              <w:rPr>
                <w:rFonts w:ascii="Arial" w:hAnsi="Arial" w:cs="Arial"/>
                <w:sz w:val="20"/>
                <w:szCs w:val="20"/>
              </w:rPr>
              <w:t xml:space="preserve">Definition and remarks on the expected results and outputs of the Project have been included and revised (including Annex </w:t>
            </w:r>
            <w:r w:rsidR="007628BB" w:rsidRPr="00866E0D">
              <w:rPr>
                <w:rFonts w:ascii="Arial" w:hAnsi="Arial" w:cs="Arial"/>
                <w:sz w:val="20"/>
                <w:szCs w:val="20"/>
              </w:rPr>
              <w:t>2</w:t>
            </w:r>
            <w:r w:rsidRPr="00866E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866E0D">
              <w:rPr>
                <w:rFonts w:ascii="Arial" w:hAnsi="Arial" w:cs="Arial"/>
                <w:sz w:val="20"/>
                <w:szCs w:val="20"/>
              </w:rPr>
              <w:t>Indicators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866E0D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3B6DB38" w14:textId="1FD33808" w:rsidR="00583781" w:rsidRPr="00866E0D" w:rsidRDefault="00583781" w:rsidP="002B6EB8">
            <w:pPr>
              <w:numPr>
                <w:ilvl w:val="1"/>
                <w:numId w:val="24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6E0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9F7DC1">
              <w:rPr>
                <w:rFonts w:ascii="Arial" w:hAnsi="Arial" w:cs="Arial"/>
                <w:sz w:val="20"/>
                <w:szCs w:val="20"/>
              </w:rPr>
              <w:t>‘</w:t>
            </w:r>
            <w:r w:rsidRPr="00866E0D">
              <w:rPr>
                <w:rFonts w:ascii="Arial" w:hAnsi="Arial" w:cs="Arial"/>
                <w:sz w:val="20"/>
                <w:szCs w:val="20"/>
              </w:rPr>
              <w:t>Cross-sector indicators</w:t>
            </w:r>
            <w:r w:rsidR="009F7DC1">
              <w:rPr>
                <w:rFonts w:ascii="Arial" w:hAnsi="Arial" w:cs="Arial"/>
                <w:sz w:val="20"/>
                <w:szCs w:val="20"/>
              </w:rPr>
              <w:t>’</w:t>
            </w:r>
            <w:r w:rsidRPr="00866E0D">
              <w:rPr>
                <w:rFonts w:ascii="Arial" w:hAnsi="Arial" w:cs="Arial"/>
                <w:sz w:val="20"/>
                <w:szCs w:val="20"/>
              </w:rPr>
              <w:t xml:space="preserve"> have been revised to take account of gender equality and equal opportunities, and additional specific indicators have also been introduced.</w:t>
            </w:r>
          </w:p>
          <w:p w14:paraId="6904AA1D" w14:textId="16D2CCEB" w:rsidR="00583781" w:rsidRPr="00F93116" w:rsidRDefault="00583781" w:rsidP="002B6EB8">
            <w:pPr>
              <w:numPr>
                <w:ilvl w:val="1"/>
                <w:numId w:val="24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1213F">
              <w:rPr>
                <w:rFonts w:ascii="Arial" w:hAnsi="Arial" w:cs="Arial"/>
                <w:sz w:val="20"/>
                <w:szCs w:val="20"/>
              </w:rPr>
              <w:t>Additional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indicators</w:t>
            </w:r>
            <w:r w:rsidRPr="00E1213F">
              <w:rPr>
                <w:rFonts w:ascii="Arial" w:hAnsi="Arial" w:cs="Arial"/>
                <w:sz w:val="20"/>
                <w:szCs w:val="20"/>
              </w:rPr>
              <w:t xml:space="preserve"> have been included in Annex </w:t>
            </w:r>
            <w:r w:rsidR="007628BB">
              <w:rPr>
                <w:rFonts w:ascii="Arial" w:hAnsi="Arial" w:cs="Arial"/>
                <w:sz w:val="20"/>
                <w:szCs w:val="20"/>
              </w:rPr>
              <w:t>2</w:t>
            </w:r>
            <w:r w:rsidRPr="00E1213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FE1078" w14:textId="6CF90EE7" w:rsidR="006131FA" w:rsidRPr="00583781" w:rsidRDefault="00583781" w:rsidP="002B6EB8">
            <w:pPr>
              <w:numPr>
                <w:ilvl w:val="0"/>
                <w:numId w:val="6"/>
              </w:num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33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F33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Pr="00F3392F">
              <w:rPr>
                <w:rFonts w:ascii="Arial" w:hAnsi="Arial" w:cs="Arial"/>
                <w:b/>
                <w:bCs/>
                <w:sz w:val="20"/>
                <w:szCs w:val="20"/>
              </w:rPr>
              <w:t>WBIF Screening and assessment grid</w:t>
            </w:r>
            <w:r w:rsidR="009F7DC1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Pr="00CF1A03">
              <w:rPr>
                <w:rFonts w:ascii="Arial" w:hAnsi="Arial" w:cs="Arial"/>
                <w:sz w:val="20"/>
                <w:szCs w:val="20"/>
              </w:rPr>
              <w:t xml:space="preserve"> has been adapted in line with the revised 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 w:rsidRPr="00CF1A03">
              <w:rPr>
                <w:rFonts w:ascii="Arial" w:hAnsi="Arial" w:cs="Arial"/>
                <w:sz w:val="20"/>
                <w:szCs w:val="20"/>
              </w:rPr>
              <w:t xml:space="preserve"> GAF template.</w:t>
            </w:r>
          </w:p>
        </w:tc>
      </w:tr>
    </w:tbl>
    <w:p w14:paraId="432AFBF2" w14:textId="45C9530B" w:rsidR="00E6360E" w:rsidRDefault="00E6360E" w:rsidP="003263D4">
      <w:pPr>
        <w:rPr>
          <w:rFonts w:ascii="Arial" w:hAnsi="Arial" w:cs="Arial"/>
          <w:sz w:val="20"/>
          <w:szCs w:val="20"/>
        </w:rPr>
      </w:pPr>
    </w:p>
    <w:sectPr w:rsidR="00E6360E" w:rsidSect="009F7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450" w:left="1440" w:header="720" w:footer="4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D6402" w14:textId="77777777" w:rsidR="003759FF" w:rsidRDefault="003759FF" w:rsidP="002408F8">
      <w:pPr>
        <w:spacing w:before="0" w:line="240" w:lineRule="auto"/>
      </w:pPr>
      <w:r>
        <w:separator/>
      </w:r>
    </w:p>
  </w:endnote>
  <w:endnote w:type="continuationSeparator" w:id="0">
    <w:p w14:paraId="5D0A747A" w14:textId="77777777" w:rsidR="003759FF" w:rsidRDefault="003759FF" w:rsidP="002408F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98B65" w14:textId="77777777" w:rsidR="000734DF" w:rsidRDefault="00073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3934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9E31D" w14:textId="7C6FE50A" w:rsidR="000734DF" w:rsidRDefault="000734DF" w:rsidP="00C632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51AA8" w14:textId="77777777" w:rsidR="000734DF" w:rsidRDefault="00073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0E7E2" w14:textId="77777777" w:rsidR="003759FF" w:rsidRDefault="003759FF" w:rsidP="002408F8">
      <w:pPr>
        <w:spacing w:before="0" w:line="240" w:lineRule="auto"/>
      </w:pPr>
      <w:r>
        <w:separator/>
      </w:r>
    </w:p>
  </w:footnote>
  <w:footnote w:type="continuationSeparator" w:id="0">
    <w:p w14:paraId="2A8DA80F" w14:textId="77777777" w:rsidR="003759FF" w:rsidRDefault="003759FF" w:rsidP="002408F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B23C1" w14:textId="77777777" w:rsidR="000734DF" w:rsidRDefault="00073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D99F4" w14:textId="624C974A" w:rsidR="000734DF" w:rsidRDefault="000734DF">
    <w:pPr>
      <w:pStyle w:val="Header"/>
    </w:pPr>
    <w:r w:rsidRPr="000365B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DA35FB1" wp14:editId="0F34B3B7">
          <wp:simplePos x="0" y="0"/>
          <wp:positionH relativeFrom="column">
            <wp:posOffset>4441683</wp:posOffset>
          </wp:positionH>
          <wp:positionV relativeFrom="paragraph">
            <wp:posOffset>-284063</wp:posOffset>
          </wp:positionV>
          <wp:extent cx="1664970" cy="516255"/>
          <wp:effectExtent l="0" t="0" r="0" b="0"/>
          <wp:wrapThrough wrapText="bothSides">
            <wp:wrapPolygon edited="0">
              <wp:start x="0" y="0"/>
              <wp:lineTo x="0" y="20723"/>
              <wp:lineTo x="21254" y="20723"/>
              <wp:lineTo x="21254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97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D275B4" w14:textId="6F67628E" w:rsidR="000734DF" w:rsidRDefault="000734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063A3" w14:textId="77777777" w:rsidR="000734DF" w:rsidRDefault="000734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5208E"/>
    <w:multiLevelType w:val="hybridMultilevel"/>
    <w:tmpl w:val="1C08C3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67610"/>
    <w:multiLevelType w:val="hybridMultilevel"/>
    <w:tmpl w:val="E3E0A7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648B8"/>
    <w:multiLevelType w:val="hybridMultilevel"/>
    <w:tmpl w:val="A15845F2"/>
    <w:lvl w:ilvl="0" w:tplc="09D82072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F66E7"/>
    <w:multiLevelType w:val="hybridMultilevel"/>
    <w:tmpl w:val="D2F80B34"/>
    <w:lvl w:ilvl="0" w:tplc="D6ECC9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04A6C"/>
    <w:multiLevelType w:val="hybridMultilevel"/>
    <w:tmpl w:val="3F342E10"/>
    <w:lvl w:ilvl="0" w:tplc="991C4A0C">
      <w:start w:val="1"/>
      <w:numFmt w:val="decimal"/>
      <w:lvlText w:val="%1."/>
      <w:lvlJc w:val="center"/>
      <w:pPr>
        <w:ind w:left="340" w:hanging="34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950FF"/>
    <w:multiLevelType w:val="multilevel"/>
    <w:tmpl w:val="F8F676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114D62"/>
    <w:multiLevelType w:val="hybridMultilevel"/>
    <w:tmpl w:val="6E8C7FA4"/>
    <w:lvl w:ilvl="0" w:tplc="04090005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  <w:szCs w:val="16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B2562"/>
    <w:multiLevelType w:val="hybridMultilevel"/>
    <w:tmpl w:val="CBB453A2"/>
    <w:lvl w:ilvl="0" w:tplc="F35CD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380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50A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FEA0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D2F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7C8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044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A2C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FAB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EEE27E4"/>
    <w:multiLevelType w:val="hybridMultilevel"/>
    <w:tmpl w:val="AC8AAFF6"/>
    <w:lvl w:ilvl="0" w:tplc="F940D3B0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34DF4"/>
    <w:multiLevelType w:val="hybridMultilevel"/>
    <w:tmpl w:val="7870C0A8"/>
    <w:lvl w:ilvl="0" w:tplc="831E8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82C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FA9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867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44C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EE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1AF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F0A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161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7725FBA"/>
    <w:multiLevelType w:val="hybridMultilevel"/>
    <w:tmpl w:val="F6384A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846D5C"/>
    <w:multiLevelType w:val="hybridMultilevel"/>
    <w:tmpl w:val="85E420D8"/>
    <w:lvl w:ilvl="0" w:tplc="AB6CF416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C1221"/>
    <w:multiLevelType w:val="hybridMultilevel"/>
    <w:tmpl w:val="3CEA28E0"/>
    <w:lvl w:ilvl="0" w:tplc="A290E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B4662E">
      <w:start w:val="14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143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AC2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80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E8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788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128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D0F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22D7FEA"/>
    <w:multiLevelType w:val="hybridMultilevel"/>
    <w:tmpl w:val="B79A2008"/>
    <w:lvl w:ilvl="0" w:tplc="C804C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C4E27"/>
    <w:multiLevelType w:val="hybridMultilevel"/>
    <w:tmpl w:val="F8BCD9D2"/>
    <w:lvl w:ilvl="0" w:tplc="0C381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CAE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DC6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B4E0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68E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F8B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B4D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5E2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F8A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8E363C2"/>
    <w:multiLevelType w:val="hybridMultilevel"/>
    <w:tmpl w:val="8D52FC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744AD"/>
    <w:multiLevelType w:val="hybridMultilevel"/>
    <w:tmpl w:val="3BCC9232"/>
    <w:lvl w:ilvl="0" w:tplc="D70C6D5E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C0904"/>
    <w:multiLevelType w:val="hybridMultilevel"/>
    <w:tmpl w:val="3188A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83CCF"/>
    <w:multiLevelType w:val="hybridMultilevel"/>
    <w:tmpl w:val="F5EAAF1C"/>
    <w:lvl w:ilvl="0" w:tplc="3D10E09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9D38D6"/>
    <w:multiLevelType w:val="multilevel"/>
    <w:tmpl w:val="46E6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4"/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774BE0"/>
    <w:multiLevelType w:val="hybridMultilevel"/>
    <w:tmpl w:val="256852AC"/>
    <w:lvl w:ilvl="0" w:tplc="3092986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A73E1"/>
    <w:multiLevelType w:val="hybridMultilevel"/>
    <w:tmpl w:val="819A80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34D00"/>
    <w:multiLevelType w:val="hybridMultilevel"/>
    <w:tmpl w:val="746E2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37288"/>
    <w:multiLevelType w:val="hybridMultilevel"/>
    <w:tmpl w:val="E1A8A7CC"/>
    <w:lvl w:ilvl="0" w:tplc="BCE665DA">
      <w:start w:val="1"/>
      <w:numFmt w:val="lowerRoman"/>
      <w:lvlText w:val="(%1)"/>
      <w:lvlJc w:val="left"/>
      <w:pPr>
        <w:ind w:left="1530" w:hanging="72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74FC2754"/>
    <w:multiLevelType w:val="hybridMultilevel"/>
    <w:tmpl w:val="F0D49A78"/>
    <w:lvl w:ilvl="0" w:tplc="04090005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  <w:sz w:val="18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  <w:sz w:val="16"/>
        <w:szCs w:val="16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54299"/>
    <w:multiLevelType w:val="multilevel"/>
    <w:tmpl w:val="CA4087E6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3379CD"/>
    <w:multiLevelType w:val="hybridMultilevel"/>
    <w:tmpl w:val="9B686638"/>
    <w:lvl w:ilvl="0" w:tplc="A8A43F4C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462EC"/>
    <w:multiLevelType w:val="hybridMultilevel"/>
    <w:tmpl w:val="7D98947E"/>
    <w:lvl w:ilvl="0" w:tplc="51A0D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DEE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803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EAA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BE5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1E6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800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328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F68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20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21"/>
  </w:num>
  <w:num w:numId="10">
    <w:abstractNumId w:val="3"/>
  </w:num>
  <w:num w:numId="11">
    <w:abstractNumId w:val="9"/>
  </w:num>
  <w:num w:numId="12">
    <w:abstractNumId w:val="12"/>
  </w:num>
  <w:num w:numId="13">
    <w:abstractNumId w:val="11"/>
  </w:num>
  <w:num w:numId="14">
    <w:abstractNumId w:val="18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"/>
  </w:num>
  <w:num w:numId="19">
    <w:abstractNumId w:val="0"/>
  </w:num>
  <w:num w:numId="20">
    <w:abstractNumId w:val="15"/>
  </w:num>
  <w:num w:numId="21">
    <w:abstractNumId w:val="5"/>
  </w:num>
  <w:num w:numId="22">
    <w:abstractNumId w:val="1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0"/>
  </w:num>
  <w:num w:numId="26">
    <w:abstractNumId w:val="19"/>
  </w:num>
  <w:num w:numId="27">
    <w:abstractNumId w:val="7"/>
  </w:num>
  <w:num w:numId="28">
    <w:abstractNumId w:val="14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MTUzMLe0MDEzsrBU0lEKTi0uzszPAykwMqsFADBuTgwtAAAA"/>
  </w:docVars>
  <w:rsids>
    <w:rsidRoot w:val="00D85224"/>
    <w:rsid w:val="00001370"/>
    <w:rsid w:val="0000546F"/>
    <w:rsid w:val="00010FBD"/>
    <w:rsid w:val="00012D9E"/>
    <w:rsid w:val="00044076"/>
    <w:rsid w:val="00044FC7"/>
    <w:rsid w:val="00063BDC"/>
    <w:rsid w:val="000729AC"/>
    <w:rsid w:val="000734DF"/>
    <w:rsid w:val="00083FEB"/>
    <w:rsid w:val="0009411C"/>
    <w:rsid w:val="000A2138"/>
    <w:rsid w:val="000B69EB"/>
    <w:rsid w:val="000B7842"/>
    <w:rsid w:val="000C1B05"/>
    <w:rsid w:val="000D1906"/>
    <w:rsid w:val="000D7534"/>
    <w:rsid w:val="00102E32"/>
    <w:rsid w:val="001106C5"/>
    <w:rsid w:val="0011155F"/>
    <w:rsid w:val="0011450E"/>
    <w:rsid w:val="00125A28"/>
    <w:rsid w:val="00145D4C"/>
    <w:rsid w:val="00150415"/>
    <w:rsid w:val="00161E5C"/>
    <w:rsid w:val="001636DE"/>
    <w:rsid w:val="001742DA"/>
    <w:rsid w:val="00175596"/>
    <w:rsid w:val="0017637A"/>
    <w:rsid w:val="00182B47"/>
    <w:rsid w:val="00183083"/>
    <w:rsid w:val="00185CB6"/>
    <w:rsid w:val="001B15EF"/>
    <w:rsid w:val="001C768E"/>
    <w:rsid w:val="001D2714"/>
    <w:rsid w:val="001E48F8"/>
    <w:rsid w:val="002232C7"/>
    <w:rsid w:val="00224782"/>
    <w:rsid w:val="002408F8"/>
    <w:rsid w:val="002616CD"/>
    <w:rsid w:val="00264086"/>
    <w:rsid w:val="00271799"/>
    <w:rsid w:val="0027274B"/>
    <w:rsid w:val="002740E8"/>
    <w:rsid w:val="002759A4"/>
    <w:rsid w:val="002761AE"/>
    <w:rsid w:val="00277752"/>
    <w:rsid w:val="00281C91"/>
    <w:rsid w:val="00283D70"/>
    <w:rsid w:val="002A000C"/>
    <w:rsid w:val="002B6EB8"/>
    <w:rsid w:val="002C4589"/>
    <w:rsid w:val="002D5416"/>
    <w:rsid w:val="002D731D"/>
    <w:rsid w:val="00305768"/>
    <w:rsid w:val="003263D4"/>
    <w:rsid w:val="00330E96"/>
    <w:rsid w:val="003316CC"/>
    <w:rsid w:val="003542BB"/>
    <w:rsid w:val="0035709F"/>
    <w:rsid w:val="003759FF"/>
    <w:rsid w:val="00380CDA"/>
    <w:rsid w:val="003A68CE"/>
    <w:rsid w:val="003C1B63"/>
    <w:rsid w:val="003E6AD7"/>
    <w:rsid w:val="003F3EDE"/>
    <w:rsid w:val="003F75D4"/>
    <w:rsid w:val="00401C7C"/>
    <w:rsid w:val="00412259"/>
    <w:rsid w:val="00417827"/>
    <w:rsid w:val="0042318B"/>
    <w:rsid w:val="00434848"/>
    <w:rsid w:val="004374D2"/>
    <w:rsid w:val="004374F8"/>
    <w:rsid w:val="00437ABF"/>
    <w:rsid w:val="004618E4"/>
    <w:rsid w:val="0046322A"/>
    <w:rsid w:val="004917B9"/>
    <w:rsid w:val="0049325C"/>
    <w:rsid w:val="004958C5"/>
    <w:rsid w:val="004B18C8"/>
    <w:rsid w:val="004B31DD"/>
    <w:rsid w:val="004D111A"/>
    <w:rsid w:val="004D2797"/>
    <w:rsid w:val="004D56AF"/>
    <w:rsid w:val="004D5F27"/>
    <w:rsid w:val="004F0ED4"/>
    <w:rsid w:val="004F21DE"/>
    <w:rsid w:val="00511D35"/>
    <w:rsid w:val="0051284C"/>
    <w:rsid w:val="0052078D"/>
    <w:rsid w:val="005216F8"/>
    <w:rsid w:val="00524DE3"/>
    <w:rsid w:val="00525753"/>
    <w:rsid w:val="00534A56"/>
    <w:rsid w:val="0053517D"/>
    <w:rsid w:val="005424ED"/>
    <w:rsid w:val="00544F71"/>
    <w:rsid w:val="005520E2"/>
    <w:rsid w:val="00574074"/>
    <w:rsid w:val="00583781"/>
    <w:rsid w:val="0058670E"/>
    <w:rsid w:val="00587203"/>
    <w:rsid w:val="005D5844"/>
    <w:rsid w:val="005E3369"/>
    <w:rsid w:val="005E527B"/>
    <w:rsid w:val="005F429B"/>
    <w:rsid w:val="005F5627"/>
    <w:rsid w:val="00612099"/>
    <w:rsid w:val="006131FA"/>
    <w:rsid w:val="00614698"/>
    <w:rsid w:val="006155F1"/>
    <w:rsid w:val="00631DF1"/>
    <w:rsid w:val="00644756"/>
    <w:rsid w:val="00655939"/>
    <w:rsid w:val="0065776C"/>
    <w:rsid w:val="00657DCC"/>
    <w:rsid w:val="00667E86"/>
    <w:rsid w:val="00675F67"/>
    <w:rsid w:val="0069561E"/>
    <w:rsid w:val="006A42E6"/>
    <w:rsid w:val="006A66C8"/>
    <w:rsid w:val="006B2998"/>
    <w:rsid w:val="006C0F88"/>
    <w:rsid w:val="006D0E7D"/>
    <w:rsid w:val="006D12CB"/>
    <w:rsid w:val="006D12FE"/>
    <w:rsid w:val="006D528E"/>
    <w:rsid w:val="0070600D"/>
    <w:rsid w:val="00714E9B"/>
    <w:rsid w:val="007628BB"/>
    <w:rsid w:val="00783B80"/>
    <w:rsid w:val="00785329"/>
    <w:rsid w:val="00790F2A"/>
    <w:rsid w:val="007A01B9"/>
    <w:rsid w:val="007B0F70"/>
    <w:rsid w:val="007C5645"/>
    <w:rsid w:val="007E3CDF"/>
    <w:rsid w:val="007E652A"/>
    <w:rsid w:val="007F3551"/>
    <w:rsid w:val="008216AA"/>
    <w:rsid w:val="00845ECE"/>
    <w:rsid w:val="00853008"/>
    <w:rsid w:val="00862FA3"/>
    <w:rsid w:val="00866E0D"/>
    <w:rsid w:val="008778F2"/>
    <w:rsid w:val="008844C9"/>
    <w:rsid w:val="008965A9"/>
    <w:rsid w:val="008A21CA"/>
    <w:rsid w:val="008C5655"/>
    <w:rsid w:val="008C7669"/>
    <w:rsid w:val="008D26F3"/>
    <w:rsid w:val="008E08A0"/>
    <w:rsid w:val="008F293F"/>
    <w:rsid w:val="00902B5D"/>
    <w:rsid w:val="00910A00"/>
    <w:rsid w:val="00924293"/>
    <w:rsid w:val="00936D58"/>
    <w:rsid w:val="00946247"/>
    <w:rsid w:val="0095618F"/>
    <w:rsid w:val="0097041A"/>
    <w:rsid w:val="009B09FF"/>
    <w:rsid w:val="009C2A55"/>
    <w:rsid w:val="009C7CD9"/>
    <w:rsid w:val="009E5EDE"/>
    <w:rsid w:val="009E5F63"/>
    <w:rsid w:val="009F2302"/>
    <w:rsid w:val="009F3A9E"/>
    <w:rsid w:val="009F7DC1"/>
    <w:rsid w:val="00A00FE3"/>
    <w:rsid w:val="00A3234A"/>
    <w:rsid w:val="00A36CCC"/>
    <w:rsid w:val="00A507F2"/>
    <w:rsid w:val="00A701F7"/>
    <w:rsid w:val="00A70553"/>
    <w:rsid w:val="00A770B7"/>
    <w:rsid w:val="00A80B1F"/>
    <w:rsid w:val="00A91EBB"/>
    <w:rsid w:val="00AA28D7"/>
    <w:rsid w:val="00AA3313"/>
    <w:rsid w:val="00AB2BEB"/>
    <w:rsid w:val="00B02580"/>
    <w:rsid w:val="00B10B2A"/>
    <w:rsid w:val="00B10B9D"/>
    <w:rsid w:val="00B526C7"/>
    <w:rsid w:val="00B5271A"/>
    <w:rsid w:val="00B65172"/>
    <w:rsid w:val="00B9069D"/>
    <w:rsid w:val="00BA5933"/>
    <w:rsid w:val="00BC4BBF"/>
    <w:rsid w:val="00BC6B60"/>
    <w:rsid w:val="00BD0BDB"/>
    <w:rsid w:val="00BD5208"/>
    <w:rsid w:val="00BD6BE4"/>
    <w:rsid w:val="00C00B15"/>
    <w:rsid w:val="00C01EE4"/>
    <w:rsid w:val="00C101B2"/>
    <w:rsid w:val="00C16A3A"/>
    <w:rsid w:val="00C21377"/>
    <w:rsid w:val="00C33565"/>
    <w:rsid w:val="00C45650"/>
    <w:rsid w:val="00C547BE"/>
    <w:rsid w:val="00C62BDD"/>
    <w:rsid w:val="00C632D3"/>
    <w:rsid w:val="00C65435"/>
    <w:rsid w:val="00C70800"/>
    <w:rsid w:val="00C84BFA"/>
    <w:rsid w:val="00CC22E3"/>
    <w:rsid w:val="00CC37AA"/>
    <w:rsid w:val="00CC3B22"/>
    <w:rsid w:val="00CD4DCB"/>
    <w:rsid w:val="00CE60C2"/>
    <w:rsid w:val="00CF05F8"/>
    <w:rsid w:val="00CF1A03"/>
    <w:rsid w:val="00D02F0C"/>
    <w:rsid w:val="00D04C08"/>
    <w:rsid w:val="00D15A75"/>
    <w:rsid w:val="00D27BF4"/>
    <w:rsid w:val="00D31277"/>
    <w:rsid w:val="00D34383"/>
    <w:rsid w:val="00D42034"/>
    <w:rsid w:val="00D50F2D"/>
    <w:rsid w:val="00D61E35"/>
    <w:rsid w:val="00D65495"/>
    <w:rsid w:val="00D70D79"/>
    <w:rsid w:val="00D85224"/>
    <w:rsid w:val="00D92729"/>
    <w:rsid w:val="00DA2F30"/>
    <w:rsid w:val="00DB3EAD"/>
    <w:rsid w:val="00DC17FE"/>
    <w:rsid w:val="00DD79C0"/>
    <w:rsid w:val="00E02E5A"/>
    <w:rsid w:val="00E04BDF"/>
    <w:rsid w:val="00E05E83"/>
    <w:rsid w:val="00E07329"/>
    <w:rsid w:val="00E11AA4"/>
    <w:rsid w:val="00E1213F"/>
    <w:rsid w:val="00E259C3"/>
    <w:rsid w:val="00E27604"/>
    <w:rsid w:val="00E300B3"/>
    <w:rsid w:val="00E371A6"/>
    <w:rsid w:val="00E41E50"/>
    <w:rsid w:val="00E541D9"/>
    <w:rsid w:val="00E623EB"/>
    <w:rsid w:val="00E6360E"/>
    <w:rsid w:val="00E7113E"/>
    <w:rsid w:val="00E919E2"/>
    <w:rsid w:val="00EA2DD0"/>
    <w:rsid w:val="00EC06C6"/>
    <w:rsid w:val="00EC33AF"/>
    <w:rsid w:val="00EC4D99"/>
    <w:rsid w:val="00ED0F7D"/>
    <w:rsid w:val="00ED2273"/>
    <w:rsid w:val="00EE2EF9"/>
    <w:rsid w:val="00F159B5"/>
    <w:rsid w:val="00F16C4B"/>
    <w:rsid w:val="00F3392F"/>
    <w:rsid w:val="00F365B8"/>
    <w:rsid w:val="00F44EC8"/>
    <w:rsid w:val="00F46FDD"/>
    <w:rsid w:val="00F57CBB"/>
    <w:rsid w:val="00F602E1"/>
    <w:rsid w:val="00F720C2"/>
    <w:rsid w:val="00F72174"/>
    <w:rsid w:val="00F767D7"/>
    <w:rsid w:val="00F776DB"/>
    <w:rsid w:val="00F82B07"/>
    <w:rsid w:val="00F86D81"/>
    <w:rsid w:val="00F93116"/>
    <w:rsid w:val="00FE2DFA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374D5"/>
  <w15:chartTrackingRefBased/>
  <w15:docId w15:val="{A3E679EA-137D-431D-B457-4C823A5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224"/>
    <w:pPr>
      <w:spacing w:before="200" w:after="0" w:line="276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A55"/>
    <w:pPr>
      <w:keepNext/>
      <w:keepLines/>
      <w:numPr>
        <w:numId w:val="15"/>
      </w:numPr>
      <w:spacing w:before="480" w:after="120"/>
      <w:jc w:val="left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C2A55"/>
    <w:pPr>
      <w:keepNext/>
      <w:keepLines/>
      <w:numPr>
        <w:ilvl w:val="2"/>
        <w:numId w:val="15"/>
      </w:numPr>
      <w:spacing w:after="120"/>
      <w:jc w:val="left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/Figure Heading,List Paragraph1,Bullets,List Paragraph (numbered (a)),Akapit z listą BS,Listeafsnit,Dot pt,No Spacing1,List Paragraph Char Char Char,Indicator Text,Numbered Para 1,Bullet 1,F5 List Paragraph,Bullet Points,MAIN CONTENT"/>
    <w:basedOn w:val="Normal"/>
    <w:link w:val="ListParagraphChar"/>
    <w:uiPriority w:val="34"/>
    <w:qFormat/>
    <w:rsid w:val="00D85224"/>
    <w:pPr>
      <w:ind w:left="720"/>
      <w:contextualSpacing/>
    </w:pPr>
  </w:style>
  <w:style w:type="character" w:customStyle="1" w:styleId="ListParagraphChar">
    <w:name w:val="List Paragraph Char"/>
    <w:aliases w:val="Table/Figure Heading Char,List Paragraph1 Char,Bullets Char,List Paragraph (numbered (a)) Char,Akapit z listą BS Char,Listeafsnit Char,Dot pt Char,No Spacing1 Char,List Paragraph Char Char Char Char,Indicator Text Char,Bullet 1 Char"/>
    <w:link w:val="ListParagraph"/>
    <w:uiPriority w:val="34"/>
    <w:locked/>
    <w:rsid w:val="00D85224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4D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4D2"/>
    <w:rPr>
      <w:rFonts w:ascii="Segoe UI" w:hAnsi="Segoe UI" w:cs="Segoe UI"/>
      <w:sz w:val="18"/>
      <w:szCs w:val="18"/>
      <w:lang w:val="en-GB"/>
    </w:rPr>
  </w:style>
  <w:style w:type="character" w:customStyle="1" w:styleId="tlid-translation">
    <w:name w:val="tlid-translation"/>
    <w:basedOn w:val="DefaultParagraphFont"/>
    <w:rsid w:val="004917B9"/>
  </w:style>
  <w:style w:type="character" w:styleId="Hyperlink">
    <w:name w:val="Hyperlink"/>
    <w:uiPriority w:val="99"/>
    <w:unhideWhenUsed/>
    <w:rsid w:val="00F72174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08F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8F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08F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8F8"/>
    <w:rPr>
      <w:lang w:val="en-GB"/>
    </w:rPr>
  </w:style>
  <w:style w:type="table" w:styleId="GridTable1Light-Accent5">
    <w:name w:val="Grid Table 1 Light Accent 5"/>
    <w:basedOn w:val="TableNormal"/>
    <w:uiPriority w:val="46"/>
    <w:rsid w:val="00CF1A0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99"/>
    <w:rsid w:val="001E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48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C2A55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C2A55"/>
    <w:rPr>
      <w:rFonts w:ascii="Arial" w:eastAsiaTheme="majorEastAsia" w:hAnsi="Arial" w:cstheme="majorBidi"/>
      <w:b/>
      <w:bCs/>
      <w:sz w:val="20"/>
      <w:lang w:val="en-GB"/>
    </w:rPr>
  </w:style>
  <w:style w:type="paragraph" w:styleId="CommentText">
    <w:name w:val="annotation text"/>
    <w:basedOn w:val="Normal"/>
    <w:link w:val="CommentTextChar"/>
    <w:uiPriority w:val="99"/>
    <w:rsid w:val="00CE60C2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60C2"/>
    <w:rPr>
      <w:rFonts w:ascii="Times New Roman" w:eastAsia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6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9306">
          <w:marLeft w:val="274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5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49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9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0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8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856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17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1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 Dumitru</cp:lastModifiedBy>
  <cp:revision>2</cp:revision>
  <dcterms:created xsi:type="dcterms:W3CDTF">2021-01-08T12:52:00Z</dcterms:created>
  <dcterms:modified xsi:type="dcterms:W3CDTF">2021-01-08T12:52:00Z</dcterms:modified>
</cp:coreProperties>
</file>